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432235">
      <w:pPr>
        <w:widowControl/>
        <w:wordWrap w:val="0"/>
        <w:spacing w:line="480" w:lineRule="auto"/>
        <w:jc w:val="center"/>
      </w:pPr>
      <w:r>
        <w:drawing>
          <wp:inline distT="0" distB="0" distL="114300" distR="114300">
            <wp:extent cx="5974080" cy="8157845"/>
            <wp:effectExtent l="0" t="0" r="762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74080" cy="8157845"/>
                    </a:xfrm>
                    <a:prstGeom prst="rect">
                      <a:avLst/>
                    </a:prstGeom>
                    <a:noFill/>
                    <a:ln>
                      <a:noFill/>
                    </a:ln>
                  </pic:spPr>
                </pic:pic>
              </a:graphicData>
            </a:graphic>
          </wp:inline>
        </w:drawing>
      </w:r>
    </w:p>
    <w:p w14:paraId="0F072F23">
      <w:pPr>
        <w:widowControl/>
        <w:wordWrap w:val="0"/>
        <w:spacing w:line="480" w:lineRule="auto"/>
        <w:jc w:val="center"/>
      </w:pPr>
    </w:p>
    <w:p w14:paraId="29623661">
      <w:pPr>
        <w:widowControl/>
        <w:wordWrap w:val="0"/>
        <w:spacing w:line="480" w:lineRule="auto"/>
        <w:jc w:val="center"/>
      </w:pPr>
    </w:p>
    <w:p w14:paraId="69E96D97">
      <w:pPr>
        <w:widowControl/>
        <w:wordWrap w:val="0"/>
        <w:spacing w:line="480" w:lineRule="auto"/>
        <w:jc w:val="center"/>
        <w:rPr>
          <w:rFonts w:hint="eastAsia" w:ascii="宋体" w:hAnsi="宋体" w:eastAsia="宋体" w:cs="宋体"/>
          <w:b/>
          <w:bCs/>
          <w:color w:val="auto"/>
          <w:kern w:val="0"/>
          <w:sz w:val="52"/>
          <w:szCs w:val="52"/>
          <w:highlight w:val="none"/>
          <w:lang w:eastAsia="zh-CN"/>
        </w:rPr>
      </w:pPr>
      <w:r>
        <w:rPr>
          <w:rFonts w:hint="eastAsia" w:ascii="宋体" w:hAnsi="宋体" w:eastAsia="宋体" w:cs="宋体"/>
          <w:b/>
          <w:bCs/>
          <w:color w:val="auto"/>
          <w:kern w:val="0"/>
          <w:sz w:val="52"/>
          <w:szCs w:val="52"/>
          <w:highlight w:val="none"/>
          <w:lang w:eastAsia="zh-CN"/>
        </w:rPr>
        <w:t>确山县人民医院新区医院传染病区</w:t>
      </w:r>
    </w:p>
    <w:p w14:paraId="2D6E7FE0">
      <w:pPr>
        <w:widowControl/>
        <w:wordWrap w:val="0"/>
        <w:spacing w:line="480" w:lineRule="auto"/>
        <w:jc w:val="center"/>
        <w:rPr>
          <w:rFonts w:hint="eastAsia" w:ascii="宋体" w:hAnsi="宋体" w:eastAsia="宋体" w:cs="宋体"/>
          <w:b/>
          <w:bCs/>
          <w:color w:val="auto"/>
          <w:kern w:val="0"/>
          <w:sz w:val="44"/>
          <w:szCs w:val="44"/>
          <w:highlight w:val="none"/>
          <w:lang w:eastAsia="zh-CN"/>
        </w:rPr>
      </w:pPr>
      <w:r>
        <w:rPr>
          <w:rFonts w:hint="eastAsia" w:ascii="宋体" w:hAnsi="宋体" w:eastAsia="宋体" w:cs="宋体"/>
          <w:b/>
          <w:bCs/>
          <w:color w:val="auto"/>
          <w:kern w:val="0"/>
          <w:sz w:val="52"/>
          <w:szCs w:val="52"/>
          <w:highlight w:val="none"/>
          <w:lang w:eastAsia="zh-CN"/>
        </w:rPr>
        <w:t>采购电梯项目</w:t>
      </w:r>
    </w:p>
    <w:p w14:paraId="44418B72">
      <w:pPr>
        <w:widowControl/>
        <w:wordWrap w:val="0"/>
        <w:spacing w:line="480" w:lineRule="auto"/>
        <w:rPr>
          <w:rFonts w:hint="eastAsia" w:ascii="宋体" w:hAnsi="宋体" w:eastAsia="宋体" w:cs="宋体"/>
          <w:b/>
          <w:bCs/>
          <w:color w:val="auto"/>
          <w:kern w:val="0"/>
          <w:sz w:val="40"/>
          <w:szCs w:val="40"/>
          <w:highlight w:val="none"/>
        </w:rPr>
      </w:pPr>
    </w:p>
    <w:p w14:paraId="072B9BF5">
      <w:pPr>
        <w:pStyle w:val="3"/>
        <w:ind w:left="63" w:right="63"/>
        <w:rPr>
          <w:rFonts w:hint="eastAsia" w:ascii="宋体" w:hAnsi="宋体" w:eastAsia="宋体" w:cs="宋体"/>
          <w:b/>
          <w:bCs/>
          <w:color w:val="auto"/>
          <w:kern w:val="0"/>
          <w:sz w:val="40"/>
          <w:szCs w:val="40"/>
          <w:highlight w:val="none"/>
        </w:rPr>
      </w:pPr>
    </w:p>
    <w:p w14:paraId="2B8091C0">
      <w:pPr>
        <w:pStyle w:val="4"/>
        <w:rPr>
          <w:rFonts w:hint="eastAsia" w:ascii="宋体" w:hAnsi="宋体" w:eastAsia="宋体" w:cs="宋体"/>
          <w:b/>
          <w:bCs/>
          <w:color w:val="auto"/>
          <w:highlight w:val="none"/>
        </w:rPr>
      </w:pPr>
    </w:p>
    <w:p w14:paraId="10CFEE85">
      <w:pPr>
        <w:pStyle w:val="4"/>
        <w:rPr>
          <w:rFonts w:hint="eastAsia" w:ascii="宋体" w:hAnsi="宋体" w:eastAsia="宋体" w:cs="宋体"/>
          <w:b/>
          <w:bCs/>
          <w:color w:val="auto"/>
          <w:highlight w:val="none"/>
        </w:rPr>
      </w:pPr>
    </w:p>
    <w:p w14:paraId="1B296E2A">
      <w:pPr>
        <w:widowControl/>
        <w:wordWrap w:val="0"/>
        <w:spacing w:line="480" w:lineRule="auto"/>
        <w:jc w:val="center"/>
        <w:rPr>
          <w:rFonts w:hint="eastAsia" w:ascii="宋体" w:hAnsi="宋体" w:eastAsia="宋体" w:cs="宋体"/>
          <w:b/>
          <w:bCs/>
          <w:color w:val="auto"/>
          <w:kern w:val="0"/>
          <w:sz w:val="52"/>
          <w:szCs w:val="52"/>
          <w:highlight w:val="none"/>
          <w:lang w:eastAsia="zh-CN"/>
        </w:rPr>
      </w:pPr>
      <w:r>
        <w:rPr>
          <w:rFonts w:hint="eastAsia" w:ascii="宋体" w:hAnsi="宋体" w:eastAsia="宋体" w:cs="宋体"/>
          <w:b/>
          <w:bCs/>
          <w:color w:val="auto"/>
          <w:kern w:val="0"/>
          <w:sz w:val="52"/>
          <w:szCs w:val="52"/>
          <w:highlight w:val="none"/>
          <w:lang w:eastAsia="zh-CN"/>
        </w:rPr>
        <w:t>招标文件</w:t>
      </w:r>
    </w:p>
    <w:p w14:paraId="1C873882">
      <w:pPr>
        <w:widowControl/>
        <w:wordWrap w:val="0"/>
        <w:spacing w:before="156" w:after="156" w:line="480" w:lineRule="auto"/>
        <w:ind w:firstLine="1968" w:firstLineChars="700"/>
        <w:jc w:val="both"/>
        <w:rPr>
          <w:rFonts w:hint="eastAsia" w:ascii="宋体" w:hAnsi="宋体" w:eastAsia="宋体" w:cs="宋体"/>
          <w:b/>
          <w:color w:val="auto"/>
          <w:kern w:val="0"/>
          <w:sz w:val="28"/>
          <w:szCs w:val="28"/>
          <w:highlight w:val="none"/>
          <w:lang w:eastAsia="zh-CN"/>
        </w:rPr>
      </w:pPr>
      <w:r>
        <w:rPr>
          <w:rFonts w:hint="eastAsia" w:ascii="宋体" w:hAnsi="宋体" w:eastAsia="宋体" w:cs="宋体"/>
          <w:b/>
          <w:color w:val="auto"/>
          <w:kern w:val="0"/>
          <w:sz w:val="28"/>
          <w:szCs w:val="28"/>
          <w:highlight w:val="none"/>
        </w:rPr>
        <w:t>项目编号：</w:t>
      </w:r>
      <w:r>
        <w:rPr>
          <w:rFonts w:hint="eastAsia" w:ascii="宋体" w:hAnsi="宋体" w:eastAsia="宋体" w:cs="宋体"/>
          <w:b/>
          <w:bCs/>
          <w:sz w:val="28"/>
          <w:szCs w:val="36"/>
          <w:highlight w:val="none"/>
          <w:lang w:val="en-US" w:eastAsia="zh-CN"/>
        </w:rPr>
        <w:t>确建招【2025】26号</w:t>
      </w:r>
    </w:p>
    <w:p w14:paraId="3401EAD6">
      <w:pPr>
        <w:widowControl/>
        <w:wordWrap w:val="0"/>
        <w:spacing w:before="156" w:after="156" w:line="480" w:lineRule="auto"/>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 xml:space="preserve"> </w:t>
      </w:r>
    </w:p>
    <w:p w14:paraId="6FB467DB">
      <w:pPr>
        <w:pStyle w:val="5"/>
        <w:ind w:left="0" w:leftChars="0" w:firstLine="0"/>
        <w:rPr>
          <w:rFonts w:hint="eastAsia" w:ascii="宋体" w:hAnsi="宋体" w:eastAsia="宋体" w:cs="宋体"/>
          <w:color w:val="auto"/>
          <w:highlight w:val="none"/>
        </w:rPr>
      </w:pPr>
    </w:p>
    <w:p w14:paraId="19BB676A">
      <w:pPr>
        <w:rPr>
          <w:rFonts w:hint="eastAsia" w:ascii="宋体" w:hAnsi="宋体" w:eastAsia="宋体" w:cs="宋体"/>
          <w:color w:val="auto"/>
          <w:highlight w:val="none"/>
        </w:rPr>
      </w:pPr>
    </w:p>
    <w:p w14:paraId="49303B10">
      <w:pPr>
        <w:pStyle w:val="4"/>
        <w:jc w:val="both"/>
        <w:rPr>
          <w:rFonts w:hint="eastAsia" w:ascii="宋体" w:hAnsi="宋体" w:eastAsia="宋体" w:cs="宋体"/>
          <w:b/>
          <w:color w:val="auto"/>
          <w:kern w:val="0"/>
          <w:sz w:val="28"/>
          <w:szCs w:val="28"/>
          <w:highlight w:val="none"/>
        </w:rPr>
      </w:pPr>
    </w:p>
    <w:p w14:paraId="0487A79A">
      <w:pPr>
        <w:pStyle w:val="3"/>
        <w:rPr>
          <w:rFonts w:hint="eastAsia" w:ascii="宋体" w:hAnsi="宋体" w:eastAsia="宋体" w:cs="宋体"/>
          <w:highlight w:val="none"/>
        </w:rPr>
      </w:pPr>
    </w:p>
    <w:p w14:paraId="1D36768A">
      <w:pPr>
        <w:pStyle w:val="3"/>
        <w:ind w:left="63" w:right="63"/>
        <w:rPr>
          <w:rFonts w:hint="eastAsia" w:ascii="宋体" w:hAnsi="宋体" w:eastAsia="宋体" w:cs="宋体"/>
          <w:color w:val="auto"/>
          <w:highlight w:val="none"/>
        </w:rPr>
      </w:pPr>
    </w:p>
    <w:p w14:paraId="1BA92354">
      <w:pPr>
        <w:spacing w:line="360" w:lineRule="auto"/>
        <w:ind w:left="0" w:leftChars="0" w:firstLine="1063" w:firstLineChars="331"/>
        <w:rPr>
          <w:rFonts w:hint="eastAsia" w:ascii="宋体" w:hAnsi="宋体" w:eastAsia="宋体" w:cs="宋体"/>
          <w:b/>
          <w:sz w:val="30"/>
          <w:szCs w:val="30"/>
        </w:rPr>
      </w:pPr>
      <w:r>
        <w:rPr>
          <w:rFonts w:hint="eastAsia" w:ascii="宋体" w:hAnsi="宋体" w:eastAsia="宋体" w:cs="宋体"/>
          <w:b/>
          <w:sz w:val="32"/>
          <w:szCs w:val="32"/>
        </w:rPr>
        <w:t>招</w:t>
      </w: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rPr>
        <w:t>标</w:t>
      </w: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lang w:eastAsia="zh-CN"/>
        </w:rPr>
        <w:t>人</w:t>
      </w:r>
      <w:r>
        <w:rPr>
          <w:rFonts w:hint="eastAsia" w:ascii="宋体" w:hAnsi="宋体" w:eastAsia="宋体" w:cs="宋体"/>
          <w:b/>
          <w:sz w:val="32"/>
          <w:szCs w:val="32"/>
        </w:rPr>
        <w:t>：</w:t>
      </w:r>
      <w:r>
        <w:rPr>
          <w:rFonts w:hint="eastAsia" w:ascii="宋体" w:hAnsi="宋体" w:eastAsia="宋体" w:cs="宋体"/>
          <w:b/>
          <w:sz w:val="32"/>
          <w:szCs w:val="32"/>
          <w:lang w:eastAsia="zh-CN"/>
        </w:rPr>
        <w:t>确山县卫生健康体育委员会</w:t>
      </w:r>
      <w:r>
        <w:rPr>
          <w:rFonts w:hint="eastAsia" w:ascii="宋体" w:hAnsi="宋体" w:eastAsia="宋体" w:cs="宋体"/>
          <w:b/>
          <w:sz w:val="32"/>
          <w:szCs w:val="32"/>
        </w:rPr>
        <w:t xml:space="preserve"> </w:t>
      </w:r>
    </w:p>
    <w:p w14:paraId="36176037">
      <w:pPr>
        <w:spacing w:line="360" w:lineRule="auto"/>
        <w:ind w:left="0" w:leftChars="0" w:firstLine="1063" w:firstLineChars="331"/>
        <w:rPr>
          <w:rFonts w:hint="eastAsia" w:ascii="宋体" w:hAnsi="宋体" w:eastAsia="宋体" w:cs="宋体"/>
          <w:b/>
          <w:sz w:val="32"/>
          <w:szCs w:val="32"/>
          <w:lang w:eastAsia="zh-CN"/>
        </w:rPr>
      </w:pPr>
      <w:r>
        <w:rPr>
          <w:rFonts w:hint="eastAsia" w:ascii="宋体" w:hAnsi="宋体" w:eastAsia="宋体" w:cs="宋体"/>
          <w:b/>
          <w:sz w:val="32"/>
          <w:szCs w:val="32"/>
        </w:rPr>
        <w:t>代理机构：</w:t>
      </w:r>
      <w:r>
        <w:rPr>
          <w:rFonts w:hint="eastAsia" w:ascii="宋体" w:hAnsi="宋体" w:eastAsia="宋体" w:cs="宋体"/>
          <w:b/>
          <w:sz w:val="32"/>
          <w:szCs w:val="32"/>
          <w:lang w:eastAsia="zh-CN"/>
        </w:rPr>
        <w:t>中誉恒信工程管理有限公司</w:t>
      </w:r>
    </w:p>
    <w:p w14:paraId="60A05E4E">
      <w:pPr>
        <w:spacing w:line="360" w:lineRule="auto"/>
        <w:ind w:left="0" w:leftChars="0" w:firstLine="1063" w:firstLineChars="331"/>
        <w:rPr>
          <w:rFonts w:hint="eastAsia" w:ascii="宋体" w:hAnsi="宋体" w:eastAsia="宋体" w:cs="宋体"/>
          <w:b/>
          <w:sz w:val="36"/>
          <w:szCs w:val="36"/>
        </w:rPr>
        <w:sectPr>
          <w:headerReference r:id="rId3" w:type="default"/>
          <w:footerReference r:id="rId4" w:type="default"/>
          <w:pgSz w:w="11906" w:h="16838"/>
          <w:pgMar w:top="1587" w:right="1587" w:bottom="1587" w:left="1587" w:header="720" w:footer="720" w:gutter="0"/>
          <w:pgNumType w:fmt="numberInDash" w:start="1"/>
          <w:cols w:space="720" w:num="1"/>
          <w:titlePg/>
          <w:rtlGutter w:val="0"/>
          <w:docGrid w:linePitch="287" w:charSpace="0"/>
        </w:sectPr>
      </w:pPr>
      <w:r>
        <w:rPr>
          <w:rFonts w:hint="eastAsia" w:ascii="宋体" w:hAnsi="宋体" w:eastAsia="宋体" w:cs="宋体"/>
          <w:b/>
          <w:sz w:val="32"/>
          <w:szCs w:val="32"/>
        </w:rPr>
        <w:t xml:space="preserve">日 </w:t>
      </w: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rPr>
        <w:t>期： 二〇二</w:t>
      </w:r>
      <w:r>
        <w:rPr>
          <w:rFonts w:hint="eastAsia" w:ascii="宋体" w:hAnsi="宋体" w:eastAsia="宋体" w:cs="宋体"/>
          <w:b/>
          <w:sz w:val="32"/>
          <w:szCs w:val="32"/>
          <w:lang w:val="en-US" w:eastAsia="zh-CN"/>
        </w:rPr>
        <w:t>五</w:t>
      </w:r>
      <w:r>
        <w:rPr>
          <w:rFonts w:hint="eastAsia" w:ascii="宋体" w:hAnsi="宋体" w:eastAsia="宋体" w:cs="宋体"/>
          <w:b/>
          <w:sz w:val="32"/>
          <w:szCs w:val="32"/>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rPr>
        <w:t>月</w:t>
      </w:r>
    </w:p>
    <w:p w14:paraId="4DA248D0">
      <w:pPr>
        <w:widowControl/>
        <w:wordWrap w:val="0"/>
        <w:spacing w:before="156" w:after="156"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目         录</w:t>
      </w:r>
    </w:p>
    <w:p w14:paraId="12EB79E9">
      <w:pPr>
        <w:widowControl/>
        <w:wordWrap w:val="0"/>
        <w:spacing w:before="156" w:beforeLines="50" w:line="480" w:lineRule="exact"/>
        <w:ind w:firstLine="1440" w:firstLineChars="6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第一章    招标公告</w:t>
      </w:r>
    </w:p>
    <w:p w14:paraId="0354B96B">
      <w:pPr>
        <w:widowControl/>
        <w:wordWrap w:val="0"/>
        <w:spacing w:before="156" w:beforeLines="50" w:line="480" w:lineRule="exact"/>
        <w:ind w:firstLine="1440" w:firstLineChars="6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第二章    招标需求</w:t>
      </w:r>
    </w:p>
    <w:p w14:paraId="18414CEF">
      <w:pPr>
        <w:widowControl/>
        <w:wordWrap w:val="0"/>
        <w:spacing w:before="156" w:beforeLines="50" w:line="480" w:lineRule="exact"/>
        <w:ind w:firstLine="1440" w:firstLineChars="6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第三章    </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须知</w:t>
      </w:r>
    </w:p>
    <w:p w14:paraId="7688C9C8">
      <w:pPr>
        <w:widowControl/>
        <w:wordWrap w:val="0"/>
        <w:spacing w:before="156" w:beforeLines="50" w:line="480" w:lineRule="exact"/>
        <w:ind w:firstLine="2640" w:firstLineChars="1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须知前附表</w:t>
      </w:r>
    </w:p>
    <w:p w14:paraId="2F1553EF">
      <w:pPr>
        <w:widowControl/>
        <w:wordWrap w:val="0"/>
        <w:spacing w:before="156" w:beforeLines="50" w:line="480" w:lineRule="exact"/>
        <w:ind w:firstLine="2640" w:firstLineChars="1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一.说明</w:t>
      </w:r>
    </w:p>
    <w:p w14:paraId="6285A673">
      <w:pPr>
        <w:widowControl/>
        <w:wordWrap w:val="0"/>
        <w:spacing w:before="156" w:beforeLines="50" w:line="480" w:lineRule="exact"/>
        <w:ind w:left="1619" w:leftChars="771" w:firstLine="1200" w:firstLineChars="5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二.招标文件</w:t>
      </w:r>
    </w:p>
    <w:p w14:paraId="33351835">
      <w:pPr>
        <w:widowControl/>
        <w:wordWrap w:val="0"/>
        <w:spacing w:before="156" w:beforeLines="50" w:line="480" w:lineRule="exact"/>
        <w:ind w:left="1619" w:leftChars="771" w:firstLine="1200" w:firstLineChars="5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三.投标文件的编制</w:t>
      </w:r>
    </w:p>
    <w:p w14:paraId="7FEBED81">
      <w:pPr>
        <w:widowControl/>
        <w:wordWrap w:val="0"/>
        <w:spacing w:before="156" w:beforeLines="50" w:line="480" w:lineRule="exact"/>
        <w:ind w:left="1619" w:leftChars="771" w:firstLine="1200" w:firstLineChars="5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四.投标文件的上传、递交</w:t>
      </w:r>
    </w:p>
    <w:p w14:paraId="51C015F0">
      <w:pPr>
        <w:widowControl/>
        <w:wordWrap w:val="0"/>
        <w:spacing w:before="156" w:beforeLines="50" w:line="480" w:lineRule="exact"/>
        <w:ind w:left="1619" w:leftChars="771" w:firstLine="1200" w:firstLineChars="5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五.开标</w:t>
      </w:r>
    </w:p>
    <w:p w14:paraId="743B6913">
      <w:pPr>
        <w:widowControl/>
        <w:wordWrap w:val="0"/>
        <w:spacing w:before="156" w:beforeLines="50" w:line="480" w:lineRule="exact"/>
        <w:ind w:left="1619" w:leftChars="771" w:firstLine="1200" w:firstLineChars="5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六.评标</w:t>
      </w:r>
    </w:p>
    <w:p w14:paraId="21E0C5D4">
      <w:pPr>
        <w:widowControl/>
        <w:wordWrap w:val="0"/>
        <w:spacing w:before="156" w:beforeLines="50" w:line="480" w:lineRule="exact"/>
        <w:ind w:left="1619" w:leftChars="771" w:firstLine="1200" w:firstLineChars="5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七.定标</w:t>
      </w:r>
    </w:p>
    <w:p w14:paraId="65DEF099">
      <w:pPr>
        <w:widowControl/>
        <w:wordWrap w:val="0"/>
        <w:spacing w:before="156" w:beforeLines="50" w:line="480" w:lineRule="exact"/>
        <w:ind w:left="1619" w:leftChars="771" w:firstLine="1200" w:firstLineChars="5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八.合同授予</w:t>
      </w:r>
    </w:p>
    <w:p w14:paraId="4CC938F6">
      <w:pPr>
        <w:widowControl/>
        <w:wordWrap w:val="0"/>
        <w:spacing w:before="156" w:beforeLines="50" w:line="480" w:lineRule="exact"/>
        <w:ind w:firstLine="1440" w:firstLineChars="6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第四章    评标办法及评分标准</w:t>
      </w:r>
    </w:p>
    <w:p w14:paraId="2F254C3E">
      <w:pPr>
        <w:widowControl/>
        <w:wordWrap w:val="0"/>
        <w:spacing w:before="156" w:beforeLines="50" w:line="480" w:lineRule="exact"/>
        <w:ind w:firstLine="1440" w:firstLineChars="6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第五章    合同主要条款</w:t>
      </w:r>
    </w:p>
    <w:p w14:paraId="601EF785">
      <w:pPr>
        <w:widowControl/>
        <w:wordWrap w:val="0"/>
        <w:spacing w:before="156" w:beforeLines="50" w:line="480" w:lineRule="exact"/>
        <w:ind w:firstLine="1440" w:firstLineChars="6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第六章    投标文件格式</w:t>
      </w:r>
    </w:p>
    <w:p w14:paraId="311A5AFC">
      <w:pPr>
        <w:widowControl/>
        <w:wordWrap w:val="0"/>
        <w:spacing w:before="156" w:beforeLines="50" w:line="480" w:lineRule="exact"/>
        <w:ind w:left="134" w:leftChars="64" w:firstLine="1870" w:firstLineChars="85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 </w:t>
      </w:r>
    </w:p>
    <w:p w14:paraId="3695B240">
      <w:pPr>
        <w:widowControl/>
        <w:wordWrap w:val="0"/>
        <w:spacing w:before="156" w:beforeLines="50" w:line="480" w:lineRule="exact"/>
        <w:ind w:left="134" w:leftChars="64" w:firstLine="2380" w:firstLineChars="850"/>
        <w:jc w:val="left"/>
        <w:rPr>
          <w:rFonts w:hint="eastAsia" w:ascii="宋体" w:hAnsi="宋体" w:eastAsia="宋体" w:cs="宋体"/>
          <w:color w:val="auto"/>
          <w:kern w:val="0"/>
          <w:sz w:val="28"/>
          <w:highlight w:val="none"/>
        </w:rPr>
      </w:pPr>
      <w:r>
        <w:rPr>
          <w:rFonts w:hint="eastAsia" w:ascii="宋体" w:hAnsi="宋体" w:eastAsia="宋体" w:cs="宋体"/>
          <w:color w:val="auto"/>
          <w:kern w:val="0"/>
          <w:sz w:val="28"/>
          <w:highlight w:val="none"/>
        </w:rPr>
        <w:t xml:space="preserve"> </w:t>
      </w:r>
    </w:p>
    <w:p w14:paraId="5B7BC1BA">
      <w:pPr>
        <w:widowControl/>
        <w:wordWrap w:val="0"/>
        <w:spacing w:before="156" w:beforeLines="50" w:line="480" w:lineRule="exact"/>
        <w:ind w:left="134" w:leftChars="64" w:firstLine="2380" w:firstLineChars="850"/>
        <w:jc w:val="left"/>
        <w:rPr>
          <w:rFonts w:hint="eastAsia" w:ascii="宋体" w:hAnsi="宋体" w:eastAsia="宋体" w:cs="宋体"/>
          <w:color w:val="auto"/>
          <w:kern w:val="0"/>
          <w:sz w:val="28"/>
          <w:highlight w:val="none"/>
        </w:rPr>
      </w:pPr>
      <w:r>
        <w:rPr>
          <w:rFonts w:hint="eastAsia" w:ascii="宋体" w:hAnsi="宋体" w:eastAsia="宋体" w:cs="宋体"/>
          <w:color w:val="auto"/>
          <w:kern w:val="0"/>
          <w:sz w:val="28"/>
          <w:highlight w:val="none"/>
        </w:rPr>
        <w:t xml:space="preserve"> </w:t>
      </w:r>
    </w:p>
    <w:p w14:paraId="777A9ACC">
      <w:pPr>
        <w:widowControl/>
        <w:wordWrap w:val="0"/>
        <w:spacing w:before="156" w:beforeLines="50" w:line="480" w:lineRule="exact"/>
        <w:ind w:left="134" w:leftChars="64" w:firstLine="2380" w:firstLineChars="850"/>
        <w:jc w:val="left"/>
        <w:rPr>
          <w:rFonts w:hint="eastAsia" w:ascii="宋体" w:hAnsi="宋体" w:eastAsia="宋体" w:cs="宋体"/>
          <w:color w:val="auto"/>
          <w:kern w:val="0"/>
          <w:sz w:val="28"/>
          <w:highlight w:val="none"/>
        </w:rPr>
      </w:pPr>
    </w:p>
    <w:p w14:paraId="05494B7F">
      <w:pPr>
        <w:widowControl/>
        <w:snapToGrid w:val="0"/>
        <w:spacing w:before="156" w:beforeLines="50" w:line="360" w:lineRule="auto"/>
        <w:jc w:val="center"/>
        <w:rPr>
          <w:rFonts w:hint="eastAsia" w:ascii="宋体" w:hAnsi="宋体" w:eastAsia="宋体" w:cs="宋体"/>
          <w:b/>
          <w:color w:val="auto"/>
          <w:kern w:val="0"/>
          <w:sz w:val="28"/>
          <w:szCs w:val="28"/>
          <w:highlight w:val="none"/>
        </w:rPr>
      </w:pPr>
    </w:p>
    <w:p w14:paraId="06BDB49B">
      <w:pPr>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第一章  招标公告</w:t>
      </w:r>
    </w:p>
    <w:p w14:paraId="115CE574">
      <w:pPr>
        <w:spacing w:line="480" w:lineRule="exact"/>
        <w:ind w:firstLine="643" w:firstLineChars="200"/>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确山县人民医院新区医院传染病区采购电梯项目</w:t>
      </w:r>
    </w:p>
    <w:p w14:paraId="777CB280">
      <w:pPr>
        <w:spacing w:line="480" w:lineRule="exact"/>
        <w:ind w:firstLine="643" w:firstLineChars="20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招标公告</w:t>
      </w:r>
    </w:p>
    <w:p w14:paraId="4C5DA2BA">
      <w:pPr>
        <w:pBdr>
          <w:top w:val="single" w:color="auto" w:sz="4" w:space="1"/>
          <w:left w:val="single" w:color="auto" w:sz="4" w:space="4"/>
          <w:bottom w:val="single" w:color="auto" w:sz="4" w:space="1"/>
          <w:right w:val="single" w:color="auto" w:sz="4" w:space="4"/>
        </w:pBdr>
        <w:spacing w:line="48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项目概况</w:t>
      </w:r>
    </w:p>
    <w:p w14:paraId="6700DECB">
      <w:pPr>
        <w:pBdr>
          <w:top w:val="single" w:color="auto" w:sz="4" w:space="1"/>
          <w:left w:val="single" w:color="auto" w:sz="4" w:space="4"/>
          <w:bottom w:val="single" w:color="auto" w:sz="4" w:space="1"/>
          <w:right w:val="single" w:color="auto" w:sz="4" w:space="4"/>
        </w:pBd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确山县人民医院新区医院传染病区采购电梯项目的潜在投标人应在驻马店市公共资源交易平台获取招标文件，并于202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年</w:t>
      </w:r>
      <w:r>
        <w:rPr>
          <w:rFonts w:hint="eastAsia" w:ascii="宋体" w:hAnsi="宋体" w:eastAsia="宋体" w:cs="宋体"/>
          <w:color w:val="auto"/>
          <w:sz w:val="24"/>
          <w:szCs w:val="24"/>
          <w:highlight w:val="none"/>
          <w:u w:val="single"/>
          <w:lang w:val="en-US" w:eastAsia="zh-CN"/>
        </w:rPr>
        <w:t>8</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19</w:t>
      </w:r>
      <w:r>
        <w:rPr>
          <w:rFonts w:hint="eastAsia" w:ascii="宋体" w:hAnsi="宋体" w:eastAsia="宋体" w:cs="宋体"/>
          <w:color w:val="auto"/>
          <w:sz w:val="24"/>
          <w:szCs w:val="24"/>
          <w:highlight w:val="none"/>
          <w:u w:val="single"/>
        </w:rPr>
        <w:t>日09时</w:t>
      </w:r>
      <w:r>
        <w:rPr>
          <w:rFonts w:hint="eastAsia" w:ascii="宋体" w:hAnsi="宋体" w:eastAsia="宋体" w:cs="宋体"/>
          <w:bCs/>
          <w:color w:val="auto"/>
          <w:sz w:val="24"/>
          <w:szCs w:val="24"/>
          <w:highlight w:val="none"/>
          <w:u w:val="single"/>
        </w:rPr>
        <w:t>00分</w:t>
      </w:r>
      <w:r>
        <w:rPr>
          <w:rFonts w:hint="eastAsia" w:ascii="宋体" w:hAnsi="宋体" w:eastAsia="宋体" w:cs="宋体"/>
          <w:color w:val="auto"/>
          <w:sz w:val="24"/>
          <w:szCs w:val="24"/>
          <w:highlight w:val="none"/>
        </w:rPr>
        <w:t>（北京时间）前递交投标文件。</w:t>
      </w:r>
    </w:p>
    <w:p w14:paraId="1FDAE421">
      <w:pPr>
        <w:spacing w:line="480" w:lineRule="exact"/>
        <w:ind w:firstLine="482" w:firstLineChars="200"/>
        <w:rPr>
          <w:rFonts w:hint="eastAsia" w:ascii="宋体" w:hAnsi="宋体" w:eastAsia="宋体" w:cs="宋体"/>
          <w:b/>
          <w:color w:val="auto"/>
          <w:sz w:val="24"/>
          <w:szCs w:val="24"/>
          <w:highlight w:val="none"/>
        </w:rPr>
      </w:pPr>
      <w:bookmarkStart w:id="0" w:name="_Toc35393790"/>
      <w:bookmarkStart w:id="1" w:name="_Toc28359002"/>
      <w:bookmarkStart w:id="2" w:name="_Toc28359079"/>
      <w:bookmarkStart w:id="3" w:name="_Toc35393621"/>
      <w:bookmarkStart w:id="4" w:name="_Hlk24379207"/>
      <w:r>
        <w:rPr>
          <w:rFonts w:hint="eastAsia" w:ascii="宋体" w:hAnsi="宋体" w:eastAsia="宋体" w:cs="宋体"/>
          <w:b/>
          <w:color w:val="auto"/>
          <w:sz w:val="24"/>
          <w:szCs w:val="24"/>
          <w:highlight w:val="none"/>
        </w:rPr>
        <w:t>一、项目基本情况</w:t>
      </w:r>
      <w:bookmarkEnd w:id="0"/>
      <w:bookmarkEnd w:id="1"/>
      <w:bookmarkEnd w:id="2"/>
      <w:bookmarkEnd w:id="3"/>
      <w:r>
        <w:rPr>
          <w:rFonts w:hint="eastAsia" w:ascii="宋体" w:hAnsi="宋体" w:eastAsia="宋体" w:cs="宋体"/>
          <w:b/>
          <w:color w:val="auto"/>
          <w:sz w:val="24"/>
          <w:szCs w:val="24"/>
          <w:highlight w:val="none"/>
        </w:rPr>
        <w:t>：</w:t>
      </w:r>
    </w:p>
    <w:p w14:paraId="156B4DDA">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1.项目编号：</w:t>
      </w:r>
      <w:r>
        <w:rPr>
          <w:rFonts w:hint="eastAsia" w:ascii="宋体" w:hAnsi="宋体" w:eastAsia="宋体" w:cs="宋体"/>
          <w:color w:val="auto"/>
          <w:sz w:val="24"/>
          <w:szCs w:val="24"/>
          <w:highlight w:val="none"/>
          <w:lang w:val="en-US" w:eastAsia="zh-CN"/>
        </w:rPr>
        <w:t>确建招【2025】26号</w:t>
      </w:r>
    </w:p>
    <w:p w14:paraId="09E51089">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2.项目名称：</w:t>
      </w:r>
      <w:r>
        <w:rPr>
          <w:rFonts w:hint="eastAsia" w:ascii="宋体" w:hAnsi="宋体" w:eastAsia="宋体" w:cs="宋体"/>
          <w:color w:val="auto"/>
          <w:sz w:val="24"/>
          <w:szCs w:val="24"/>
          <w:highlight w:val="none"/>
          <w:lang w:eastAsia="zh-CN"/>
        </w:rPr>
        <w:t>确山县人民医院新区医院传染病区采购电梯项目</w:t>
      </w:r>
    </w:p>
    <w:p w14:paraId="470C5DF5">
      <w:pPr>
        <w:spacing w:line="480" w:lineRule="exact"/>
        <w:ind w:firstLine="720" w:firstLineChars="3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auto"/>
          <w:sz w:val="24"/>
          <w:szCs w:val="24"/>
          <w:highlight w:val="none"/>
          <w:lang w:val="en-US" w:eastAsia="zh-CN"/>
        </w:rPr>
        <w:t>项目代</w:t>
      </w:r>
      <w:r>
        <w:rPr>
          <w:rFonts w:hint="eastAsia" w:ascii="宋体" w:hAnsi="宋体" w:eastAsia="宋体" w:cs="宋体"/>
          <w:color w:val="000000" w:themeColor="text1"/>
          <w:sz w:val="24"/>
          <w:szCs w:val="24"/>
          <w:highlight w:val="none"/>
          <w:lang w:val="en-US" w:eastAsia="zh-CN"/>
          <w14:textFill>
            <w14:solidFill>
              <w14:schemeClr w14:val="tx1"/>
            </w14:solidFill>
          </w14:textFill>
        </w:rPr>
        <w:t>码：2506-411725-04-01-928770</w:t>
      </w:r>
    </w:p>
    <w:p w14:paraId="68E3910D">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3.采购方式：</w:t>
      </w:r>
      <w:bookmarkEnd w:id="4"/>
      <w:r>
        <w:rPr>
          <w:rFonts w:hint="eastAsia" w:ascii="宋体" w:hAnsi="宋体" w:eastAsia="宋体" w:cs="宋体"/>
          <w:color w:val="auto"/>
          <w:sz w:val="24"/>
          <w:szCs w:val="24"/>
          <w:highlight w:val="none"/>
        </w:rPr>
        <w:t>公开招标</w:t>
      </w:r>
    </w:p>
    <w:p w14:paraId="03AADB14">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4.预算金额：</w:t>
      </w:r>
      <w:r>
        <w:rPr>
          <w:rFonts w:hint="eastAsia" w:ascii="宋体" w:hAnsi="宋体" w:eastAsia="宋体" w:cs="宋体"/>
          <w:color w:val="auto"/>
          <w:sz w:val="24"/>
          <w:szCs w:val="24"/>
          <w:highlight w:val="none"/>
          <w:lang w:val="en-US" w:eastAsia="zh-CN"/>
        </w:rPr>
        <w:t>1260000</w:t>
      </w:r>
      <w:r>
        <w:rPr>
          <w:rFonts w:hint="eastAsia" w:ascii="宋体" w:hAnsi="宋体" w:eastAsia="宋体" w:cs="宋体"/>
          <w:color w:val="auto"/>
          <w:sz w:val="24"/>
          <w:szCs w:val="24"/>
          <w:highlight w:val="none"/>
        </w:rPr>
        <w:t>.00元</w:t>
      </w:r>
    </w:p>
    <w:p w14:paraId="23F6EC33">
      <w:pPr>
        <w:spacing w:line="48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最高限价：</w:t>
      </w:r>
      <w:r>
        <w:rPr>
          <w:rFonts w:hint="eastAsia" w:ascii="宋体" w:hAnsi="宋体" w:eastAsia="宋体" w:cs="宋体"/>
          <w:color w:val="auto"/>
          <w:sz w:val="24"/>
          <w:szCs w:val="24"/>
          <w:highlight w:val="none"/>
          <w:lang w:val="en-US" w:eastAsia="zh-CN"/>
        </w:rPr>
        <w:t>1260000</w:t>
      </w:r>
      <w:r>
        <w:rPr>
          <w:rFonts w:hint="eastAsia" w:ascii="宋体" w:hAnsi="宋体" w:eastAsia="宋体" w:cs="宋体"/>
          <w:color w:val="auto"/>
          <w:sz w:val="24"/>
          <w:szCs w:val="24"/>
          <w:highlight w:val="none"/>
        </w:rPr>
        <w:t>.00元</w:t>
      </w:r>
    </w:p>
    <w:tbl>
      <w:tblPr>
        <w:tblStyle w:val="48"/>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891"/>
        <w:gridCol w:w="3299"/>
        <w:gridCol w:w="1653"/>
        <w:gridCol w:w="1768"/>
      </w:tblGrid>
      <w:tr w14:paraId="409B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2" w:hRule="atLeast"/>
          <w:jc w:val="center"/>
        </w:trPr>
        <w:tc>
          <w:tcPr>
            <w:tcW w:w="698" w:type="dxa"/>
            <w:shd w:val="clear" w:color="auto" w:fill="auto"/>
            <w:vAlign w:val="center"/>
          </w:tcPr>
          <w:p w14:paraId="34E121D6">
            <w:pPr>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891" w:type="dxa"/>
            <w:shd w:val="clear" w:color="auto" w:fill="auto"/>
            <w:vAlign w:val="center"/>
          </w:tcPr>
          <w:p w14:paraId="73F56BE7">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包号</w:t>
            </w:r>
          </w:p>
        </w:tc>
        <w:tc>
          <w:tcPr>
            <w:tcW w:w="3299" w:type="dxa"/>
            <w:shd w:val="clear" w:color="auto" w:fill="auto"/>
            <w:vAlign w:val="center"/>
          </w:tcPr>
          <w:p w14:paraId="7FD30C59">
            <w:pPr>
              <w:spacing w:line="48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包名称</w:t>
            </w:r>
          </w:p>
        </w:tc>
        <w:tc>
          <w:tcPr>
            <w:tcW w:w="1653" w:type="dxa"/>
            <w:shd w:val="clear" w:color="auto" w:fill="auto"/>
            <w:vAlign w:val="center"/>
          </w:tcPr>
          <w:p w14:paraId="32D8481E">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包预算（元）</w:t>
            </w:r>
          </w:p>
        </w:tc>
        <w:tc>
          <w:tcPr>
            <w:tcW w:w="1768" w:type="dxa"/>
            <w:shd w:val="clear" w:color="auto" w:fill="auto"/>
            <w:vAlign w:val="center"/>
          </w:tcPr>
          <w:p w14:paraId="1C84F532">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包最高限价（元）</w:t>
            </w:r>
          </w:p>
        </w:tc>
      </w:tr>
      <w:tr w14:paraId="2EFD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8" w:type="dxa"/>
            <w:shd w:val="clear" w:color="auto" w:fill="auto"/>
            <w:vAlign w:val="center"/>
          </w:tcPr>
          <w:p w14:paraId="518758AA">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891" w:type="dxa"/>
            <w:shd w:val="clear" w:color="auto" w:fill="auto"/>
            <w:vAlign w:val="center"/>
          </w:tcPr>
          <w:p w14:paraId="20A971C2">
            <w:pPr>
              <w:spacing w:line="480" w:lineRule="exact"/>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确建招【2025】  26号</w:t>
            </w:r>
          </w:p>
        </w:tc>
        <w:tc>
          <w:tcPr>
            <w:tcW w:w="3299" w:type="dxa"/>
            <w:shd w:val="clear" w:color="auto" w:fill="auto"/>
            <w:vAlign w:val="center"/>
          </w:tcPr>
          <w:p w14:paraId="4F0899C5">
            <w:pPr>
              <w:spacing w:line="480" w:lineRule="exact"/>
              <w:jc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sz w:val="24"/>
                <w:szCs w:val="24"/>
                <w:highlight w:val="none"/>
                <w:lang w:eastAsia="zh-CN"/>
              </w:rPr>
              <w:t>确山县人民医院新区医院传染病区采购电梯项目</w:t>
            </w:r>
          </w:p>
        </w:tc>
        <w:tc>
          <w:tcPr>
            <w:tcW w:w="1653" w:type="dxa"/>
            <w:shd w:val="clear" w:color="auto" w:fill="auto"/>
            <w:vAlign w:val="center"/>
          </w:tcPr>
          <w:p w14:paraId="4FE1DEDD">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1260000.00</w:t>
            </w:r>
          </w:p>
        </w:tc>
        <w:tc>
          <w:tcPr>
            <w:tcW w:w="1768" w:type="dxa"/>
            <w:shd w:val="clear" w:color="auto" w:fill="auto"/>
            <w:vAlign w:val="center"/>
          </w:tcPr>
          <w:p w14:paraId="4C96EBFA">
            <w:pPr>
              <w:spacing w:line="4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1260000.00</w:t>
            </w:r>
          </w:p>
        </w:tc>
      </w:tr>
    </w:tbl>
    <w:p w14:paraId="1A9041A5">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采购需求：5层5站病床电梯4台</w:t>
      </w:r>
      <w:r>
        <w:rPr>
          <w:rFonts w:hint="eastAsia" w:ascii="宋体" w:hAnsi="宋体" w:eastAsia="宋体" w:cs="宋体"/>
          <w:color w:val="auto"/>
          <w:sz w:val="24"/>
          <w:szCs w:val="24"/>
          <w:highlight w:val="none"/>
          <w:lang w:val="en-US" w:eastAsia="zh-CN"/>
        </w:rPr>
        <w:t>电梯采购、安装、调试、验收及相关售后服务等</w:t>
      </w:r>
      <w:r>
        <w:rPr>
          <w:rFonts w:hint="eastAsia" w:ascii="宋体" w:hAnsi="宋体" w:eastAsia="宋体" w:cs="宋体"/>
          <w:color w:val="auto"/>
          <w:sz w:val="24"/>
          <w:szCs w:val="24"/>
          <w:highlight w:val="none"/>
        </w:rPr>
        <w:t>，具体采购需求详见招标文件。</w:t>
      </w:r>
    </w:p>
    <w:p w14:paraId="0A99117E">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交货期：合同签订之日起60日历天内，完成所有供货及安装</w:t>
      </w:r>
      <w:r>
        <w:rPr>
          <w:rFonts w:hint="eastAsia" w:ascii="宋体" w:hAnsi="宋体" w:eastAsia="宋体" w:cs="宋体"/>
          <w:color w:val="auto"/>
          <w:sz w:val="24"/>
          <w:szCs w:val="24"/>
          <w:highlight w:val="none"/>
          <w:lang w:val="en-US" w:eastAsia="zh-CN"/>
        </w:rPr>
        <w:t>。</w:t>
      </w:r>
    </w:p>
    <w:p w14:paraId="37D1BFEE">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交货及安装地点：招标人指定地点。</w:t>
      </w:r>
    </w:p>
    <w:p w14:paraId="7756A725">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8.质量要求：符合国家质量标准及安装标准，并通过质量监督部门验收。</w:t>
      </w:r>
    </w:p>
    <w:p w14:paraId="0F42EA28">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合同履行期限：按合同约定执行。</w:t>
      </w:r>
    </w:p>
    <w:p w14:paraId="1DF124A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.本项目是否接受联合体投标：否</w:t>
      </w:r>
    </w:p>
    <w:p w14:paraId="7F7F1C7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.本项目是否接受进口产品：否</w:t>
      </w:r>
    </w:p>
    <w:p w14:paraId="072CB443">
      <w:pPr>
        <w:spacing w:line="480" w:lineRule="exact"/>
        <w:ind w:firstLine="482" w:firstLineChars="200"/>
        <w:rPr>
          <w:rFonts w:hint="eastAsia" w:ascii="宋体" w:hAnsi="宋体" w:eastAsia="宋体" w:cs="宋体"/>
          <w:b/>
          <w:color w:val="auto"/>
          <w:sz w:val="24"/>
          <w:szCs w:val="24"/>
          <w:highlight w:val="none"/>
        </w:rPr>
      </w:pPr>
      <w:bookmarkStart w:id="5" w:name="_Toc35393791"/>
      <w:bookmarkStart w:id="6" w:name="_Toc35393622"/>
      <w:bookmarkStart w:id="7" w:name="_Toc28359003"/>
      <w:bookmarkStart w:id="8" w:name="_Toc28359080"/>
      <w:r>
        <w:rPr>
          <w:rFonts w:hint="eastAsia" w:ascii="宋体" w:hAnsi="宋体" w:eastAsia="宋体" w:cs="宋体"/>
          <w:b/>
          <w:color w:val="auto"/>
          <w:sz w:val="24"/>
          <w:szCs w:val="24"/>
          <w:highlight w:val="none"/>
        </w:rPr>
        <w:t>二、申请人的资格要求：</w:t>
      </w:r>
      <w:bookmarkEnd w:id="5"/>
      <w:bookmarkEnd w:id="6"/>
      <w:bookmarkEnd w:id="7"/>
      <w:bookmarkEnd w:id="8"/>
    </w:p>
    <w:p w14:paraId="40859101">
      <w:pPr>
        <w:widowControl/>
        <w:spacing w:before="0" w:beforeAutospacing="0" w:after="0" w:afterAutospacing="0" w:line="480" w:lineRule="exact"/>
        <w:ind w:firstLine="480" w:firstLineChars="200"/>
        <w:jc w:val="left"/>
        <w:rPr>
          <w:rFonts w:hint="eastAsia" w:ascii="宋体" w:hAnsi="宋体" w:eastAsia="宋体" w:cs="宋体"/>
          <w:color w:val="auto"/>
          <w:kern w:val="0"/>
          <w:sz w:val="24"/>
          <w:szCs w:val="24"/>
          <w:highlight w:val="none"/>
          <w:lang w:val="en-US" w:eastAsia="zh-CN" w:bidi="ar-SA"/>
        </w:rPr>
      </w:pPr>
      <w:bookmarkStart w:id="9" w:name="_Toc35393623"/>
      <w:bookmarkStart w:id="10" w:name="_Toc28359081"/>
      <w:bookmarkStart w:id="11" w:name="_Toc35393792"/>
      <w:bookmarkStart w:id="12" w:name="_Toc28359004"/>
      <w:r>
        <w:rPr>
          <w:rFonts w:hint="eastAsia" w:ascii="宋体" w:hAnsi="宋体" w:eastAsia="宋体" w:cs="宋体"/>
          <w:color w:val="auto"/>
          <w:kern w:val="0"/>
          <w:sz w:val="24"/>
          <w:szCs w:val="24"/>
          <w:highlight w:val="none"/>
          <w:lang w:val="en-US" w:eastAsia="zh-CN" w:bidi="ar-SA"/>
        </w:rPr>
        <w:t>1.投标人具有独立企业法人资格，并具有有效的营业执照；</w:t>
      </w:r>
    </w:p>
    <w:p w14:paraId="14EBC8E8">
      <w:pPr>
        <w:widowControl/>
        <w:spacing w:before="0" w:beforeAutospacing="0" w:after="0" w:afterAutospacing="0" w:line="480" w:lineRule="exact"/>
        <w:ind w:firstLine="480" w:firstLineChars="2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1）投标人如为制造商：具有有效期内的《中华人民共和国特种设备生产许可证》（许可项目包括电梯制造（含安装、修理、改造）；或具有有效期内的《中华人民共和国特种设备制造许可证》（电梯）B级及以上资质（旧证）和《中华人民共和国特种设备安装改造维修许可证》（电梯）B级及以上资质（旧证）；</w:t>
      </w:r>
    </w:p>
    <w:p w14:paraId="45693AED">
      <w:pPr>
        <w:widowControl/>
        <w:spacing w:before="0" w:beforeAutospacing="0" w:after="0" w:afterAutospacing="0" w:line="480" w:lineRule="exact"/>
        <w:ind w:firstLine="480" w:firstLineChars="2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投标人如为经销商（代理商）：具有有效期内的《中华人民共和国特种设备生产许可证》（许可项目包括电梯安装（含修理）（新证）或《中华人民共和国特种设备安装改造维修许可证》（电梯）B级及以上资质（旧证），并同时提供电梯生产制造商的《中华人民共和国特种设备生产许可证》（许可项目包括电梯制造（含安装、修理、改造）（新证）或《中华人民共和国特种设备制造许可证》（电梯）B级及以上资质（旧证）；</w:t>
      </w:r>
    </w:p>
    <w:p w14:paraId="1E6F4D29">
      <w:pPr>
        <w:widowControl/>
        <w:spacing w:before="0" w:beforeAutospacing="0" w:after="0" w:afterAutospacing="0" w:line="480" w:lineRule="exact"/>
        <w:ind w:firstLine="480" w:firstLineChars="2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投标人拟派项目负责人为本单位正式职工，且具有《中华人民共和国特种设备安全管理和作业人员证》或建设行政主管部门颁发的机电工程专业贰级及以上注册建造师证书（不含临时），提供公司为其最新缴纳的社保证明；</w:t>
      </w:r>
    </w:p>
    <w:p w14:paraId="1EBE441A">
      <w:pPr>
        <w:widowControl/>
        <w:spacing w:before="0" w:beforeAutospacing="0" w:after="0" w:afterAutospacing="0" w:line="480" w:lineRule="exact"/>
        <w:ind w:firstLine="480" w:firstLineChars="2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4.投标人提供近三年度财务报告，且财务状况良好；（审计报告须为经会计事务所或审计机构审计后合法依规出具的财务审计报告，成立不足三年的从成立年度起）；</w:t>
      </w:r>
    </w:p>
    <w:p w14:paraId="6BAA91FE">
      <w:pPr>
        <w:widowControl/>
        <w:spacing w:before="0" w:beforeAutospacing="0" w:after="0" w:afterAutospacing="0" w:line="480" w:lineRule="exact"/>
        <w:ind w:firstLine="480" w:firstLineChars="2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投标人须提供企业在“中国执行信息公开网”的（zxgk.court.gov.cn）的“失信被执行人”、“信用中国”网站（www.creditchina.gov.cn）的“重大税收违法失信主体”、“政府采购严重违法失信行为名单”、“中国政府采购网站（www.ccgp.gov.cn）的“政府采购严重违法失信行为名单”查询结果页面截图，近三年，受到政府或行政主管部门惩处或不良行为记录依法限制项目招标投标的投标人，拒绝参与本项目招投标活动（查询日期在公告发布日期之后）；</w:t>
      </w:r>
    </w:p>
    <w:p w14:paraId="41B81B21">
      <w:pPr>
        <w:widowControl/>
        <w:spacing w:before="0" w:beforeAutospacing="0" w:after="0" w:afterAutospacing="0" w:line="480" w:lineRule="exact"/>
        <w:ind w:firstLine="480" w:firstLineChars="2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6.本项目不接受联合体投标。</w:t>
      </w:r>
    </w:p>
    <w:p w14:paraId="271A1251">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三、获取招标文件</w:t>
      </w:r>
      <w:bookmarkEnd w:id="9"/>
      <w:bookmarkEnd w:id="10"/>
      <w:bookmarkEnd w:id="11"/>
      <w:bookmarkEnd w:id="12"/>
      <w:r>
        <w:rPr>
          <w:rFonts w:hint="eastAsia" w:ascii="宋体" w:hAnsi="宋体" w:eastAsia="宋体" w:cs="宋体"/>
          <w:b/>
          <w:color w:val="auto"/>
          <w:sz w:val="24"/>
          <w:szCs w:val="24"/>
          <w:highlight w:val="none"/>
        </w:rPr>
        <w:t>：</w:t>
      </w:r>
    </w:p>
    <w:p w14:paraId="5BF99FD5">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1.时间：202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日至202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日，每天上午08:00至12:00，下午12:00至1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 xml:space="preserve">0（北京时间，法定节假日除外。） </w:t>
      </w:r>
    </w:p>
    <w:p w14:paraId="68769D0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2.地点：驻马店市公共资源交易中心电子交易平台</w:t>
      </w:r>
    </w:p>
    <w:p w14:paraId="4065A99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3.方式：网上下载</w:t>
      </w:r>
    </w:p>
    <w:p w14:paraId="3A2A8828">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4.售价：0元</w:t>
      </w:r>
    </w:p>
    <w:p w14:paraId="762054C5">
      <w:pPr>
        <w:spacing w:line="480" w:lineRule="exact"/>
        <w:ind w:firstLine="482" w:firstLineChars="200"/>
        <w:rPr>
          <w:rFonts w:hint="eastAsia" w:ascii="宋体" w:hAnsi="宋体" w:eastAsia="宋体" w:cs="宋体"/>
          <w:b/>
          <w:color w:val="auto"/>
          <w:sz w:val="24"/>
          <w:szCs w:val="24"/>
          <w:highlight w:val="none"/>
        </w:rPr>
      </w:pPr>
      <w:bookmarkStart w:id="13" w:name="_Toc35393793"/>
      <w:bookmarkStart w:id="14" w:name="_Toc28359005"/>
      <w:bookmarkStart w:id="15" w:name="_Toc28359082"/>
      <w:bookmarkStart w:id="16" w:name="_Toc35393624"/>
      <w:r>
        <w:rPr>
          <w:rFonts w:hint="eastAsia" w:ascii="宋体" w:hAnsi="宋体" w:eastAsia="宋体" w:cs="宋体"/>
          <w:b/>
          <w:color w:val="auto"/>
          <w:sz w:val="24"/>
          <w:szCs w:val="24"/>
          <w:highlight w:val="none"/>
        </w:rPr>
        <w:t>四、</w:t>
      </w:r>
      <w:bookmarkEnd w:id="13"/>
      <w:bookmarkEnd w:id="14"/>
      <w:bookmarkEnd w:id="15"/>
      <w:bookmarkEnd w:id="16"/>
      <w:r>
        <w:rPr>
          <w:rFonts w:hint="eastAsia" w:ascii="宋体" w:hAnsi="宋体" w:eastAsia="宋体" w:cs="宋体"/>
          <w:b/>
          <w:color w:val="auto"/>
          <w:sz w:val="24"/>
          <w:szCs w:val="24"/>
          <w:highlight w:val="none"/>
        </w:rPr>
        <w:t>投标截止时间及地点：</w:t>
      </w:r>
    </w:p>
    <w:p w14:paraId="31455FC6">
      <w:pPr>
        <w:spacing w:line="48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1.时间：202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年8月19日09时00分（北京时间）</w:t>
      </w:r>
    </w:p>
    <w:p w14:paraId="53FB8614">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2.地点：驻马店市公共资源交易中心电子交易平台。</w:t>
      </w:r>
    </w:p>
    <w:p w14:paraId="34522855">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五、开标时间及地点：</w:t>
      </w:r>
    </w:p>
    <w:p w14:paraId="603A7F5B">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1.时间：202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年8月19日</w:t>
      </w:r>
      <w:r>
        <w:rPr>
          <w:rFonts w:hint="eastAsia" w:ascii="宋体" w:hAnsi="宋体" w:eastAsia="宋体" w:cs="宋体"/>
          <w:bCs/>
          <w:color w:val="auto"/>
          <w:sz w:val="24"/>
          <w:szCs w:val="24"/>
          <w:highlight w:val="none"/>
        </w:rPr>
        <w:t>09时00分</w:t>
      </w:r>
      <w:r>
        <w:rPr>
          <w:rFonts w:hint="eastAsia" w:ascii="宋体" w:hAnsi="宋体" w:eastAsia="宋体" w:cs="宋体"/>
          <w:color w:val="auto"/>
          <w:sz w:val="24"/>
          <w:szCs w:val="24"/>
          <w:highlight w:val="none"/>
        </w:rPr>
        <w:t xml:space="preserve"> (北京时间)。</w:t>
      </w:r>
    </w:p>
    <w:p w14:paraId="28FD9A80">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2.地点</w:t>
      </w:r>
      <w:bookmarkStart w:id="17" w:name="_Toc35393625"/>
      <w:bookmarkStart w:id="18" w:name="_Toc28359007"/>
      <w:bookmarkStart w:id="19" w:name="_Toc28359084"/>
      <w:bookmarkStart w:id="20" w:name="_Toc35393794"/>
      <w:r>
        <w:rPr>
          <w:rFonts w:hint="eastAsia" w:ascii="宋体" w:hAnsi="宋体" w:eastAsia="宋体" w:cs="宋体"/>
          <w:color w:val="auto"/>
          <w:sz w:val="24"/>
          <w:szCs w:val="24"/>
          <w:highlight w:val="none"/>
        </w:rPr>
        <w:t>：确山县公共资源交易中心不见面开标厅。</w:t>
      </w:r>
    </w:p>
    <w:p w14:paraId="6D6D26FD">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w:t>
      </w:r>
      <w:bookmarkEnd w:id="17"/>
      <w:bookmarkEnd w:id="18"/>
      <w:bookmarkEnd w:id="19"/>
      <w:bookmarkEnd w:id="20"/>
      <w:r>
        <w:rPr>
          <w:rFonts w:hint="eastAsia" w:ascii="宋体" w:hAnsi="宋体" w:eastAsia="宋体" w:cs="宋体"/>
          <w:b/>
          <w:color w:val="auto"/>
          <w:sz w:val="24"/>
          <w:szCs w:val="24"/>
          <w:highlight w:val="none"/>
        </w:rPr>
        <w:t>发布公告的媒介及招标公告期限：</w:t>
      </w:r>
    </w:p>
    <w:p w14:paraId="1119FFFD">
      <w:pPr>
        <w:spacing w:line="48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本次招标公告在《</w:t>
      </w:r>
      <w:r>
        <w:rPr>
          <w:rFonts w:hint="eastAsia" w:ascii="宋体" w:hAnsi="宋体" w:eastAsia="宋体" w:cs="宋体"/>
          <w:color w:val="auto"/>
          <w:sz w:val="24"/>
          <w:szCs w:val="24"/>
          <w:highlight w:val="none"/>
          <w:lang w:eastAsia="zh-CN"/>
        </w:rPr>
        <w:t>河南省政府采购网》、《驻马店市公共资源交易中心网站》、《中国招标投标公共服务平台》</w:t>
      </w:r>
      <w:r>
        <w:rPr>
          <w:rFonts w:hint="eastAsia" w:ascii="宋体" w:hAnsi="宋体" w:eastAsia="宋体" w:cs="宋体"/>
          <w:color w:val="auto"/>
          <w:sz w:val="24"/>
          <w:szCs w:val="24"/>
          <w:highlight w:val="none"/>
        </w:rPr>
        <w:t>上发布。招标公告期限为</w:t>
      </w:r>
      <w:r>
        <w:rPr>
          <w:rFonts w:hint="eastAsia" w:ascii="宋体" w:hAnsi="宋体" w:eastAsia="宋体" w:cs="宋体"/>
          <w:color w:val="auto"/>
          <w:kern w:val="0"/>
          <w:sz w:val="24"/>
          <w:szCs w:val="24"/>
          <w:highlight w:val="none"/>
        </w:rPr>
        <w:t>五个工作日。</w:t>
      </w:r>
      <w:bookmarkStart w:id="21" w:name="_Toc35393626"/>
      <w:bookmarkStart w:id="22" w:name="_Toc35393795"/>
    </w:p>
    <w:p w14:paraId="76584688">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七、其他补充事宜</w:t>
      </w:r>
      <w:bookmarkEnd w:id="21"/>
      <w:bookmarkEnd w:id="22"/>
      <w:r>
        <w:rPr>
          <w:rFonts w:hint="eastAsia" w:ascii="宋体" w:hAnsi="宋体" w:eastAsia="宋体" w:cs="宋体"/>
          <w:b/>
          <w:color w:val="auto"/>
          <w:sz w:val="24"/>
          <w:szCs w:val="24"/>
          <w:highlight w:val="none"/>
        </w:rPr>
        <w:t>：</w:t>
      </w:r>
    </w:p>
    <w:p w14:paraId="7CFD6FA5">
      <w:pPr>
        <w:spacing w:line="480" w:lineRule="exact"/>
        <w:ind w:firstLine="480" w:firstLineChars="200"/>
        <w:rPr>
          <w:rFonts w:hint="eastAsia" w:ascii="宋体" w:hAnsi="宋体" w:eastAsia="宋体" w:cs="宋体"/>
          <w:color w:val="auto"/>
          <w:sz w:val="24"/>
          <w:szCs w:val="24"/>
          <w:highlight w:val="none"/>
        </w:rPr>
      </w:pPr>
      <w:bookmarkStart w:id="23" w:name="_Toc28359008"/>
      <w:bookmarkStart w:id="24" w:name="_Toc28359085"/>
      <w:bookmarkStart w:id="25" w:name="_Toc35393627"/>
      <w:bookmarkStart w:id="26" w:name="_Toc35393796"/>
      <w:r>
        <w:rPr>
          <w:rFonts w:hint="eastAsia" w:ascii="宋体" w:hAnsi="宋体" w:eastAsia="宋体" w:cs="宋体"/>
          <w:color w:val="auto"/>
          <w:sz w:val="24"/>
          <w:szCs w:val="24"/>
          <w:highlight w:val="none"/>
        </w:rPr>
        <w:t>1.本项目使用远程不见面交易的模式。</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应于投标截止时间前将加密电子投标文件(.zmdtf格式)在驻马店市公共资源交易中心电子交易平台加密上传，逾期上传其投标将被拒绝。</w:t>
      </w:r>
    </w:p>
    <w:p w14:paraId="4088BFF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注册:</w:t>
      </w:r>
    </w:p>
    <w:p w14:paraId="4335B7A3">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首先通过“驻马店市公共资源交易中心（http://ggzy.zhumadian.gov.cn）”网站“投标人登陆版块”进行交易主体免费注册，然后按网站下载中心（其他）“诚信库申报操作手册”指导填报企业信息和上传有关资料原件的扫描件，完善诚信库信息，自行核验通过后，按网站下载中心（其他）“办理HNXACA单位个人数字证书所需材料下载”准备齐资料，最后到驻马店市公共资源交易中心（驻马店市文明路1196号公共资源交易中心1F大厅）办理 CA 密钥，完成注册。</w:t>
      </w:r>
    </w:p>
    <w:p w14:paraId="28622B42">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3.招标文件下载: </w:t>
      </w:r>
    </w:p>
    <w:p w14:paraId="2D738CD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凡有意参加投标者，登录“驻马店市公共资源交易中心（http://ggzy.zhumadian.gov.cn）”网站，凭领取的企业身份认证锁（CA密钥）登录系统进行网上免费下载招标文件。</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未按规定在网上下载招标文件的，其投标将被拒绝。</w:t>
      </w:r>
    </w:p>
    <w:p w14:paraId="00074582">
      <w:pPr>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八、凡对本次招标提出询问，请按以下方式联系。</w:t>
      </w:r>
      <w:bookmarkEnd w:id="23"/>
      <w:bookmarkEnd w:id="24"/>
      <w:bookmarkEnd w:id="25"/>
      <w:bookmarkEnd w:id="26"/>
    </w:p>
    <w:p w14:paraId="1DACA9AA">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信息</w:t>
      </w:r>
    </w:p>
    <w:p w14:paraId="65099212">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名称：确山县卫生健康体育委员会  </w:t>
      </w:r>
    </w:p>
    <w:p w14:paraId="1B91B785">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地址：确山县龙山大道北段1118号</w:t>
      </w:r>
    </w:p>
    <w:p w14:paraId="2B3640CB">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联系人：李先生      </w:t>
      </w:r>
    </w:p>
    <w:p w14:paraId="1EA8EDE0">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联系</w:t>
      </w:r>
      <w:r>
        <w:rPr>
          <w:rFonts w:hint="eastAsia" w:ascii="宋体" w:hAnsi="宋体" w:eastAsia="宋体" w:cs="宋体"/>
          <w:color w:val="auto"/>
          <w:sz w:val="24"/>
          <w:szCs w:val="24"/>
          <w:highlight w:val="none"/>
          <w:lang w:val="en-US" w:eastAsia="zh-CN"/>
        </w:rPr>
        <w:t>方式</w:t>
      </w:r>
      <w:r>
        <w:rPr>
          <w:rFonts w:hint="eastAsia" w:ascii="宋体" w:hAnsi="宋体" w:eastAsia="宋体" w:cs="宋体"/>
          <w:color w:val="auto"/>
          <w:sz w:val="24"/>
          <w:szCs w:val="24"/>
          <w:highlight w:val="none"/>
          <w:lang w:eastAsia="zh-CN"/>
        </w:rPr>
        <w:t>：1393837</w:t>
      </w:r>
      <w:r>
        <w:rPr>
          <w:rFonts w:hint="eastAsia" w:ascii="宋体" w:hAnsi="宋体" w:eastAsia="宋体" w:cs="宋体"/>
          <w:color w:val="auto"/>
          <w:sz w:val="24"/>
          <w:szCs w:val="24"/>
          <w:highlight w:val="none"/>
          <w:lang w:val="en-US" w:eastAsia="zh-CN"/>
        </w:rPr>
        <w:t>83</w:t>
      </w:r>
      <w:r>
        <w:rPr>
          <w:rFonts w:hint="eastAsia" w:ascii="宋体" w:hAnsi="宋体" w:eastAsia="宋体" w:cs="宋体"/>
          <w:color w:val="auto"/>
          <w:sz w:val="24"/>
          <w:szCs w:val="24"/>
          <w:highlight w:val="none"/>
          <w:lang w:eastAsia="zh-CN"/>
        </w:rPr>
        <w:t>36</w:t>
      </w:r>
    </w:p>
    <w:p w14:paraId="4A865A5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 xml:space="preserve">信息 </w:t>
      </w:r>
    </w:p>
    <w:p w14:paraId="3D4F369B">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名称：中誉恒信工程管理有限公司</w:t>
      </w:r>
    </w:p>
    <w:p w14:paraId="1586DB0B">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地址：河南省郑州市高新技术开发区冬青街46号A区011号</w:t>
      </w:r>
    </w:p>
    <w:p w14:paraId="08B8F9E0">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联系人：卫先生</w:t>
      </w:r>
    </w:p>
    <w:p w14:paraId="4A56F4FB">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联系方式：15239638155</w:t>
      </w:r>
    </w:p>
    <w:p w14:paraId="155D0DC0">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3.项目联系方式 </w:t>
      </w:r>
    </w:p>
    <w:p w14:paraId="68CE698F">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项目联系人：</w:t>
      </w:r>
      <w:r>
        <w:rPr>
          <w:rFonts w:hint="eastAsia" w:ascii="宋体" w:hAnsi="宋体" w:eastAsia="宋体" w:cs="宋体"/>
          <w:color w:val="auto"/>
          <w:sz w:val="24"/>
          <w:szCs w:val="24"/>
          <w:highlight w:val="none"/>
          <w:lang w:eastAsia="zh-CN"/>
        </w:rPr>
        <w:t>李先生      </w:t>
      </w:r>
    </w:p>
    <w:p w14:paraId="20779D94">
      <w:pPr>
        <w:spacing w:line="48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联系</w:t>
      </w:r>
      <w:r>
        <w:rPr>
          <w:rFonts w:hint="eastAsia" w:ascii="宋体" w:hAnsi="宋体" w:eastAsia="宋体" w:cs="宋体"/>
          <w:color w:val="auto"/>
          <w:sz w:val="24"/>
          <w:szCs w:val="24"/>
          <w:highlight w:val="none"/>
          <w:lang w:val="en-US" w:eastAsia="zh-CN"/>
        </w:rPr>
        <w:t>方式</w:t>
      </w:r>
      <w:r>
        <w:rPr>
          <w:rFonts w:hint="eastAsia" w:ascii="宋体" w:hAnsi="宋体" w:eastAsia="宋体" w:cs="宋体"/>
          <w:color w:val="auto"/>
          <w:sz w:val="24"/>
          <w:szCs w:val="24"/>
          <w:highlight w:val="none"/>
          <w:lang w:eastAsia="zh-CN"/>
        </w:rPr>
        <w:t>：1393837</w:t>
      </w:r>
      <w:r>
        <w:rPr>
          <w:rFonts w:hint="eastAsia" w:ascii="宋体" w:hAnsi="宋体" w:eastAsia="宋体" w:cs="宋体"/>
          <w:color w:val="auto"/>
          <w:sz w:val="24"/>
          <w:szCs w:val="24"/>
          <w:highlight w:val="none"/>
          <w:lang w:val="en-US" w:eastAsia="zh-CN"/>
        </w:rPr>
        <w:t>83</w:t>
      </w:r>
      <w:r>
        <w:rPr>
          <w:rFonts w:hint="eastAsia" w:ascii="宋体" w:hAnsi="宋体" w:eastAsia="宋体" w:cs="宋体"/>
          <w:color w:val="auto"/>
          <w:sz w:val="24"/>
          <w:szCs w:val="24"/>
          <w:highlight w:val="none"/>
          <w:lang w:eastAsia="zh-CN"/>
        </w:rPr>
        <w:t>36</w:t>
      </w:r>
    </w:p>
    <w:p w14:paraId="385BC01E">
      <w:pPr>
        <w:spacing w:line="480" w:lineRule="exact"/>
        <w:ind w:firstLine="480" w:firstLineChars="200"/>
        <w:rPr>
          <w:rFonts w:hint="eastAsia" w:ascii="宋体" w:hAnsi="宋体" w:eastAsia="宋体" w:cs="宋体"/>
          <w:color w:val="auto"/>
          <w:sz w:val="24"/>
          <w:szCs w:val="24"/>
          <w:highlight w:val="none"/>
        </w:rPr>
      </w:pPr>
    </w:p>
    <w:p w14:paraId="5443ABDB">
      <w:pPr>
        <w:spacing w:line="480" w:lineRule="exact"/>
        <w:ind w:firstLine="480" w:firstLineChars="200"/>
        <w:rPr>
          <w:rFonts w:hint="eastAsia" w:ascii="宋体" w:hAnsi="宋体" w:eastAsia="宋体" w:cs="宋体"/>
          <w:color w:val="auto"/>
          <w:sz w:val="24"/>
          <w:szCs w:val="24"/>
          <w:highlight w:val="none"/>
        </w:rPr>
      </w:pPr>
    </w:p>
    <w:p w14:paraId="53DFCBBB">
      <w:pPr>
        <w:rPr>
          <w:rFonts w:hint="eastAsia" w:ascii="宋体" w:hAnsi="宋体" w:eastAsia="宋体" w:cs="宋体"/>
          <w:b/>
          <w:color w:val="auto"/>
          <w:kern w:val="0"/>
          <w:sz w:val="32"/>
          <w:szCs w:val="32"/>
          <w:highlight w:val="none"/>
        </w:rPr>
      </w:pPr>
    </w:p>
    <w:p w14:paraId="2F954458">
      <w:pPr>
        <w:pStyle w:val="2"/>
        <w:rPr>
          <w:rFonts w:hint="eastAsia" w:ascii="宋体" w:hAnsi="宋体" w:eastAsia="宋体" w:cs="宋体"/>
          <w:b/>
          <w:color w:val="auto"/>
          <w:kern w:val="0"/>
          <w:sz w:val="32"/>
          <w:szCs w:val="32"/>
          <w:highlight w:val="none"/>
        </w:rPr>
      </w:pPr>
    </w:p>
    <w:p w14:paraId="28E8E45F">
      <w:pPr>
        <w:pStyle w:val="5"/>
        <w:rPr>
          <w:rFonts w:hint="eastAsia" w:ascii="宋体" w:hAnsi="宋体" w:eastAsia="宋体" w:cs="宋体"/>
          <w:b/>
          <w:color w:val="auto"/>
          <w:kern w:val="0"/>
          <w:sz w:val="32"/>
          <w:szCs w:val="32"/>
          <w:highlight w:val="none"/>
        </w:rPr>
      </w:pPr>
    </w:p>
    <w:p w14:paraId="1A849156">
      <w:pPr>
        <w:rPr>
          <w:rFonts w:hint="eastAsia" w:ascii="宋体" w:hAnsi="宋体" w:eastAsia="宋体" w:cs="宋体"/>
          <w:b/>
          <w:color w:val="auto"/>
          <w:kern w:val="0"/>
          <w:sz w:val="32"/>
          <w:szCs w:val="32"/>
          <w:highlight w:val="none"/>
        </w:rPr>
      </w:pPr>
    </w:p>
    <w:p w14:paraId="2FE3B0A6">
      <w:pPr>
        <w:pStyle w:val="2"/>
        <w:rPr>
          <w:rFonts w:hint="eastAsia" w:ascii="宋体" w:hAnsi="宋体" w:eastAsia="宋体" w:cs="宋体"/>
          <w:b/>
          <w:color w:val="auto"/>
          <w:kern w:val="0"/>
          <w:sz w:val="32"/>
          <w:szCs w:val="32"/>
          <w:highlight w:val="none"/>
        </w:rPr>
      </w:pPr>
    </w:p>
    <w:p w14:paraId="216CF991">
      <w:pPr>
        <w:pStyle w:val="5"/>
        <w:rPr>
          <w:rFonts w:hint="eastAsia" w:ascii="宋体" w:hAnsi="宋体" w:eastAsia="宋体" w:cs="宋体"/>
          <w:b/>
          <w:color w:val="auto"/>
          <w:kern w:val="0"/>
          <w:sz w:val="32"/>
          <w:szCs w:val="32"/>
          <w:highlight w:val="none"/>
        </w:rPr>
      </w:pPr>
    </w:p>
    <w:p w14:paraId="6F1A3B99">
      <w:pPr>
        <w:rPr>
          <w:rFonts w:hint="eastAsia" w:ascii="宋体" w:hAnsi="宋体" w:eastAsia="宋体" w:cs="宋体"/>
          <w:b/>
          <w:color w:val="auto"/>
          <w:kern w:val="0"/>
          <w:sz w:val="32"/>
          <w:szCs w:val="32"/>
          <w:highlight w:val="none"/>
        </w:rPr>
      </w:pPr>
    </w:p>
    <w:p w14:paraId="079B1095">
      <w:pPr>
        <w:pStyle w:val="2"/>
        <w:rPr>
          <w:rFonts w:hint="eastAsia" w:ascii="宋体" w:hAnsi="宋体" w:eastAsia="宋体" w:cs="宋体"/>
          <w:b/>
          <w:color w:val="auto"/>
          <w:kern w:val="0"/>
          <w:sz w:val="32"/>
          <w:szCs w:val="32"/>
          <w:highlight w:val="none"/>
        </w:rPr>
      </w:pPr>
    </w:p>
    <w:p w14:paraId="754E2C26">
      <w:pPr>
        <w:pStyle w:val="5"/>
        <w:rPr>
          <w:rFonts w:hint="eastAsia" w:ascii="宋体" w:hAnsi="宋体" w:eastAsia="宋体" w:cs="宋体"/>
          <w:b/>
          <w:color w:val="auto"/>
          <w:kern w:val="0"/>
          <w:sz w:val="32"/>
          <w:szCs w:val="32"/>
          <w:highlight w:val="none"/>
        </w:rPr>
      </w:pPr>
    </w:p>
    <w:p w14:paraId="44144CA1">
      <w:pPr>
        <w:rPr>
          <w:rFonts w:hint="eastAsia" w:ascii="宋体" w:hAnsi="宋体" w:eastAsia="宋体" w:cs="宋体"/>
          <w:b/>
          <w:color w:val="auto"/>
          <w:kern w:val="0"/>
          <w:sz w:val="32"/>
          <w:szCs w:val="32"/>
          <w:highlight w:val="none"/>
        </w:rPr>
      </w:pPr>
    </w:p>
    <w:p w14:paraId="76724896">
      <w:pPr>
        <w:widowControl/>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第二章  </w:t>
      </w:r>
      <w:r>
        <w:rPr>
          <w:rFonts w:hint="eastAsia" w:ascii="宋体" w:hAnsi="宋体" w:eastAsia="宋体" w:cs="宋体"/>
          <w:b/>
          <w:bCs/>
          <w:color w:val="auto"/>
          <w:kern w:val="0"/>
          <w:sz w:val="32"/>
          <w:szCs w:val="32"/>
          <w:highlight w:val="none"/>
        </w:rPr>
        <w:t>招标</w:t>
      </w:r>
      <w:r>
        <w:rPr>
          <w:rFonts w:hint="eastAsia" w:ascii="宋体" w:hAnsi="宋体" w:eastAsia="宋体" w:cs="宋体"/>
          <w:b/>
          <w:color w:val="auto"/>
          <w:kern w:val="0"/>
          <w:sz w:val="32"/>
          <w:szCs w:val="32"/>
          <w:highlight w:val="none"/>
        </w:rPr>
        <w:t>需求</w:t>
      </w:r>
    </w:p>
    <w:p w14:paraId="4C211A2E">
      <w:pPr>
        <w:spacing w:line="360" w:lineRule="auto"/>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项目名称：</w:t>
      </w:r>
      <w:r>
        <w:rPr>
          <w:rFonts w:hint="eastAsia" w:ascii="宋体" w:hAnsi="宋体" w:eastAsia="宋体" w:cs="宋体"/>
          <w:b/>
          <w:color w:val="auto"/>
          <w:kern w:val="0"/>
          <w:sz w:val="24"/>
          <w:szCs w:val="24"/>
          <w:highlight w:val="none"/>
          <w:lang w:eastAsia="zh-CN"/>
        </w:rPr>
        <w:t>确山县人民医院新区医院传染病区采购电梯项目</w:t>
      </w:r>
    </w:p>
    <w:p w14:paraId="725243DC">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1、说明</w:t>
      </w:r>
    </w:p>
    <w:p w14:paraId="69B0785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 投标人应保证提供符合本技术规格及要求和有关工业标准的优质产品。</w:t>
      </w:r>
    </w:p>
    <w:p w14:paraId="5FC3B7D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 本章所述技术规格及要求是招标人提供的最低限度的技术要求，并未对一切技术细节做出规定，也未充分引述有关标准和规范的条文，投标人应保证提供符合本技术规格及要求和有关工业标准的优质产品。</w:t>
      </w:r>
    </w:p>
    <w:p w14:paraId="4573C1C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 本技术规格及要求所使用的标准和规范如与投标人所执行的标准发生矛盾时，按较高标准执行。</w:t>
      </w:r>
    </w:p>
    <w:p w14:paraId="70B495B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 招标人保留在签订合同前，对本技术规格及要求补充和修改的权利，投标人应承诺予以配合，如提出修改，具体事项由中标人与招标人另行商定。</w:t>
      </w:r>
    </w:p>
    <w:p w14:paraId="4F4097B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1.5 投标人所提供的货物，如若发生侵犯知识产权的行为时，其侵权责任与招标人无关，应由投标人承担相应的责任，并不得损害招标人的利益。</w:t>
      </w:r>
    </w:p>
    <w:p w14:paraId="4E6BCBB3">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2、所遵循的标准和质量保证</w:t>
      </w:r>
    </w:p>
    <w:p w14:paraId="37EC111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 投标人提供的所有货物，其制造商应有完善的质量检测手段和质量保证体系，产品符合国家标准和行业标准。</w:t>
      </w:r>
    </w:p>
    <w:p w14:paraId="3022EAD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 投标人提供的所有技术文件中的技术指标均应使用相应的国际先进标准、中国国家标准、各行业的相应标准、国际标准化组织标准。</w:t>
      </w:r>
    </w:p>
    <w:p w14:paraId="027A670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 投标人所提供货物的设计、制造、产品性能、材料的选择和材料的检验及产品的测试等，都应按国内外通行的现行标准和相应的技术规范执行。而这些标准和技术规范应为合同签字日为止最新发布发行的标准和技术规范。</w:t>
      </w:r>
    </w:p>
    <w:p w14:paraId="14A91651">
      <w:pPr>
        <w:spacing w:line="360" w:lineRule="auto"/>
        <w:ind w:firstLine="480" w:firstLineChars="200"/>
        <w:rPr>
          <w:rFonts w:hint="eastAsia" w:ascii="宋体" w:hAnsi="宋体" w:eastAsia="宋体" w:cs="宋体"/>
          <w:color w:val="auto"/>
          <w:sz w:val="24"/>
          <w:highlight w:val="none"/>
          <w:lang w:val="en-US" w:eastAsia="zh-CN"/>
        </w:rPr>
        <w:sectPr>
          <w:footerReference r:id="rId7" w:type="first"/>
          <w:headerReference r:id="rId5" w:type="default"/>
          <w:footerReference r:id="rId6" w:type="default"/>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宋体"/>
          <w:color w:val="auto"/>
          <w:sz w:val="24"/>
          <w:highlight w:val="none"/>
          <w:lang w:val="en-US" w:eastAsia="zh-CN"/>
        </w:rPr>
        <w:t>1.4投标人提供的货物必须是未经使用的全新的原装产品。</w:t>
      </w:r>
    </w:p>
    <w:p w14:paraId="130B045C">
      <w:pPr>
        <w:numPr>
          <w:ilvl w:val="0"/>
          <w:numId w:val="2"/>
        </w:num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货物需求一览表及技术要求</w:t>
      </w:r>
    </w:p>
    <w:p w14:paraId="4D1B1031">
      <w:pPr>
        <w:bidi w:val="0"/>
        <w:jc w:val="left"/>
        <w:rPr>
          <w:rFonts w:hint="eastAsia" w:ascii="宋体" w:hAnsi="宋体" w:eastAsia="宋体" w:cs="宋体"/>
          <w:b/>
          <w:bCs/>
          <w:sz w:val="24"/>
          <w:szCs w:val="28"/>
          <w:highlight w:val="none"/>
          <w:lang w:val="en-US" w:eastAsia="zh-CN"/>
        </w:rPr>
      </w:pPr>
      <w:r>
        <w:rPr>
          <w:rFonts w:hint="eastAsia" w:ascii="宋体" w:hAnsi="宋体" w:eastAsia="宋体" w:cs="宋体"/>
          <w:b/>
          <w:bCs/>
          <w:sz w:val="24"/>
          <w:szCs w:val="28"/>
          <w:highlight w:val="none"/>
          <w:lang w:val="en-US" w:eastAsia="zh-CN"/>
        </w:rPr>
        <w:t>1.1电梯规格要求一览表</w:t>
      </w:r>
    </w:p>
    <w:tbl>
      <w:tblPr>
        <w:tblStyle w:val="48"/>
        <w:tblW w:w="9337" w:type="dxa"/>
        <w:jc w:val="center"/>
        <w:tblLayout w:type="fixed"/>
        <w:tblCellMar>
          <w:top w:w="0" w:type="dxa"/>
          <w:left w:w="108" w:type="dxa"/>
          <w:bottom w:w="0" w:type="dxa"/>
          <w:right w:w="108" w:type="dxa"/>
        </w:tblCellMar>
      </w:tblPr>
      <w:tblGrid>
        <w:gridCol w:w="1754"/>
        <w:gridCol w:w="1732"/>
        <w:gridCol w:w="1791"/>
        <w:gridCol w:w="2027"/>
        <w:gridCol w:w="2033"/>
      </w:tblGrid>
      <w:tr w14:paraId="08F674D4">
        <w:tblPrEx>
          <w:tblCellMar>
            <w:top w:w="0" w:type="dxa"/>
            <w:left w:w="108" w:type="dxa"/>
            <w:bottom w:w="0" w:type="dxa"/>
            <w:right w:w="108" w:type="dxa"/>
          </w:tblCellMar>
        </w:tblPrEx>
        <w:trPr>
          <w:trHeight w:val="1209" w:hRule="atLeast"/>
          <w:jc w:val="center"/>
        </w:trPr>
        <w:tc>
          <w:tcPr>
            <w:tcW w:w="175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FCF893">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名称</w:t>
            </w:r>
          </w:p>
        </w:tc>
        <w:tc>
          <w:tcPr>
            <w:tcW w:w="1732" w:type="dxa"/>
            <w:tcBorders>
              <w:top w:val="single" w:color="000000" w:sz="8" w:space="0"/>
              <w:left w:val="nil"/>
              <w:bottom w:val="single" w:color="000000" w:sz="8" w:space="0"/>
              <w:right w:val="single" w:color="000000" w:sz="8" w:space="0"/>
            </w:tcBorders>
            <w:shd w:val="clear" w:color="auto" w:fill="auto"/>
            <w:vAlign w:val="center"/>
          </w:tcPr>
          <w:p w14:paraId="557CA134">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DT</w:t>
            </w:r>
            <w:r>
              <w:rPr>
                <w:rFonts w:hint="eastAsia" w:ascii="宋体" w:hAnsi="宋体" w:eastAsia="宋体" w:cs="宋体"/>
                <w:snapToGrid/>
                <w:color w:val="auto"/>
                <w:sz w:val="24"/>
                <w:szCs w:val="24"/>
                <w:highlight w:val="none"/>
                <w:lang w:val="en-US" w:eastAsia="zh-CN"/>
              </w:rPr>
              <w:t>0</w:t>
            </w:r>
            <w:r>
              <w:rPr>
                <w:rFonts w:hint="eastAsia" w:ascii="宋体" w:hAnsi="宋体" w:eastAsia="宋体" w:cs="宋体"/>
                <w:snapToGrid/>
                <w:color w:val="auto"/>
                <w:sz w:val="24"/>
                <w:szCs w:val="24"/>
                <w:highlight w:val="none"/>
                <w:lang w:eastAsia="zh-CN"/>
              </w:rPr>
              <w:t>1</w:t>
            </w:r>
          </w:p>
        </w:tc>
        <w:tc>
          <w:tcPr>
            <w:tcW w:w="1791" w:type="dxa"/>
            <w:tcBorders>
              <w:top w:val="single" w:color="000000" w:sz="8" w:space="0"/>
              <w:left w:val="nil"/>
              <w:bottom w:val="single" w:color="000000" w:sz="8" w:space="0"/>
              <w:right w:val="single" w:color="000000" w:sz="8" w:space="0"/>
            </w:tcBorders>
            <w:shd w:val="clear" w:color="auto" w:fill="auto"/>
            <w:vAlign w:val="center"/>
          </w:tcPr>
          <w:p w14:paraId="516410DF">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DT</w:t>
            </w:r>
            <w:r>
              <w:rPr>
                <w:rFonts w:hint="eastAsia" w:ascii="宋体" w:hAnsi="宋体" w:eastAsia="宋体" w:cs="宋体"/>
                <w:snapToGrid/>
                <w:color w:val="auto"/>
                <w:sz w:val="24"/>
                <w:szCs w:val="24"/>
                <w:highlight w:val="none"/>
                <w:lang w:val="en-US" w:eastAsia="zh-CN"/>
              </w:rPr>
              <w:t>02</w:t>
            </w:r>
          </w:p>
        </w:tc>
        <w:tc>
          <w:tcPr>
            <w:tcW w:w="2027" w:type="dxa"/>
            <w:tcBorders>
              <w:top w:val="single" w:color="000000" w:sz="8" w:space="0"/>
              <w:left w:val="nil"/>
              <w:bottom w:val="single" w:color="000000" w:sz="8" w:space="0"/>
              <w:right w:val="single" w:color="000000" w:sz="8" w:space="0"/>
            </w:tcBorders>
            <w:shd w:val="clear" w:color="auto" w:fill="auto"/>
            <w:vAlign w:val="center"/>
          </w:tcPr>
          <w:p w14:paraId="5CDC50FF">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DT</w:t>
            </w:r>
            <w:r>
              <w:rPr>
                <w:rFonts w:hint="eastAsia" w:ascii="宋体" w:hAnsi="宋体" w:eastAsia="宋体" w:cs="宋体"/>
                <w:snapToGrid/>
                <w:color w:val="auto"/>
                <w:sz w:val="24"/>
                <w:szCs w:val="24"/>
                <w:highlight w:val="none"/>
                <w:lang w:val="en-US" w:eastAsia="zh-CN"/>
              </w:rPr>
              <w:t>03</w:t>
            </w:r>
          </w:p>
        </w:tc>
        <w:tc>
          <w:tcPr>
            <w:tcW w:w="2033" w:type="dxa"/>
            <w:tcBorders>
              <w:top w:val="single" w:color="000000" w:sz="8" w:space="0"/>
              <w:left w:val="nil"/>
              <w:bottom w:val="single" w:color="000000" w:sz="8" w:space="0"/>
              <w:right w:val="single" w:color="000000" w:sz="8" w:space="0"/>
            </w:tcBorders>
            <w:shd w:val="clear" w:color="auto" w:fill="auto"/>
            <w:noWrap/>
            <w:vAlign w:val="center"/>
          </w:tcPr>
          <w:p w14:paraId="32EEB74A">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DT</w:t>
            </w:r>
            <w:r>
              <w:rPr>
                <w:rFonts w:hint="eastAsia" w:ascii="宋体" w:hAnsi="宋体" w:eastAsia="宋体" w:cs="宋体"/>
                <w:snapToGrid/>
                <w:color w:val="auto"/>
                <w:sz w:val="24"/>
                <w:szCs w:val="24"/>
                <w:highlight w:val="none"/>
                <w:lang w:val="en-US" w:eastAsia="zh-CN"/>
              </w:rPr>
              <w:t>04</w:t>
            </w:r>
          </w:p>
        </w:tc>
      </w:tr>
      <w:tr w14:paraId="05759B19">
        <w:tblPrEx>
          <w:tblCellMar>
            <w:top w:w="0" w:type="dxa"/>
            <w:left w:w="108" w:type="dxa"/>
            <w:bottom w:w="0" w:type="dxa"/>
            <w:right w:w="108" w:type="dxa"/>
          </w:tblCellMar>
        </w:tblPrEx>
        <w:trPr>
          <w:trHeight w:val="610" w:hRule="atLeast"/>
          <w:jc w:val="center"/>
        </w:trPr>
        <w:tc>
          <w:tcPr>
            <w:tcW w:w="1754" w:type="dxa"/>
            <w:tcBorders>
              <w:top w:val="nil"/>
              <w:left w:val="single" w:color="000000" w:sz="8" w:space="0"/>
              <w:bottom w:val="single" w:color="000000" w:sz="8" w:space="0"/>
              <w:right w:val="single" w:color="000000" w:sz="8" w:space="0"/>
            </w:tcBorders>
            <w:shd w:val="clear" w:color="auto" w:fill="auto"/>
            <w:vAlign w:val="center"/>
          </w:tcPr>
          <w:p w14:paraId="125A9433">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数量</w:t>
            </w:r>
          </w:p>
        </w:tc>
        <w:tc>
          <w:tcPr>
            <w:tcW w:w="1732" w:type="dxa"/>
            <w:tcBorders>
              <w:top w:val="nil"/>
              <w:left w:val="nil"/>
              <w:bottom w:val="single" w:color="000000" w:sz="8" w:space="0"/>
              <w:right w:val="single" w:color="000000" w:sz="8" w:space="0"/>
            </w:tcBorders>
            <w:shd w:val="clear" w:color="auto" w:fill="auto"/>
            <w:vAlign w:val="center"/>
          </w:tcPr>
          <w:p w14:paraId="1575D7AE">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w:t>
            </w:r>
          </w:p>
        </w:tc>
        <w:tc>
          <w:tcPr>
            <w:tcW w:w="1791" w:type="dxa"/>
            <w:tcBorders>
              <w:top w:val="nil"/>
              <w:left w:val="nil"/>
              <w:bottom w:val="single" w:color="000000" w:sz="8" w:space="0"/>
              <w:right w:val="single" w:color="000000" w:sz="8" w:space="0"/>
            </w:tcBorders>
            <w:shd w:val="clear" w:color="auto" w:fill="auto"/>
            <w:vAlign w:val="center"/>
          </w:tcPr>
          <w:p w14:paraId="7BA57BC1">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w:t>
            </w:r>
          </w:p>
        </w:tc>
        <w:tc>
          <w:tcPr>
            <w:tcW w:w="2027" w:type="dxa"/>
            <w:tcBorders>
              <w:top w:val="nil"/>
              <w:left w:val="nil"/>
              <w:bottom w:val="single" w:color="000000" w:sz="8" w:space="0"/>
              <w:right w:val="single" w:color="000000" w:sz="8" w:space="0"/>
            </w:tcBorders>
            <w:shd w:val="clear" w:color="auto" w:fill="auto"/>
            <w:vAlign w:val="center"/>
          </w:tcPr>
          <w:p w14:paraId="1F0DA7AD">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w:t>
            </w:r>
          </w:p>
        </w:tc>
        <w:tc>
          <w:tcPr>
            <w:tcW w:w="2033" w:type="dxa"/>
            <w:tcBorders>
              <w:top w:val="nil"/>
              <w:left w:val="nil"/>
              <w:bottom w:val="single" w:color="000000" w:sz="8" w:space="0"/>
              <w:right w:val="single" w:color="000000" w:sz="8" w:space="0"/>
            </w:tcBorders>
            <w:shd w:val="clear" w:color="auto" w:fill="auto"/>
            <w:noWrap/>
            <w:vAlign w:val="center"/>
          </w:tcPr>
          <w:p w14:paraId="4045A10E">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w:t>
            </w:r>
          </w:p>
        </w:tc>
      </w:tr>
      <w:tr w14:paraId="569FF1A7">
        <w:tblPrEx>
          <w:tblCellMar>
            <w:top w:w="0" w:type="dxa"/>
            <w:left w:w="108" w:type="dxa"/>
            <w:bottom w:w="0" w:type="dxa"/>
            <w:right w:w="108" w:type="dxa"/>
          </w:tblCellMar>
        </w:tblPrEx>
        <w:trPr>
          <w:trHeight w:val="610" w:hRule="atLeast"/>
          <w:jc w:val="center"/>
        </w:trPr>
        <w:tc>
          <w:tcPr>
            <w:tcW w:w="1754" w:type="dxa"/>
            <w:tcBorders>
              <w:top w:val="nil"/>
              <w:left w:val="single" w:color="000000" w:sz="8" w:space="0"/>
              <w:bottom w:val="single" w:color="000000" w:sz="8" w:space="0"/>
              <w:right w:val="single" w:color="000000" w:sz="8" w:space="0"/>
            </w:tcBorders>
            <w:shd w:val="clear" w:color="auto" w:fill="auto"/>
            <w:vAlign w:val="center"/>
          </w:tcPr>
          <w:p w14:paraId="09C93C7A">
            <w:pPr>
              <w:kinsoku/>
              <w:autoSpaceDE/>
              <w:autoSpaceDN/>
              <w:adjustRightInd/>
              <w:snapToGrid/>
              <w:ind w:firstLine="240" w:firstLineChars="100"/>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单位</w:t>
            </w:r>
          </w:p>
        </w:tc>
        <w:tc>
          <w:tcPr>
            <w:tcW w:w="1732" w:type="dxa"/>
            <w:tcBorders>
              <w:top w:val="nil"/>
              <w:left w:val="nil"/>
              <w:bottom w:val="single" w:color="000000" w:sz="8" w:space="0"/>
              <w:right w:val="single" w:color="000000" w:sz="8" w:space="0"/>
            </w:tcBorders>
            <w:shd w:val="clear" w:color="auto" w:fill="auto"/>
            <w:vAlign w:val="center"/>
          </w:tcPr>
          <w:p w14:paraId="552AE972">
            <w:pPr>
              <w:kinsoku/>
              <w:autoSpaceDE/>
              <w:autoSpaceDN/>
              <w:adjustRightInd/>
              <w:snapToGrid/>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台</w:t>
            </w:r>
          </w:p>
        </w:tc>
        <w:tc>
          <w:tcPr>
            <w:tcW w:w="1791" w:type="dxa"/>
            <w:tcBorders>
              <w:top w:val="nil"/>
              <w:left w:val="nil"/>
              <w:bottom w:val="single" w:color="000000" w:sz="8" w:space="0"/>
              <w:right w:val="single" w:color="000000" w:sz="8" w:space="0"/>
            </w:tcBorders>
            <w:shd w:val="clear" w:color="auto" w:fill="auto"/>
            <w:vAlign w:val="center"/>
          </w:tcPr>
          <w:p w14:paraId="5A668066">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台</w:t>
            </w:r>
          </w:p>
        </w:tc>
        <w:tc>
          <w:tcPr>
            <w:tcW w:w="2027" w:type="dxa"/>
            <w:tcBorders>
              <w:top w:val="nil"/>
              <w:left w:val="nil"/>
              <w:bottom w:val="single" w:color="000000" w:sz="8" w:space="0"/>
              <w:right w:val="single" w:color="000000" w:sz="8" w:space="0"/>
            </w:tcBorders>
            <w:shd w:val="clear" w:color="auto" w:fill="auto"/>
            <w:vAlign w:val="center"/>
          </w:tcPr>
          <w:p w14:paraId="648D334A">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台</w:t>
            </w:r>
          </w:p>
        </w:tc>
        <w:tc>
          <w:tcPr>
            <w:tcW w:w="2033" w:type="dxa"/>
            <w:tcBorders>
              <w:top w:val="nil"/>
              <w:left w:val="nil"/>
              <w:bottom w:val="single" w:color="000000" w:sz="8" w:space="0"/>
              <w:right w:val="single" w:color="000000" w:sz="8" w:space="0"/>
            </w:tcBorders>
            <w:shd w:val="clear" w:color="auto" w:fill="auto"/>
            <w:noWrap/>
            <w:vAlign w:val="center"/>
          </w:tcPr>
          <w:p w14:paraId="636DC435">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台</w:t>
            </w:r>
          </w:p>
        </w:tc>
      </w:tr>
      <w:tr w14:paraId="37CEF017">
        <w:tblPrEx>
          <w:tblCellMar>
            <w:top w:w="0" w:type="dxa"/>
            <w:left w:w="108" w:type="dxa"/>
            <w:bottom w:w="0" w:type="dxa"/>
            <w:right w:w="108" w:type="dxa"/>
          </w:tblCellMar>
        </w:tblPrEx>
        <w:trPr>
          <w:trHeight w:val="654" w:hRule="atLeast"/>
          <w:jc w:val="center"/>
        </w:trPr>
        <w:tc>
          <w:tcPr>
            <w:tcW w:w="1754" w:type="dxa"/>
            <w:tcBorders>
              <w:top w:val="nil"/>
              <w:left w:val="single" w:color="000000" w:sz="8" w:space="0"/>
              <w:bottom w:val="single" w:color="000000" w:sz="8" w:space="0"/>
              <w:right w:val="single" w:color="000000" w:sz="8" w:space="0"/>
            </w:tcBorders>
            <w:shd w:val="clear" w:color="auto" w:fill="auto"/>
            <w:vAlign w:val="center"/>
          </w:tcPr>
          <w:p w14:paraId="3A179F8B">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额定载重量（kg）</w:t>
            </w:r>
          </w:p>
        </w:tc>
        <w:tc>
          <w:tcPr>
            <w:tcW w:w="1732" w:type="dxa"/>
            <w:tcBorders>
              <w:top w:val="nil"/>
              <w:left w:val="nil"/>
              <w:bottom w:val="single" w:color="000000" w:sz="8" w:space="0"/>
              <w:right w:val="single" w:color="000000" w:sz="8" w:space="0"/>
            </w:tcBorders>
            <w:shd w:val="clear" w:color="auto" w:fill="auto"/>
            <w:vAlign w:val="center"/>
          </w:tcPr>
          <w:p w14:paraId="2651F0A3">
            <w:pPr>
              <w:kinsoku/>
              <w:autoSpaceDE/>
              <w:autoSpaceDN/>
              <w:adjustRightInd/>
              <w:snapToGrid/>
              <w:ind w:firstLine="240" w:firstLineChars="100"/>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1600</w:t>
            </w:r>
          </w:p>
        </w:tc>
        <w:tc>
          <w:tcPr>
            <w:tcW w:w="1791" w:type="dxa"/>
            <w:tcBorders>
              <w:top w:val="nil"/>
              <w:left w:val="nil"/>
              <w:bottom w:val="single" w:color="000000" w:sz="8" w:space="0"/>
              <w:right w:val="single" w:color="000000" w:sz="8" w:space="0"/>
            </w:tcBorders>
            <w:shd w:val="clear" w:color="auto" w:fill="auto"/>
            <w:vAlign w:val="center"/>
          </w:tcPr>
          <w:p w14:paraId="147D7359">
            <w:pPr>
              <w:kinsoku/>
              <w:autoSpaceDE/>
              <w:autoSpaceDN/>
              <w:adjustRightInd/>
              <w:snapToGrid/>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1600</w:t>
            </w:r>
          </w:p>
        </w:tc>
        <w:tc>
          <w:tcPr>
            <w:tcW w:w="2027" w:type="dxa"/>
            <w:tcBorders>
              <w:top w:val="nil"/>
              <w:left w:val="nil"/>
              <w:bottom w:val="single" w:color="000000" w:sz="8" w:space="0"/>
              <w:right w:val="single" w:color="000000" w:sz="8" w:space="0"/>
            </w:tcBorders>
            <w:shd w:val="clear" w:color="auto" w:fill="auto"/>
            <w:vAlign w:val="center"/>
          </w:tcPr>
          <w:p w14:paraId="746770E7">
            <w:pPr>
              <w:kinsoku/>
              <w:autoSpaceDE/>
              <w:autoSpaceDN/>
              <w:adjustRightInd/>
              <w:snapToGrid/>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1600</w:t>
            </w:r>
          </w:p>
        </w:tc>
        <w:tc>
          <w:tcPr>
            <w:tcW w:w="2033" w:type="dxa"/>
            <w:tcBorders>
              <w:top w:val="nil"/>
              <w:left w:val="nil"/>
              <w:bottom w:val="single" w:color="000000" w:sz="8" w:space="0"/>
              <w:right w:val="single" w:color="000000" w:sz="8" w:space="0"/>
            </w:tcBorders>
            <w:shd w:val="clear" w:color="auto" w:fill="auto"/>
            <w:vAlign w:val="center"/>
          </w:tcPr>
          <w:p w14:paraId="48B44215">
            <w:pPr>
              <w:kinsoku/>
              <w:autoSpaceDE/>
              <w:autoSpaceDN/>
              <w:adjustRightInd/>
              <w:snapToGrid/>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1600</w:t>
            </w:r>
          </w:p>
        </w:tc>
      </w:tr>
      <w:tr w14:paraId="2332C5DF">
        <w:tblPrEx>
          <w:tblCellMar>
            <w:top w:w="0" w:type="dxa"/>
            <w:left w:w="108" w:type="dxa"/>
            <w:bottom w:w="0" w:type="dxa"/>
            <w:right w:w="108" w:type="dxa"/>
          </w:tblCellMar>
        </w:tblPrEx>
        <w:trPr>
          <w:trHeight w:val="640" w:hRule="atLeast"/>
          <w:jc w:val="center"/>
        </w:trPr>
        <w:tc>
          <w:tcPr>
            <w:tcW w:w="1754" w:type="dxa"/>
            <w:tcBorders>
              <w:top w:val="nil"/>
              <w:left w:val="single" w:color="000000" w:sz="8" w:space="0"/>
              <w:bottom w:val="single" w:color="000000" w:sz="8" w:space="0"/>
              <w:right w:val="single" w:color="000000" w:sz="8" w:space="0"/>
            </w:tcBorders>
            <w:shd w:val="clear" w:color="auto" w:fill="auto"/>
            <w:vAlign w:val="center"/>
          </w:tcPr>
          <w:p w14:paraId="0E18742F">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速度（m/s）</w:t>
            </w:r>
          </w:p>
        </w:tc>
        <w:tc>
          <w:tcPr>
            <w:tcW w:w="1732" w:type="dxa"/>
            <w:tcBorders>
              <w:top w:val="nil"/>
              <w:left w:val="nil"/>
              <w:bottom w:val="single" w:color="000000" w:sz="8" w:space="0"/>
              <w:right w:val="single" w:color="000000" w:sz="8" w:space="0"/>
            </w:tcBorders>
            <w:shd w:val="clear" w:color="auto" w:fill="auto"/>
            <w:vAlign w:val="center"/>
          </w:tcPr>
          <w:p w14:paraId="40A4CE0B">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1.</w:t>
            </w:r>
            <w:r>
              <w:rPr>
                <w:rFonts w:hint="eastAsia" w:ascii="宋体" w:hAnsi="宋体" w:eastAsia="宋体" w:cs="宋体"/>
                <w:snapToGrid/>
                <w:color w:val="auto"/>
                <w:sz w:val="24"/>
                <w:szCs w:val="24"/>
                <w:highlight w:val="none"/>
                <w:lang w:val="en-US" w:eastAsia="zh-CN"/>
              </w:rPr>
              <w:t>5</w:t>
            </w:r>
          </w:p>
        </w:tc>
        <w:tc>
          <w:tcPr>
            <w:tcW w:w="1791" w:type="dxa"/>
            <w:tcBorders>
              <w:top w:val="nil"/>
              <w:left w:val="nil"/>
              <w:bottom w:val="single" w:color="000000" w:sz="8" w:space="0"/>
              <w:right w:val="single" w:color="000000" w:sz="8" w:space="0"/>
            </w:tcBorders>
            <w:shd w:val="clear" w:color="auto" w:fill="auto"/>
            <w:vAlign w:val="center"/>
          </w:tcPr>
          <w:p w14:paraId="1AA23C87">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1.</w:t>
            </w:r>
            <w:r>
              <w:rPr>
                <w:rFonts w:hint="eastAsia" w:ascii="宋体" w:hAnsi="宋体" w:eastAsia="宋体" w:cs="宋体"/>
                <w:snapToGrid/>
                <w:color w:val="auto"/>
                <w:sz w:val="24"/>
                <w:szCs w:val="24"/>
                <w:highlight w:val="none"/>
                <w:lang w:val="en-US" w:eastAsia="zh-CN"/>
              </w:rPr>
              <w:t>5</w:t>
            </w:r>
          </w:p>
        </w:tc>
        <w:tc>
          <w:tcPr>
            <w:tcW w:w="2027" w:type="dxa"/>
            <w:tcBorders>
              <w:top w:val="nil"/>
              <w:left w:val="nil"/>
              <w:bottom w:val="single" w:color="000000" w:sz="8" w:space="0"/>
              <w:right w:val="single" w:color="000000" w:sz="8" w:space="0"/>
            </w:tcBorders>
            <w:shd w:val="clear" w:color="auto" w:fill="auto"/>
            <w:vAlign w:val="center"/>
          </w:tcPr>
          <w:p w14:paraId="7B065E8F">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1.</w:t>
            </w:r>
            <w:r>
              <w:rPr>
                <w:rFonts w:hint="eastAsia" w:ascii="宋体" w:hAnsi="宋体" w:eastAsia="宋体" w:cs="宋体"/>
                <w:snapToGrid/>
                <w:color w:val="auto"/>
                <w:sz w:val="24"/>
                <w:szCs w:val="24"/>
                <w:highlight w:val="none"/>
                <w:lang w:val="en-US" w:eastAsia="zh-CN"/>
              </w:rPr>
              <w:t>5</w:t>
            </w:r>
          </w:p>
        </w:tc>
        <w:tc>
          <w:tcPr>
            <w:tcW w:w="2033" w:type="dxa"/>
            <w:tcBorders>
              <w:top w:val="nil"/>
              <w:left w:val="nil"/>
              <w:bottom w:val="single" w:color="000000" w:sz="8" w:space="0"/>
              <w:right w:val="single" w:color="000000" w:sz="8" w:space="0"/>
            </w:tcBorders>
            <w:shd w:val="clear" w:color="auto" w:fill="auto"/>
            <w:vAlign w:val="center"/>
          </w:tcPr>
          <w:p w14:paraId="6B0C73E0">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1.</w:t>
            </w:r>
            <w:r>
              <w:rPr>
                <w:rFonts w:hint="eastAsia" w:ascii="宋体" w:hAnsi="宋体" w:eastAsia="宋体" w:cs="宋体"/>
                <w:snapToGrid/>
                <w:color w:val="auto"/>
                <w:sz w:val="24"/>
                <w:szCs w:val="24"/>
                <w:highlight w:val="none"/>
                <w:lang w:val="en-US" w:eastAsia="zh-CN"/>
              </w:rPr>
              <w:t>5</w:t>
            </w:r>
          </w:p>
        </w:tc>
      </w:tr>
      <w:tr w14:paraId="24846905">
        <w:tblPrEx>
          <w:tblCellMar>
            <w:top w:w="0" w:type="dxa"/>
            <w:left w:w="108" w:type="dxa"/>
            <w:bottom w:w="0" w:type="dxa"/>
            <w:right w:w="108" w:type="dxa"/>
          </w:tblCellMar>
        </w:tblPrEx>
        <w:trPr>
          <w:trHeight w:val="518" w:hRule="atLeast"/>
          <w:jc w:val="center"/>
        </w:trPr>
        <w:tc>
          <w:tcPr>
            <w:tcW w:w="1754" w:type="dxa"/>
            <w:tcBorders>
              <w:top w:val="nil"/>
              <w:left w:val="single" w:color="000000" w:sz="8" w:space="0"/>
              <w:bottom w:val="single" w:color="000000" w:sz="8" w:space="0"/>
              <w:right w:val="single" w:color="000000" w:sz="8" w:space="0"/>
            </w:tcBorders>
            <w:shd w:val="clear" w:color="auto" w:fill="auto"/>
            <w:vAlign w:val="center"/>
          </w:tcPr>
          <w:p w14:paraId="4627472A">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层/站/门</w:t>
            </w:r>
          </w:p>
        </w:tc>
        <w:tc>
          <w:tcPr>
            <w:tcW w:w="1732" w:type="dxa"/>
            <w:tcBorders>
              <w:top w:val="nil"/>
              <w:left w:val="nil"/>
              <w:bottom w:val="single" w:color="000000" w:sz="8" w:space="0"/>
              <w:right w:val="single" w:color="000000" w:sz="8" w:space="0"/>
            </w:tcBorders>
            <w:shd w:val="clear" w:color="auto" w:fill="auto"/>
            <w:vAlign w:val="center"/>
          </w:tcPr>
          <w:p w14:paraId="098E7406">
            <w:pPr>
              <w:kinsoku/>
              <w:autoSpaceDE/>
              <w:autoSpaceDN/>
              <w:adjustRightInd/>
              <w:snapToGrid/>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5/5/5</w:t>
            </w:r>
          </w:p>
        </w:tc>
        <w:tc>
          <w:tcPr>
            <w:tcW w:w="1791" w:type="dxa"/>
            <w:tcBorders>
              <w:top w:val="nil"/>
              <w:left w:val="nil"/>
              <w:bottom w:val="single" w:color="000000" w:sz="8" w:space="0"/>
              <w:right w:val="single" w:color="000000" w:sz="8" w:space="0"/>
            </w:tcBorders>
            <w:shd w:val="clear" w:color="auto" w:fill="auto"/>
            <w:vAlign w:val="center"/>
          </w:tcPr>
          <w:p w14:paraId="15CDBB38">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5/5/5</w:t>
            </w:r>
          </w:p>
        </w:tc>
        <w:tc>
          <w:tcPr>
            <w:tcW w:w="2027" w:type="dxa"/>
            <w:tcBorders>
              <w:top w:val="nil"/>
              <w:left w:val="nil"/>
              <w:bottom w:val="single" w:color="000000" w:sz="8" w:space="0"/>
              <w:right w:val="single" w:color="000000" w:sz="8" w:space="0"/>
            </w:tcBorders>
            <w:shd w:val="clear" w:color="auto" w:fill="auto"/>
            <w:vAlign w:val="center"/>
          </w:tcPr>
          <w:p w14:paraId="029EA751">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5/5/5</w:t>
            </w:r>
          </w:p>
        </w:tc>
        <w:tc>
          <w:tcPr>
            <w:tcW w:w="2033" w:type="dxa"/>
            <w:tcBorders>
              <w:top w:val="nil"/>
              <w:left w:val="nil"/>
              <w:bottom w:val="single" w:color="000000" w:sz="8" w:space="0"/>
              <w:right w:val="single" w:color="000000" w:sz="8" w:space="0"/>
            </w:tcBorders>
            <w:shd w:val="clear" w:color="auto" w:fill="auto"/>
            <w:noWrap/>
            <w:vAlign w:val="center"/>
          </w:tcPr>
          <w:p w14:paraId="231FFE28">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5/5/5</w:t>
            </w:r>
          </w:p>
        </w:tc>
      </w:tr>
      <w:tr w14:paraId="509F8471">
        <w:tblPrEx>
          <w:tblCellMar>
            <w:top w:w="0" w:type="dxa"/>
            <w:left w:w="108" w:type="dxa"/>
            <w:bottom w:w="0" w:type="dxa"/>
            <w:right w:w="108" w:type="dxa"/>
          </w:tblCellMar>
        </w:tblPrEx>
        <w:trPr>
          <w:trHeight w:val="518" w:hRule="atLeast"/>
          <w:jc w:val="center"/>
        </w:trPr>
        <w:tc>
          <w:tcPr>
            <w:tcW w:w="1754" w:type="dxa"/>
            <w:tcBorders>
              <w:top w:val="nil"/>
              <w:left w:val="single" w:color="000000" w:sz="8" w:space="0"/>
              <w:bottom w:val="single" w:color="000000" w:sz="8" w:space="0"/>
              <w:right w:val="nil"/>
            </w:tcBorders>
            <w:shd w:val="clear" w:color="auto" w:fill="auto"/>
            <w:noWrap/>
            <w:vAlign w:val="center"/>
          </w:tcPr>
          <w:p w14:paraId="07C9014A">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停层数</w:t>
            </w:r>
          </w:p>
        </w:tc>
        <w:tc>
          <w:tcPr>
            <w:tcW w:w="1732" w:type="dxa"/>
            <w:tcBorders>
              <w:top w:val="nil"/>
              <w:left w:val="single" w:color="000000" w:sz="8" w:space="0"/>
              <w:bottom w:val="single" w:color="000000" w:sz="8" w:space="0"/>
              <w:right w:val="single" w:color="000000" w:sz="8" w:space="0"/>
            </w:tcBorders>
            <w:shd w:val="clear" w:color="auto" w:fill="auto"/>
            <w:vAlign w:val="center"/>
          </w:tcPr>
          <w:p w14:paraId="20E81DF5">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1F-</w:t>
            </w:r>
            <w:r>
              <w:rPr>
                <w:rFonts w:hint="eastAsia" w:ascii="宋体" w:hAnsi="宋体" w:eastAsia="宋体" w:cs="宋体"/>
                <w:snapToGrid/>
                <w:color w:val="auto"/>
                <w:sz w:val="24"/>
                <w:szCs w:val="24"/>
                <w:highlight w:val="none"/>
                <w:lang w:val="en-US" w:eastAsia="zh-CN"/>
              </w:rPr>
              <w:t>5</w:t>
            </w:r>
            <w:r>
              <w:rPr>
                <w:rFonts w:hint="eastAsia" w:ascii="宋体" w:hAnsi="宋体" w:eastAsia="宋体" w:cs="宋体"/>
                <w:snapToGrid/>
                <w:color w:val="auto"/>
                <w:sz w:val="24"/>
                <w:szCs w:val="24"/>
                <w:highlight w:val="none"/>
                <w:lang w:eastAsia="zh-CN"/>
              </w:rPr>
              <w:t>F</w:t>
            </w:r>
          </w:p>
        </w:tc>
        <w:tc>
          <w:tcPr>
            <w:tcW w:w="1791" w:type="dxa"/>
            <w:tcBorders>
              <w:top w:val="nil"/>
              <w:left w:val="nil"/>
              <w:bottom w:val="single" w:color="000000" w:sz="8" w:space="0"/>
              <w:right w:val="single" w:color="000000" w:sz="8" w:space="0"/>
            </w:tcBorders>
            <w:shd w:val="clear" w:color="auto" w:fill="auto"/>
            <w:vAlign w:val="center"/>
          </w:tcPr>
          <w:p w14:paraId="5E28D8BF">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1F-</w:t>
            </w:r>
            <w:r>
              <w:rPr>
                <w:rFonts w:hint="eastAsia" w:ascii="宋体" w:hAnsi="宋体" w:eastAsia="宋体" w:cs="宋体"/>
                <w:snapToGrid/>
                <w:color w:val="auto"/>
                <w:sz w:val="24"/>
                <w:szCs w:val="24"/>
                <w:highlight w:val="none"/>
                <w:lang w:val="en-US" w:eastAsia="zh-CN"/>
              </w:rPr>
              <w:t>5</w:t>
            </w:r>
            <w:r>
              <w:rPr>
                <w:rFonts w:hint="eastAsia" w:ascii="宋体" w:hAnsi="宋体" w:eastAsia="宋体" w:cs="宋体"/>
                <w:snapToGrid/>
                <w:color w:val="auto"/>
                <w:sz w:val="24"/>
                <w:szCs w:val="24"/>
                <w:highlight w:val="none"/>
                <w:lang w:eastAsia="zh-CN"/>
              </w:rPr>
              <w:t>F</w:t>
            </w:r>
          </w:p>
        </w:tc>
        <w:tc>
          <w:tcPr>
            <w:tcW w:w="2027" w:type="dxa"/>
            <w:tcBorders>
              <w:top w:val="nil"/>
              <w:left w:val="nil"/>
              <w:bottom w:val="single" w:color="000000" w:sz="8" w:space="0"/>
              <w:right w:val="single" w:color="000000" w:sz="8" w:space="0"/>
            </w:tcBorders>
            <w:shd w:val="clear" w:color="auto" w:fill="auto"/>
            <w:vAlign w:val="center"/>
          </w:tcPr>
          <w:p w14:paraId="3F842870">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1F-</w:t>
            </w:r>
            <w:r>
              <w:rPr>
                <w:rFonts w:hint="eastAsia" w:ascii="宋体" w:hAnsi="宋体" w:eastAsia="宋体" w:cs="宋体"/>
                <w:snapToGrid/>
                <w:color w:val="auto"/>
                <w:sz w:val="24"/>
                <w:szCs w:val="24"/>
                <w:highlight w:val="none"/>
                <w:lang w:val="en-US" w:eastAsia="zh-CN"/>
              </w:rPr>
              <w:t>5</w:t>
            </w:r>
            <w:r>
              <w:rPr>
                <w:rFonts w:hint="eastAsia" w:ascii="宋体" w:hAnsi="宋体" w:eastAsia="宋体" w:cs="宋体"/>
                <w:snapToGrid/>
                <w:color w:val="auto"/>
                <w:sz w:val="24"/>
                <w:szCs w:val="24"/>
                <w:highlight w:val="none"/>
                <w:lang w:eastAsia="zh-CN"/>
              </w:rPr>
              <w:t>F</w:t>
            </w:r>
          </w:p>
        </w:tc>
        <w:tc>
          <w:tcPr>
            <w:tcW w:w="2033" w:type="dxa"/>
            <w:tcBorders>
              <w:top w:val="nil"/>
              <w:left w:val="nil"/>
              <w:bottom w:val="single" w:color="000000" w:sz="8" w:space="0"/>
              <w:right w:val="single" w:color="000000" w:sz="8" w:space="0"/>
            </w:tcBorders>
            <w:shd w:val="clear" w:color="auto" w:fill="auto"/>
            <w:vAlign w:val="center"/>
          </w:tcPr>
          <w:p w14:paraId="505BB553">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1F-</w:t>
            </w:r>
            <w:r>
              <w:rPr>
                <w:rFonts w:hint="eastAsia" w:ascii="宋体" w:hAnsi="宋体" w:eastAsia="宋体" w:cs="宋体"/>
                <w:snapToGrid/>
                <w:color w:val="auto"/>
                <w:sz w:val="24"/>
                <w:szCs w:val="24"/>
                <w:highlight w:val="none"/>
                <w:lang w:val="en-US" w:eastAsia="zh-CN"/>
              </w:rPr>
              <w:t>5</w:t>
            </w:r>
            <w:r>
              <w:rPr>
                <w:rFonts w:hint="eastAsia" w:ascii="宋体" w:hAnsi="宋体" w:eastAsia="宋体" w:cs="宋体"/>
                <w:snapToGrid/>
                <w:color w:val="auto"/>
                <w:sz w:val="24"/>
                <w:szCs w:val="24"/>
                <w:highlight w:val="none"/>
                <w:lang w:eastAsia="zh-CN"/>
              </w:rPr>
              <w:t>F</w:t>
            </w:r>
          </w:p>
        </w:tc>
      </w:tr>
      <w:tr w14:paraId="301AE137">
        <w:tblPrEx>
          <w:tblCellMar>
            <w:top w:w="0" w:type="dxa"/>
            <w:left w:w="108" w:type="dxa"/>
            <w:bottom w:w="0" w:type="dxa"/>
            <w:right w:w="108" w:type="dxa"/>
          </w:tblCellMar>
        </w:tblPrEx>
        <w:trPr>
          <w:trHeight w:val="446" w:hRule="atLeast"/>
          <w:jc w:val="center"/>
        </w:trPr>
        <w:tc>
          <w:tcPr>
            <w:tcW w:w="1754" w:type="dxa"/>
            <w:tcBorders>
              <w:top w:val="nil"/>
              <w:left w:val="single" w:color="000000" w:sz="8" w:space="0"/>
              <w:bottom w:val="single" w:color="000000" w:sz="8" w:space="0"/>
              <w:right w:val="single" w:color="000000" w:sz="8" w:space="0"/>
            </w:tcBorders>
            <w:shd w:val="clear" w:color="auto" w:fill="auto"/>
            <w:vAlign w:val="center"/>
          </w:tcPr>
          <w:p w14:paraId="2FA1C482">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机房位置</w:t>
            </w:r>
          </w:p>
        </w:tc>
        <w:tc>
          <w:tcPr>
            <w:tcW w:w="1732" w:type="dxa"/>
            <w:tcBorders>
              <w:top w:val="nil"/>
              <w:left w:val="nil"/>
              <w:bottom w:val="single" w:color="000000" w:sz="8" w:space="0"/>
              <w:right w:val="single" w:color="000000" w:sz="8" w:space="0"/>
            </w:tcBorders>
            <w:shd w:val="clear" w:color="auto" w:fill="auto"/>
            <w:vAlign w:val="center"/>
          </w:tcPr>
          <w:p w14:paraId="59132716">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无</w:t>
            </w:r>
          </w:p>
        </w:tc>
        <w:tc>
          <w:tcPr>
            <w:tcW w:w="1791" w:type="dxa"/>
            <w:tcBorders>
              <w:top w:val="nil"/>
              <w:left w:val="nil"/>
              <w:bottom w:val="single" w:color="000000" w:sz="8" w:space="0"/>
              <w:right w:val="single" w:color="000000" w:sz="8" w:space="0"/>
            </w:tcBorders>
            <w:shd w:val="clear" w:color="auto" w:fill="auto"/>
            <w:vAlign w:val="center"/>
          </w:tcPr>
          <w:p w14:paraId="5B0C26B7">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无</w:t>
            </w:r>
          </w:p>
        </w:tc>
        <w:tc>
          <w:tcPr>
            <w:tcW w:w="2027" w:type="dxa"/>
            <w:tcBorders>
              <w:top w:val="nil"/>
              <w:left w:val="nil"/>
              <w:bottom w:val="single" w:color="000000" w:sz="8" w:space="0"/>
              <w:right w:val="single" w:color="000000" w:sz="8" w:space="0"/>
            </w:tcBorders>
            <w:shd w:val="clear" w:color="auto" w:fill="auto"/>
            <w:vAlign w:val="center"/>
          </w:tcPr>
          <w:p w14:paraId="6D73F1B1">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无</w:t>
            </w:r>
          </w:p>
        </w:tc>
        <w:tc>
          <w:tcPr>
            <w:tcW w:w="2033" w:type="dxa"/>
            <w:tcBorders>
              <w:top w:val="nil"/>
              <w:left w:val="nil"/>
              <w:bottom w:val="single" w:color="000000" w:sz="8" w:space="0"/>
              <w:right w:val="single" w:color="000000" w:sz="8" w:space="0"/>
            </w:tcBorders>
            <w:shd w:val="clear" w:color="auto" w:fill="auto"/>
            <w:vAlign w:val="center"/>
          </w:tcPr>
          <w:p w14:paraId="069E13B7">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无</w:t>
            </w:r>
          </w:p>
        </w:tc>
      </w:tr>
      <w:tr w14:paraId="7678E4C3">
        <w:tblPrEx>
          <w:tblCellMar>
            <w:top w:w="0" w:type="dxa"/>
            <w:left w:w="108" w:type="dxa"/>
            <w:bottom w:w="0" w:type="dxa"/>
            <w:right w:w="108" w:type="dxa"/>
          </w:tblCellMar>
        </w:tblPrEx>
        <w:trPr>
          <w:trHeight w:val="654" w:hRule="atLeast"/>
          <w:jc w:val="center"/>
        </w:trPr>
        <w:tc>
          <w:tcPr>
            <w:tcW w:w="1754" w:type="dxa"/>
            <w:tcBorders>
              <w:top w:val="nil"/>
              <w:left w:val="single" w:color="000000" w:sz="8" w:space="0"/>
              <w:bottom w:val="single" w:color="000000" w:sz="8" w:space="0"/>
              <w:right w:val="single" w:color="000000" w:sz="8" w:space="0"/>
            </w:tcBorders>
            <w:shd w:val="clear" w:color="auto" w:fill="auto"/>
            <w:vAlign w:val="center"/>
          </w:tcPr>
          <w:p w14:paraId="0F7658B0">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井道尺寸(宽*深)</w:t>
            </w:r>
          </w:p>
        </w:tc>
        <w:tc>
          <w:tcPr>
            <w:tcW w:w="1732" w:type="dxa"/>
            <w:tcBorders>
              <w:top w:val="nil"/>
              <w:left w:val="nil"/>
              <w:bottom w:val="single" w:color="000000" w:sz="8" w:space="0"/>
              <w:right w:val="single" w:color="000000" w:sz="8" w:space="0"/>
            </w:tcBorders>
            <w:shd w:val="clear" w:color="auto" w:fill="auto"/>
            <w:vAlign w:val="center"/>
          </w:tcPr>
          <w:p w14:paraId="2CD585C4">
            <w:pPr>
              <w:kinsoku/>
              <w:autoSpaceDE/>
              <w:autoSpaceDN/>
              <w:adjustRightInd/>
              <w:snapToGrid/>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2700*2700</w:t>
            </w:r>
          </w:p>
        </w:tc>
        <w:tc>
          <w:tcPr>
            <w:tcW w:w="1791" w:type="dxa"/>
            <w:tcBorders>
              <w:top w:val="nil"/>
              <w:left w:val="nil"/>
              <w:bottom w:val="single" w:color="000000" w:sz="8" w:space="0"/>
              <w:right w:val="single" w:color="000000" w:sz="8" w:space="0"/>
            </w:tcBorders>
            <w:shd w:val="clear" w:color="auto" w:fill="auto"/>
            <w:vAlign w:val="center"/>
          </w:tcPr>
          <w:p w14:paraId="5CE738F7">
            <w:pPr>
              <w:kinsoku/>
              <w:autoSpaceDE/>
              <w:autoSpaceDN/>
              <w:adjustRightInd/>
              <w:snapToGrid/>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2600*2700</w:t>
            </w:r>
          </w:p>
        </w:tc>
        <w:tc>
          <w:tcPr>
            <w:tcW w:w="2027" w:type="dxa"/>
            <w:tcBorders>
              <w:top w:val="nil"/>
              <w:left w:val="nil"/>
              <w:bottom w:val="single" w:color="000000" w:sz="8" w:space="0"/>
              <w:right w:val="single" w:color="000000" w:sz="8" w:space="0"/>
            </w:tcBorders>
            <w:shd w:val="clear" w:color="auto" w:fill="auto"/>
            <w:vAlign w:val="center"/>
          </w:tcPr>
          <w:p w14:paraId="3BD251BE">
            <w:pPr>
              <w:kinsoku/>
              <w:autoSpaceDE/>
              <w:autoSpaceDN/>
              <w:adjustRightInd/>
              <w:snapToGrid/>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2450*3200</w:t>
            </w:r>
          </w:p>
        </w:tc>
        <w:tc>
          <w:tcPr>
            <w:tcW w:w="2033" w:type="dxa"/>
            <w:tcBorders>
              <w:top w:val="nil"/>
              <w:left w:val="nil"/>
              <w:bottom w:val="single" w:color="000000" w:sz="8" w:space="0"/>
              <w:right w:val="single" w:color="000000" w:sz="8" w:space="0"/>
            </w:tcBorders>
            <w:shd w:val="clear" w:color="auto" w:fill="auto"/>
            <w:vAlign w:val="center"/>
          </w:tcPr>
          <w:p w14:paraId="2C939C5B">
            <w:pPr>
              <w:kinsoku/>
              <w:autoSpaceDE/>
              <w:autoSpaceDN/>
              <w:adjustRightInd/>
              <w:snapToGrid/>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2400*2300</w:t>
            </w:r>
          </w:p>
        </w:tc>
      </w:tr>
      <w:tr w14:paraId="1B29F652">
        <w:tblPrEx>
          <w:tblCellMar>
            <w:top w:w="0" w:type="dxa"/>
            <w:left w:w="108" w:type="dxa"/>
            <w:bottom w:w="0" w:type="dxa"/>
            <w:right w:w="108" w:type="dxa"/>
          </w:tblCellMar>
        </w:tblPrEx>
        <w:trPr>
          <w:trHeight w:val="508" w:hRule="atLeast"/>
          <w:jc w:val="center"/>
        </w:trPr>
        <w:tc>
          <w:tcPr>
            <w:tcW w:w="1754" w:type="dxa"/>
            <w:tcBorders>
              <w:top w:val="nil"/>
              <w:left w:val="single" w:color="000000" w:sz="8" w:space="0"/>
              <w:bottom w:val="single" w:color="000000" w:sz="8" w:space="0"/>
              <w:right w:val="single" w:color="000000" w:sz="8" w:space="0"/>
            </w:tcBorders>
            <w:shd w:val="clear" w:color="auto" w:fill="auto"/>
            <w:vAlign w:val="center"/>
          </w:tcPr>
          <w:p w14:paraId="49D69DD9">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开门方式</w:t>
            </w:r>
          </w:p>
        </w:tc>
        <w:tc>
          <w:tcPr>
            <w:tcW w:w="1732" w:type="dxa"/>
            <w:tcBorders>
              <w:top w:val="nil"/>
              <w:left w:val="nil"/>
              <w:bottom w:val="single" w:color="000000" w:sz="8" w:space="0"/>
              <w:right w:val="single" w:color="000000" w:sz="8" w:space="0"/>
            </w:tcBorders>
            <w:shd w:val="clear" w:color="auto" w:fill="auto"/>
            <w:vAlign w:val="center"/>
          </w:tcPr>
          <w:p w14:paraId="2B97BA10">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旁开门</w:t>
            </w:r>
          </w:p>
        </w:tc>
        <w:tc>
          <w:tcPr>
            <w:tcW w:w="1791" w:type="dxa"/>
            <w:tcBorders>
              <w:top w:val="nil"/>
              <w:left w:val="nil"/>
              <w:bottom w:val="single" w:color="000000" w:sz="8" w:space="0"/>
              <w:right w:val="single" w:color="000000" w:sz="8" w:space="0"/>
            </w:tcBorders>
            <w:shd w:val="clear" w:color="auto" w:fill="auto"/>
            <w:vAlign w:val="center"/>
          </w:tcPr>
          <w:p w14:paraId="5A6591BD">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旁开门</w:t>
            </w:r>
          </w:p>
        </w:tc>
        <w:tc>
          <w:tcPr>
            <w:tcW w:w="2027" w:type="dxa"/>
            <w:tcBorders>
              <w:top w:val="nil"/>
              <w:left w:val="nil"/>
              <w:bottom w:val="single" w:color="000000" w:sz="8" w:space="0"/>
              <w:right w:val="single" w:color="000000" w:sz="8" w:space="0"/>
            </w:tcBorders>
            <w:shd w:val="clear" w:color="auto" w:fill="auto"/>
            <w:vAlign w:val="center"/>
          </w:tcPr>
          <w:p w14:paraId="32D3BFA3">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旁开门</w:t>
            </w:r>
          </w:p>
        </w:tc>
        <w:tc>
          <w:tcPr>
            <w:tcW w:w="2033" w:type="dxa"/>
            <w:tcBorders>
              <w:top w:val="nil"/>
              <w:left w:val="nil"/>
              <w:bottom w:val="single" w:color="000000" w:sz="8" w:space="0"/>
              <w:right w:val="single" w:color="000000" w:sz="8" w:space="0"/>
            </w:tcBorders>
            <w:shd w:val="clear" w:color="auto" w:fill="auto"/>
            <w:vAlign w:val="center"/>
          </w:tcPr>
          <w:p w14:paraId="726823F1">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旁开门</w:t>
            </w:r>
          </w:p>
        </w:tc>
      </w:tr>
      <w:tr w14:paraId="65CC922A">
        <w:tblPrEx>
          <w:tblCellMar>
            <w:top w:w="0" w:type="dxa"/>
            <w:left w:w="108" w:type="dxa"/>
            <w:bottom w:w="0" w:type="dxa"/>
            <w:right w:w="108" w:type="dxa"/>
          </w:tblCellMar>
        </w:tblPrEx>
        <w:trPr>
          <w:trHeight w:val="654" w:hRule="atLeast"/>
          <w:jc w:val="center"/>
        </w:trPr>
        <w:tc>
          <w:tcPr>
            <w:tcW w:w="1754" w:type="dxa"/>
            <w:tcBorders>
              <w:top w:val="nil"/>
              <w:left w:val="single" w:color="000000" w:sz="8" w:space="0"/>
              <w:bottom w:val="single" w:color="000000" w:sz="8" w:space="0"/>
              <w:right w:val="single" w:color="000000" w:sz="8" w:space="0"/>
            </w:tcBorders>
            <w:shd w:val="clear" w:color="auto" w:fill="auto"/>
            <w:vAlign w:val="center"/>
          </w:tcPr>
          <w:p w14:paraId="7A853EBE">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开门尺寸（宽*高）</w:t>
            </w:r>
          </w:p>
        </w:tc>
        <w:tc>
          <w:tcPr>
            <w:tcW w:w="1732" w:type="dxa"/>
            <w:tcBorders>
              <w:top w:val="nil"/>
              <w:left w:val="nil"/>
              <w:bottom w:val="single" w:color="000000" w:sz="8" w:space="0"/>
              <w:right w:val="single" w:color="000000" w:sz="8" w:space="0"/>
            </w:tcBorders>
            <w:shd w:val="clear" w:color="auto" w:fill="auto"/>
            <w:vAlign w:val="center"/>
          </w:tcPr>
          <w:p w14:paraId="4C561FC8">
            <w:pPr>
              <w:kinsoku/>
              <w:autoSpaceDE/>
              <w:autoSpaceDN/>
              <w:adjustRightInd/>
              <w:snapToGrid/>
              <w:ind w:firstLine="240" w:firstLineChars="100"/>
              <w:jc w:val="center"/>
              <w:textAlignment w:val="auto"/>
              <w:rPr>
                <w:rFonts w:hint="default" w:ascii="宋体" w:hAnsi="宋体" w:eastAsia="宋体" w:cs="宋体"/>
                <w:snapToGrid/>
                <w:color w:val="auto"/>
                <w:sz w:val="24"/>
                <w:szCs w:val="24"/>
                <w:highlight w:val="none"/>
                <w:lang w:val="en-US" w:eastAsia="zh-CN"/>
              </w:rPr>
            </w:pPr>
            <w:r>
              <w:rPr>
                <w:rFonts w:hint="eastAsia" w:ascii="宋体" w:hAnsi="宋体" w:eastAsia="宋体" w:cs="宋体"/>
                <w:snapToGrid/>
                <w:color w:val="auto"/>
                <w:sz w:val="24"/>
                <w:szCs w:val="24"/>
                <w:highlight w:val="none"/>
                <w:lang w:val="en-US" w:eastAsia="zh-CN"/>
              </w:rPr>
              <w:t>1200*2100</w:t>
            </w:r>
          </w:p>
        </w:tc>
        <w:tc>
          <w:tcPr>
            <w:tcW w:w="1791" w:type="dxa"/>
            <w:tcBorders>
              <w:top w:val="nil"/>
              <w:left w:val="nil"/>
              <w:bottom w:val="single" w:color="000000" w:sz="8" w:space="0"/>
              <w:right w:val="single" w:color="000000" w:sz="8" w:space="0"/>
            </w:tcBorders>
            <w:shd w:val="clear" w:color="auto" w:fill="auto"/>
            <w:vAlign w:val="center"/>
          </w:tcPr>
          <w:p w14:paraId="1396FF81">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1200*2100</w:t>
            </w:r>
          </w:p>
        </w:tc>
        <w:tc>
          <w:tcPr>
            <w:tcW w:w="2027" w:type="dxa"/>
            <w:tcBorders>
              <w:top w:val="nil"/>
              <w:left w:val="nil"/>
              <w:bottom w:val="single" w:color="000000" w:sz="8" w:space="0"/>
              <w:right w:val="single" w:color="000000" w:sz="8" w:space="0"/>
            </w:tcBorders>
            <w:shd w:val="clear" w:color="auto" w:fill="auto"/>
            <w:vAlign w:val="center"/>
          </w:tcPr>
          <w:p w14:paraId="2144C6BE">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1200*2100</w:t>
            </w:r>
          </w:p>
        </w:tc>
        <w:tc>
          <w:tcPr>
            <w:tcW w:w="2033" w:type="dxa"/>
            <w:tcBorders>
              <w:top w:val="nil"/>
              <w:left w:val="nil"/>
              <w:bottom w:val="single" w:color="000000" w:sz="8" w:space="0"/>
              <w:right w:val="single" w:color="000000" w:sz="8" w:space="0"/>
            </w:tcBorders>
            <w:shd w:val="clear" w:color="auto" w:fill="auto"/>
            <w:vAlign w:val="center"/>
          </w:tcPr>
          <w:p w14:paraId="288B0CA6">
            <w:pPr>
              <w:kinsoku/>
              <w:autoSpaceDE/>
              <w:autoSpaceDN/>
              <w:adjustRightInd/>
              <w:snapToGrid/>
              <w:ind w:firstLine="240" w:firstLineChars="100"/>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1100*2100</w:t>
            </w:r>
          </w:p>
        </w:tc>
      </w:tr>
      <w:tr w14:paraId="3EA61F77">
        <w:tblPrEx>
          <w:tblCellMar>
            <w:top w:w="0" w:type="dxa"/>
            <w:left w:w="108" w:type="dxa"/>
            <w:bottom w:w="0" w:type="dxa"/>
            <w:right w:w="108" w:type="dxa"/>
          </w:tblCellMar>
        </w:tblPrEx>
        <w:trPr>
          <w:trHeight w:val="528" w:hRule="atLeast"/>
          <w:jc w:val="center"/>
        </w:trPr>
        <w:tc>
          <w:tcPr>
            <w:tcW w:w="1754" w:type="dxa"/>
            <w:tcBorders>
              <w:top w:val="nil"/>
              <w:left w:val="single" w:color="000000" w:sz="8" w:space="0"/>
              <w:bottom w:val="single" w:color="000000" w:sz="8" w:space="0"/>
              <w:right w:val="single" w:color="000000" w:sz="8" w:space="0"/>
            </w:tcBorders>
            <w:shd w:val="clear" w:color="auto" w:fill="auto"/>
            <w:vAlign w:val="center"/>
          </w:tcPr>
          <w:p w14:paraId="56C99B7E">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提升高度</w:t>
            </w:r>
          </w:p>
        </w:tc>
        <w:tc>
          <w:tcPr>
            <w:tcW w:w="1732" w:type="dxa"/>
            <w:tcBorders>
              <w:top w:val="nil"/>
              <w:left w:val="nil"/>
              <w:bottom w:val="single" w:color="000000" w:sz="8" w:space="0"/>
              <w:right w:val="single" w:color="000000" w:sz="8" w:space="0"/>
            </w:tcBorders>
            <w:shd w:val="clear" w:color="auto" w:fill="auto"/>
            <w:vAlign w:val="center"/>
          </w:tcPr>
          <w:p w14:paraId="7981AB99">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17.4</w:t>
            </w:r>
            <w:r>
              <w:rPr>
                <w:rFonts w:hint="eastAsia" w:ascii="宋体" w:hAnsi="宋体" w:eastAsia="宋体" w:cs="宋体"/>
                <w:snapToGrid/>
                <w:color w:val="auto"/>
                <w:sz w:val="24"/>
                <w:szCs w:val="24"/>
                <w:highlight w:val="none"/>
                <w:lang w:eastAsia="zh-CN"/>
              </w:rPr>
              <w:t>m</w:t>
            </w:r>
          </w:p>
        </w:tc>
        <w:tc>
          <w:tcPr>
            <w:tcW w:w="1791" w:type="dxa"/>
            <w:tcBorders>
              <w:top w:val="nil"/>
              <w:left w:val="nil"/>
              <w:bottom w:val="single" w:color="000000" w:sz="8" w:space="0"/>
              <w:right w:val="single" w:color="000000" w:sz="8" w:space="0"/>
            </w:tcBorders>
            <w:shd w:val="clear" w:color="auto" w:fill="auto"/>
            <w:vAlign w:val="center"/>
          </w:tcPr>
          <w:p w14:paraId="0E03C5DC">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17.4</w:t>
            </w:r>
            <w:r>
              <w:rPr>
                <w:rFonts w:hint="eastAsia" w:ascii="宋体" w:hAnsi="宋体" w:eastAsia="宋体" w:cs="宋体"/>
                <w:snapToGrid/>
                <w:color w:val="auto"/>
                <w:sz w:val="24"/>
                <w:szCs w:val="24"/>
                <w:highlight w:val="none"/>
                <w:lang w:eastAsia="zh-CN"/>
              </w:rPr>
              <w:t>m</w:t>
            </w:r>
          </w:p>
        </w:tc>
        <w:tc>
          <w:tcPr>
            <w:tcW w:w="2027" w:type="dxa"/>
            <w:tcBorders>
              <w:top w:val="nil"/>
              <w:left w:val="nil"/>
              <w:bottom w:val="single" w:color="000000" w:sz="8" w:space="0"/>
              <w:right w:val="single" w:color="000000" w:sz="8" w:space="0"/>
            </w:tcBorders>
            <w:shd w:val="clear" w:color="auto" w:fill="auto"/>
            <w:vAlign w:val="center"/>
          </w:tcPr>
          <w:p w14:paraId="2A7E0032">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17.4</w:t>
            </w:r>
            <w:r>
              <w:rPr>
                <w:rFonts w:hint="eastAsia" w:ascii="宋体" w:hAnsi="宋体" w:eastAsia="宋体" w:cs="宋体"/>
                <w:snapToGrid/>
                <w:color w:val="auto"/>
                <w:sz w:val="24"/>
                <w:szCs w:val="24"/>
                <w:highlight w:val="none"/>
                <w:lang w:eastAsia="zh-CN"/>
              </w:rPr>
              <w:t>m</w:t>
            </w:r>
          </w:p>
        </w:tc>
        <w:tc>
          <w:tcPr>
            <w:tcW w:w="2033" w:type="dxa"/>
            <w:tcBorders>
              <w:top w:val="nil"/>
              <w:left w:val="nil"/>
              <w:bottom w:val="single" w:color="000000" w:sz="8" w:space="0"/>
              <w:right w:val="single" w:color="000000" w:sz="8" w:space="0"/>
            </w:tcBorders>
            <w:shd w:val="clear" w:color="auto" w:fill="auto"/>
            <w:vAlign w:val="center"/>
          </w:tcPr>
          <w:p w14:paraId="77068A23">
            <w:pPr>
              <w:kinsoku/>
              <w:autoSpaceDE/>
              <w:autoSpaceDN/>
              <w:adjustRightInd/>
              <w:snapToGrid/>
              <w:jc w:val="center"/>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17.4</w:t>
            </w:r>
            <w:r>
              <w:rPr>
                <w:rFonts w:hint="eastAsia" w:ascii="宋体" w:hAnsi="宋体" w:eastAsia="宋体" w:cs="宋体"/>
                <w:snapToGrid/>
                <w:color w:val="auto"/>
                <w:sz w:val="24"/>
                <w:szCs w:val="24"/>
                <w:highlight w:val="none"/>
                <w:lang w:eastAsia="zh-CN"/>
              </w:rPr>
              <w:t>m</w:t>
            </w:r>
          </w:p>
        </w:tc>
      </w:tr>
    </w:tbl>
    <w:p w14:paraId="1ED702D2">
      <w:pPr>
        <w:bidi w:val="0"/>
        <w:jc w:val="center"/>
        <w:rPr>
          <w:rFonts w:hint="eastAsia" w:ascii="宋体" w:hAnsi="宋体" w:eastAsia="宋体" w:cs="宋体"/>
          <w:b/>
          <w:bCs/>
          <w:sz w:val="24"/>
          <w:szCs w:val="28"/>
          <w:highlight w:val="none"/>
          <w:lang w:val="en-US" w:eastAsia="zh-CN"/>
        </w:rPr>
      </w:pPr>
    </w:p>
    <w:p w14:paraId="435D22D9">
      <w:pPr>
        <w:bidi w:val="0"/>
        <w:jc w:val="both"/>
        <w:rPr>
          <w:rFonts w:hint="eastAsia" w:ascii="宋体" w:hAnsi="宋体" w:eastAsia="宋体" w:cs="宋体"/>
          <w:b/>
          <w:bCs/>
          <w:sz w:val="24"/>
          <w:szCs w:val="28"/>
          <w:highlight w:val="none"/>
          <w:lang w:val="en-US" w:eastAsia="zh-CN"/>
        </w:rPr>
      </w:pPr>
      <w:r>
        <w:rPr>
          <w:rFonts w:hint="eastAsia" w:ascii="宋体" w:hAnsi="宋体" w:eastAsia="宋体" w:cs="宋体"/>
          <w:b/>
          <w:bCs/>
          <w:sz w:val="24"/>
          <w:szCs w:val="28"/>
          <w:highlight w:val="none"/>
          <w:lang w:val="en-US" w:eastAsia="zh-CN"/>
        </w:rPr>
        <w:t>1.2主要部件配置与要求</w:t>
      </w:r>
    </w:p>
    <w:p w14:paraId="353E856A">
      <w:pPr>
        <w:bidi w:val="0"/>
        <w:jc w:val="center"/>
        <w:rPr>
          <w:rFonts w:hint="eastAsia" w:ascii="宋体" w:hAnsi="宋体" w:eastAsia="宋体" w:cs="宋体"/>
          <w:b/>
          <w:bCs/>
          <w:sz w:val="24"/>
          <w:szCs w:val="28"/>
          <w:highlight w:val="none"/>
          <w:lang w:val="en-US" w:eastAsia="zh-CN"/>
        </w:rPr>
      </w:pPr>
    </w:p>
    <w:tbl>
      <w:tblPr>
        <w:tblStyle w:val="48"/>
        <w:tblW w:w="9633" w:type="dxa"/>
        <w:jc w:val="center"/>
        <w:tblLayout w:type="fixed"/>
        <w:tblCellMar>
          <w:top w:w="0" w:type="dxa"/>
          <w:left w:w="108" w:type="dxa"/>
          <w:bottom w:w="0" w:type="dxa"/>
          <w:right w:w="108" w:type="dxa"/>
        </w:tblCellMar>
      </w:tblPr>
      <w:tblGrid>
        <w:gridCol w:w="705"/>
        <w:gridCol w:w="2668"/>
        <w:gridCol w:w="6260"/>
      </w:tblGrid>
      <w:tr w14:paraId="7D5EA14F">
        <w:tblPrEx>
          <w:tblCellMar>
            <w:top w:w="0" w:type="dxa"/>
            <w:left w:w="108" w:type="dxa"/>
            <w:bottom w:w="0" w:type="dxa"/>
            <w:right w:w="108" w:type="dxa"/>
          </w:tblCellMar>
        </w:tblPrEx>
        <w:trPr>
          <w:trHeight w:val="627"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FFFFFF"/>
            <w:vAlign w:val="center"/>
          </w:tcPr>
          <w:p w14:paraId="7E069E16">
            <w:pPr>
              <w:widowControl/>
              <w:jc w:val="center"/>
              <w:textAlignment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2668" w:type="dxa"/>
            <w:tcBorders>
              <w:top w:val="single" w:color="auto" w:sz="4" w:space="0"/>
              <w:left w:val="single" w:color="auto" w:sz="4" w:space="0"/>
              <w:bottom w:val="single" w:color="auto" w:sz="4" w:space="0"/>
              <w:right w:val="single" w:color="auto" w:sz="4" w:space="0"/>
            </w:tcBorders>
            <w:shd w:val="clear" w:color="auto" w:fill="FFFFFF"/>
            <w:vAlign w:val="center"/>
          </w:tcPr>
          <w:p w14:paraId="4517EF18">
            <w:pPr>
              <w:widowControl/>
              <w:jc w:val="center"/>
              <w:textAlignment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主要部件</w:t>
            </w:r>
            <w:r>
              <w:rPr>
                <w:rFonts w:hint="eastAsia" w:ascii="宋体" w:hAnsi="宋体" w:eastAsia="宋体" w:cs="宋体"/>
                <w:b/>
                <w:bCs/>
                <w:color w:val="auto"/>
                <w:kern w:val="0"/>
                <w:sz w:val="24"/>
                <w:szCs w:val="24"/>
                <w:highlight w:val="none"/>
                <w:lang w:bidi="ar"/>
              </w:rPr>
              <w:t>名称</w:t>
            </w:r>
          </w:p>
        </w:tc>
        <w:tc>
          <w:tcPr>
            <w:tcW w:w="6260" w:type="dxa"/>
            <w:tcBorders>
              <w:top w:val="single" w:color="auto" w:sz="4" w:space="0"/>
              <w:left w:val="single" w:color="auto" w:sz="4" w:space="0"/>
              <w:bottom w:val="single" w:color="auto" w:sz="4" w:space="0"/>
              <w:right w:val="single" w:color="auto" w:sz="4" w:space="0"/>
            </w:tcBorders>
            <w:shd w:val="clear" w:color="auto" w:fill="FFFFFF"/>
            <w:vAlign w:val="center"/>
          </w:tcPr>
          <w:p w14:paraId="34CFAF39">
            <w:pPr>
              <w:widowControl/>
              <w:jc w:val="center"/>
              <w:textAlignment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技术参数</w:t>
            </w:r>
          </w:p>
        </w:tc>
      </w:tr>
      <w:tr w14:paraId="259E9BA5">
        <w:tblPrEx>
          <w:tblCellMar>
            <w:top w:w="0" w:type="dxa"/>
            <w:left w:w="108" w:type="dxa"/>
            <w:bottom w:w="0" w:type="dxa"/>
            <w:right w:w="108" w:type="dxa"/>
          </w:tblCellMar>
        </w:tblPrEx>
        <w:trPr>
          <w:trHeight w:val="498"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77F271C8">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01818282">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标准</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7A6FFA5B">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符合或优于电梯制造及安装安全规范（GB7588-2003 及第 1 号修改单）</w:t>
            </w:r>
          </w:p>
        </w:tc>
      </w:tr>
      <w:tr w14:paraId="6ED589C8">
        <w:tblPrEx>
          <w:tblCellMar>
            <w:top w:w="0" w:type="dxa"/>
            <w:left w:w="108" w:type="dxa"/>
            <w:bottom w:w="0" w:type="dxa"/>
            <w:right w:w="108" w:type="dxa"/>
          </w:tblCellMar>
        </w:tblPrEx>
        <w:trPr>
          <w:trHeight w:val="655"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60C008EA">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03FE694D">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电梯控制方式</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18B74C24">
            <w:pPr>
              <w:widowControl/>
              <w:jc w:val="both"/>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DT01-DT02并联控制，其余单控</w:t>
            </w:r>
          </w:p>
        </w:tc>
      </w:tr>
      <w:tr w14:paraId="04CC3D10">
        <w:tblPrEx>
          <w:tblCellMar>
            <w:top w:w="0" w:type="dxa"/>
            <w:left w:w="108" w:type="dxa"/>
            <w:bottom w:w="0" w:type="dxa"/>
            <w:right w:w="108" w:type="dxa"/>
          </w:tblCellMar>
        </w:tblPrEx>
        <w:trPr>
          <w:trHeight w:val="525"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177BB2E1">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1B8442FB">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消防梯开关位置</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6AA9C5DA">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DT04配置设置于基站层</w:t>
            </w:r>
          </w:p>
        </w:tc>
      </w:tr>
      <w:tr w14:paraId="275FD3EF">
        <w:tblPrEx>
          <w:tblCellMar>
            <w:top w:w="0" w:type="dxa"/>
            <w:left w:w="108" w:type="dxa"/>
            <w:bottom w:w="0" w:type="dxa"/>
            <w:right w:w="108" w:type="dxa"/>
          </w:tblCellMar>
        </w:tblPrEx>
        <w:trPr>
          <w:trHeight w:val="590"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0A2ABB1C">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4</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55EF9493">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暂停服务开关位置</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5FECF8F7">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基站层</w:t>
            </w:r>
          </w:p>
        </w:tc>
      </w:tr>
      <w:tr w14:paraId="22235DF0">
        <w:tblPrEx>
          <w:tblCellMar>
            <w:top w:w="0" w:type="dxa"/>
            <w:left w:w="108" w:type="dxa"/>
            <w:bottom w:w="0" w:type="dxa"/>
            <w:right w:w="108" w:type="dxa"/>
          </w:tblCellMar>
        </w:tblPrEx>
        <w:trPr>
          <w:trHeight w:val="544"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15B9A8E4">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5</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487A5667">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内部通话</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3FE6C4E1">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五方对讲功能</w:t>
            </w:r>
          </w:p>
        </w:tc>
      </w:tr>
      <w:tr w14:paraId="5818B4BA">
        <w:tblPrEx>
          <w:tblCellMar>
            <w:top w:w="0" w:type="dxa"/>
            <w:left w:w="108" w:type="dxa"/>
            <w:bottom w:w="0" w:type="dxa"/>
            <w:right w:w="108" w:type="dxa"/>
          </w:tblCellMar>
        </w:tblPrEx>
        <w:trPr>
          <w:trHeight w:val="3592"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1C7AEEAC">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6</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8B51AF6">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标准功能</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6C08EC92">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电梯品牌出厂标配功能；</w:t>
            </w:r>
          </w:p>
          <w:p w14:paraId="4EEB7C6D">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包含以下功能：</w:t>
            </w:r>
          </w:p>
          <w:p w14:paraId="56B9ED98">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轿内数字指示器、厅站数字指示器、暂停服务显示、轿内运行方向显示、厅站预选方向显示、轿内预选方向显示、轿内开门、轿内关门、满载控制、门保护装置（光幕保护） 、自适应开门时间、对讲机、蜂鸣器（轿内）、轿内报警、轿内紧急照明、运行时间超出保护、超载保护、上行超速保护、终端保护功能、强迫关门、测试运行、检修运行、回召服务、运行次数显示、平层指示、轿门锁、故障自动检测、锁梯开关、次层停靠、重复关门、即时关门、本层再开门门负载检测、连续服务。</w:t>
            </w:r>
          </w:p>
        </w:tc>
      </w:tr>
      <w:tr w14:paraId="61B14F70">
        <w:tblPrEx>
          <w:tblCellMar>
            <w:top w:w="0" w:type="dxa"/>
            <w:left w:w="108" w:type="dxa"/>
            <w:bottom w:w="0" w:type="dxa"/>
            <w:right w:w="108" w:type="dxa"/>
          </w:tblCellMar>
        </w:tblPrEx>
        <w:trPr>
          <w:trHeight w:val="839"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7E0B5BD6">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7</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07A10C42">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选配功能</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0D02E82B">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轿顶紫外线杀菌功能（DT01-DT03）、光幕+安全触板功能（DT01-DT03）、轿内误指令取消、预留数字视频电缆、轿内语音报站功能、自动返回基站、消防员专用功能（DT04）、暂停服务、残疾人操纵箱（DT01-DT02）。</w:t>
            </w:r>
          </w:p>
        </w:tc>
      </w:tr>
      <w:tr w14:paraId="35E681C8">
        <w:tblPrEx>
          <w:tblCellMar>
            <w:top w:w="0" w:type="dxa"/>
            <w:left w:w="108" w:type="dxa"/>
            <w:bottom w:w="0" w:type="dxa"/>
            <w:right w:w="108" w:type="dxa"/>
          </w:tblCellMar>
        </w:tblPrEx>
        <w:trPr>
          <w:trHeight w:val="507"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6F69014">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8</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51200CA3">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厅站召唤</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6D221B82">
            <w:pPr>
              <w:widowControl/>
              <w:jc w:val="both"/>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外挂一体式外呼器</w:t>
            </w:r>
          </w:p>
        </w:tc>
      </w:tr>
      <w:tr w14:paraId="7ED7656C">
        <w:tblPrEx>
          <w:tblCellMar>
            <w:top w:w="0" w:type="dxa"/>
            <w:left w:w="108" w:type="dxa"/>
            <w:bottom w:w="0" w:type="dxa"/>
            <w:right w:w="108" w:type="dxa"/>
          </w:tblCellMar>
        </w:tblPrEx>
        <w:trPr>
          <w:trHeight w:val="507"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5A0BF7E">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9</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79009CEB">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厅站指示</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5A3DD92F">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单色液晶显示带方向指示</w:t>
            </w:r>
          </w:p>
        </w:tc>
      </w:tr>
      <w:tr w14:paraId="4BCAA154">
        <w:tblPrEx>
          <w:tblCellMar>
            <w:top w:w="0" w:type="dxa"/>
            <w:left w:w="108" w:type="dxa"/>
            <w:bottom w:w="0" w:type="dxa"/>
            <w:right w:w="108" w:type="dxa"/>
          </w:tblCellMar>
        </w:tblPrEx>
        <w:trPr>
          <w:trHeight w:val="498"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8B73680">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10</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39E3810">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按钮形式</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7D02D9DA">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可亮发纹不锈钢抗菌按钮带盲文</w:t>
            </w:r>
          </w:p>
        </w:tc>
      </w:tr>
      <w:tr w14:paraId="20280223">
        <w:tblPrEx>
          <w:tblCellMar>
            <w:top w:w="0" w:type="dxa"/>
            <w:left w:w="108" w:type="dxa"/>
            <w:bottom w:w="0" w:type="dxa"/>
            <w:right w:w="108" w:type="dxa"/>
          </w:tblCellMar>
        </w:tblPrEx>
        <w:trPr>
          <w:trHeight w:val="384"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11EA0CF">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11</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2423653A">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开门形式</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01A81BD8">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自动旁开</w:t>
            </w:r>
          </w:p>
        </w:tc>
      </w:tr>
      <w:tr w14:paraId="50682B35">
        <w:tblPrEx>
          <w:tblCellMar>
            <w:top w:w="0" w:type="dxa"/>
            <w:left w:w="108" w:type="dxa"/>
            <w:bottom w:w="0" w:type="dxa"/>
            <w:right w:w="108" w:type="dxa"/>
          </w:tblCellMar>
        </w:tblPrEx>
        <w:trPr>
          <w:trHeight w:val="1966"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37E52530">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12</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4C92096">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厅门装潢</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00BBDAE4">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层层厅门发纹不锈钢及发纹不锈钢小门套。</w:t>
            </w:r>
          </w:p>
          <w:p w14:paraId="078FC67E">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厅外指示器为发纹不锈钢面板，运行方向指示箭头及楼层； 地坎采用硬质铝；开门方式为旁开门；无机房。</w:t>
            </w:r>
          </w:p>
          <w:p w14:paraId="04174F5C">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投标人应根据现场土建尺寸资料和要求，按标准规定设计好电梯的轿厢。</w:t>
            </w:r>
          </w:p>
        </w:tc>
      </w:tr>
      <w:tr w14:paraId="5A90B81B">
        <w:tblPrEx>
          <w:tblCellMar>
            <w:top w:w="0" w:type="dxa"/>
            <w:left w:w="108" w:type="dxa"/>
            <w:bottom w:w="0" w:type="dxa"/>
            <w:right w:w="108" w:type="dxa"/>
          </w:tblCellMar>
        </w:tblPrEx>
        <w:trPr>
          <w:trHeight w:val="90"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093698B0">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13</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3381E4FC">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电梯轿厢装潢</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5156F675">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前壁、侧壁、后壁均为发纹不锈钢材质（后中壁镜面不锈钢），吊顶材料为喷涂钢板材质，吊顶照明为 LED面板灯，轿底装潢为仿大理石地板</w:t>
            </w:r>
          </w:p>
        </w:tc>
      </w:tr>
      <w:tr w14:paraId="05CC6602">
        <w:tblPrEx>
          <w:tblCellMar>
            <w:top w:w="0" w:type="dxa"/>
            <w:left w:w="108" w:type="dxa"/>
            <w:bottom w:w="0" w:type="dxa"/>
            <w:right w:w="108" w:type="dxa"/>
          </w:tblCellMar>
        </w:tblPrEx>
        <w:trPr>
          <w:trHeight w:val="507"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4EBBF43">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14</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49BACE5C">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轿门装潢</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41CE69A6">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发纹不锈钢</w:t>
            </w:r>
          </w:p>
        </w:tc>
      </w:tr>
      <w:tr w14:paraId="786EE61E">
        <w:tblPrEx>
          <w:tblCellMar>
            <w:top w:w="0" w:type="dxa"/>
            <w:left w:w="108" w:type="dxa"/>
            <w:bottom w:w="0" w:type="dxa"/>
            <w:right w:w="108" w:type="dxa"/>
          </w:tblCellMar>
        </w:tblPrEx>
        <w:trPr>
          <w:trHeight w:val="600"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73A4CCDD">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15</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4D97C868">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轿内操纵厢</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6038B078">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发纹不锈钢 ，按钮为可亮发纹不锈钢抗菌按钮带盲文</w:t>
            </w:r>
          </w:p>
        </w:tc>
      </w:tr>
      <w:tr w14:paraId="4F831B38">
        <w:tblPrEx>
          <w:tblCellMar>
            <w:top w:w="0" w:type="dxa"/>
            <w:left w:w="108" w:type="dxa"/>
            <w:bottom w:w="0" w:type="dxa"/>
            <w:right w:w="108" w:type="dxa"/>
          </w:tblCellMar>
        </w:tblPrEx>
        <w:trPr>
          <w:trHeight w:val="90"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AFE1D17">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16</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2D7B2AAE">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电梯主机</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0FA5A4B7">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永磁同步 VVVF 主机，工艺技术先进，国内或合资生产</w:t>
            </w:r>
          </w:p>
        </w:tc>
      </w:tr>
      <w:tr w14:paraId="0DF7B2AD">
        <w:tblPrEx>
          <w:tblCellMar>
            <w:top w:w="0" w:type="dxa"/>
            <w:left w:w="108" w:type="dxa"/>
            <w:bottom w:w="0" w:type="dxa"/>
            <w:right w:w="108" w:type="dxa"/>
          </w:tblCellMar>
        </w:tblPrEx>
        <w:trPr>
          <w:trHeight w:val="525"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775EE82">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17</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D202808">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电梯门机</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1BB40C3D">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工艺技术先进，国内或合资生产</w:t>
            </w:r>
          </w:p>
        </w:tc>
      </w:tr>
      <w:tr w14:paraId="7E81FCC8">
        <w:tblPrEx>
          <w:tblCellMar>
            <w:top w:w="0" w:type="dxa"/>
            <w:left w:w="108" w:type="dxa"/>
            <w:bottom w:w="0" w:type="dxa"/>
            <w:right w:w="108" w:type="dxa"/>
          </w:tblCellMar>
        </w:tblPrEx>
        <w:trPr>
          <w:trHeight w:val="544"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60A6F1ED">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18</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1FACADC8">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电梯安全钳</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5BD73D04">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工艺技术先进，国内或合资生产</w:t>
            </w:r>
          </w:p>
        </w:tc>
      </w:tr>
      <w:tr w14:paraId="68BCE180">
        <w:tblPrEx>
          <w:tblCellMar>
            <w:top w:w="0" w:type="dxa"/>
            <w:left w:w="108" w:type="dxa"/>
            <w:bottom w:w="0" w:type="dxa"/>
            <w:right w:w="108" w:type="dxa"/>
          </w:tblCellMar>
        </w:tblPrEx>
        <w:trPr>
          <w:trHeight w:val="581"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A90E8FF">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19</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3113A459">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电梯缓冲器</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24DCFE1F">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工艺技术先进，国内或合资生产</w:t>
            </w:r>
          </w:p>
        </w:tc>
      </w:tr>
      <w:tr w14:paraId="522BE0A6">
        <w:tblPrEx>
          <w:tblCellMar>
            <w:top w:w="0" w:type="dxa"/>
            <w:left w:w="108" w:type="dxa"/>
            <w:bottom w:w="0" w:type="dxa"/>
            <w:right w:w="108" w:type="dxa"/>
          </w:tblCellMar>
        </w:tblPrEx>
        <w:trPr>
          <w:trHeight w:val="479"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774D0266">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20</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FC16F56">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电梯控制柜</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7E0357D9">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微电脑变频控制，工艺技 术先进，国内或合资生产</w:t>
            </w:r>
          </w:p>
        </w:tc>
      </w:tr>
      <w:tr w14:paraId="480237AA">
        <w:tblPrEx>
          <w:tblCellMar>
            <w:top w:w="0" w:type="dxa"/>
            <w:left w:w="108" w:type="dxa"/>
            <w:bottom w:w="0" w:type="dxa"/>
            <w:right w:w="108" w:type="dxa"/>
          </w:tblCellMar>
        </w:tblPrEx>
        <w:trPr>
          <w:trHeight w:val="544"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122DE8F2">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21</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43996FE">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电梯轿厢</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62C3A1B2">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工艺技术先进，国内或合资生产</w:t>
            </w:r>
          </w:p>
        </w:tc>
      </w:tr>
      <w:tr w14:paraId="7AFB877A">
        <w:tblPrEx>
          <w:tblCellMar>
            <w:top w:w="0" w:type="dxa"/>
            <w:left w:w="108" w:type="dxa"/>
            <w:bottom w:w="0" w:type="dxa"/>
            <w:right w:w="108" w:type="dxa"/>
          </w:tblCellMar>
        </w:tblPrEx>
        <w:trPr>
          <w:trHeight w:val="570"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DA7ECDC">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22</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1C583339">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电梯限速器</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5D045F8E">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工艺技术先进，国内或合资生产</w:t>
            </w:r>
          </w:p>
        </w:tc>
      </w:tr>
      <w:tr w14:paraId="5B4967CE">
        <w:tblPrEx>
          <w:tblCellMar>
            <w:top w:w="0" w:type="dxa"/>
            <w:left w:w="108" w:type="dxa"/>
            <w:bottom w:w="0" w:type="dxa"/>
            <w:right w:w="108" w:type="dxa"/>
          </w:tblCellMar>
        </w:tblPrEx>
        <w:trPr>
          <w:trHeight w:val="535"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5FDABC3">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23</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2D1CA0C9">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电梯厅门</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36DDC94C">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工艺技术先进，国内或合资生产</w:t>
            </w:r>
          </w:p>
        </w:tc>
      </w:tr>
      <w:tr w14:paraId="00FBF700">
        <w:tblPrEx>
          <w:tblCellMar>
            <w:top w:w="0" w:type="dxa"/>
            <w:left w:w="108" w:type="dxa"/>
            <w:bottom w:w="0" w:type="dxa"/>
            <w:right w:w="108" w:type="dxa"/>
          </w:tblCellMar>
        </w:tblPrEx>
        <w:trPr>
          <w:trHeight w:val="526"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3C59D913">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24</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44A7AE33">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拖动方式</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264850AC">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三相交流电（市电）</w:t>
            </w:r>
          </w:p>
        </w:tc>
      </w:tr>
      <w:tr w14:paraId="665F3985">
        <w:tblPrEx>
          <w:tblCellMar>
            <w:top w:w="0" w:type="dxa"/>
            <w:left w:w="108" w:type="dxa"/>
            <w:bottom w:w="0" w:type="dxa"/>
            <w:right w:w="108" w:type="dxa"/>
          </w:tblCellMar>
        </w:tblPrEx>
        <w:trPr>
          <w:trHeight w:val="664"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50F429B">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25</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9AC467B">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驱动方式</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3C66F08E">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永磁同步无齿主机</w:t>
            </w:r>
          </w:p>
        </w:tc>
      </w:tr>
      <w:tr w14:paraId="4B816715">
        <w:tblPrEx>
          <w:tblCellMar>
            <w:top w:w="0" w:type="dxa"/>
            <w:left w:w="108" w:type="dxa"/>
            <w:bottom w:w="0" w:type="dxa"/>
            <w:right w:w="108" w:type="dxa"/>
          </w:tblCellMar>
        </w:tblPrEx>
        <w:trPr>
          <w:trHeight w:val="484"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17ED4B96">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26</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76915368">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调速方式</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1BBED15E">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微机变频变压调速（VVVF）</w:t>
            </w:r>
          </w:p>
        </w:tc>
      </w:tr>
      <w:tr w14:paraId="2A4C9667">
        <w:tblPrEx>
          <w:tblCellMar>
            <w:top w:w="0" w:type="dxa"/>
            <w:left w:w="108" w:type="dxa"/>
            <w:bottom w:w="0" w:type="dxa"/>
            <w:right w:w="108" w:type="dxa"/>
          </w:tblCellMar>
        </w:tblPrEx>
        <w:trPr>
          <w:trHeight w:val="562"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18A0EA50">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27</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AB9DE8F">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自动门机</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1EE4CCD6">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VVVF 门机</w:t>
            </w:r>
          </w:p>
        </w:tc>
      </w:tr>
      <w:tr w14:paraId="290BA19D">
        <w:tblPrEx>
          <w:tblCellMar>
            <w:top w:w="0" w:type="dxa"/>
            <w:left w:w="108" w:type="dxa"/>
            <w:bottom w:w="0" w:type="dxa"/>
            <w:right w:w="108" w:type="dxa"/>
          </w:tblCellMar>
        </w:tblPrEx>
        <w:trPr>
          <w:trHeight w:val="563"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3E70E28D">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28</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3575C372">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超载保护装置</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4634B738">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1、电子连续式称重装置 2、有声响</w:t>
            </w:r>
          </w:p>
        </w:tc>
      </w:tr>
      <w:tr w14:paraId="3159869C">
        <w:tblPrEx>
          <w:tblCellMar>
            <w:top w:w="0" w:type="dxa"/>
            <w:left w:w="108" w:type="dxa"/>
            <w:bottom w:w="0" w:type="dxa"/>
            <w:right w:w="108" w:type="dxa"/>
          </w:tblCellMar>
        </w:tblPrEx>
        <w:trPr>
          <w:trHeight w:val="535"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1BBF61C1">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29</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2177DCAE">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近门保护装置</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17BCFCDE">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电梯专用光幕</w:t>
            </w:r>
          </w:p>
        </w:tc>
      </w:tr>
      <w:tr w14:paraId="3469E481">
        <w:tblPrEx>
          <w:tblCellMar>
            <w:top w:w="0" w:type="dxa"/>
            <w:left w:w="108" w:type="dxa"/>
            <w:bottom w:w="0" w:type="dxa"/>
            <w:right w:w="108" w:type="dxa"/>
          </w:tblCellMar>
        </w:tblPrEx>
        <w:trPr>
          <w:trHeight w:val="544"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6B505761">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30</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6E5D6A81">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拽引钢丝绳</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2BA66839">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电梯专用钢丝绳</w:t>
            </w:r>
          </w:p>
        </w:tc>
      </w:tr>
      <w:tr w14:paraId="724FF60B">
        <w:tblPrEx>
          <w:tblCellMar>
            <w:top w:w="0" w:type="dxa"/>
            <w:left w:w="108" w:type="dxa"/>
            <w:bottom w:w="0" w:type="dxa"/>
            <w:right w:w="108" w:type="dxa"/>
          </w:tblCellMar>
        </w:tblPrEx>
        <w:trPr>
          <w:trHeight w:val="563"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7064DF8D">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31</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2522FEAC">
            <w:pPr>
              <w:widowControl/>
              <w:jc w:val="center"/>
              <w:textAlignment w:val="center"/>
              <w:rPr>
                <w:rFonts w:hint="eastAsia" w:ascii="宋体" w:hAnsi="宋体" w:eastAsia="宋体" w:cs="宋体"/>
                <w:b w:val="0"/>
                <w:bCs w:val="0"/>
                <w:color w:val="auto"/>
                <w:kern w:val="0"/>
                <w:sz w:val="24"/>
                <w:szCs w:val="24"/>
                <w:highlight w:val="yellow"/>
                <w:lang w:val="en-US" w:eastAsia="zh-CN" w:bidi="ar"/>
              </w:rPr>
            </w:pPr>
            <w:r>
              <w:rPr>
                <w:rFonts w:hint="eastAsia" w:ascii="宋体" w:hAnsi="宋体" w:eastAsia="宋体" w:cs="宋体"/>
                <w:b w:val="0"/>
                <w:bCs w:val="0"/>
                <w:color w:val="auto"/>
                <w:kern w:val="0"/>
                <w:sz w:val="24"/>
                <w:szCs w:val="24"/>
                <w:highlight w:val="none"/>
                <w:lang w:val="en-US" w:eastAsia="zh-CN" w:bidi="ar"/>
              </w:rPr>
              <w:t>导轨</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1E9FA6E7">
            <w:pPr>
              <w:widowControl/>
              <w:jc w:val="both"/>
              <w:textAlignment w:val="center"/>
              <w:rPr>
                <w:rFonts w:hint="eastAsia" w:ascii="宋体" w:hAnsi="宋体" w:eastAsia="宋体" w:cs="宋体"/>
                <w:b w:val="0"/>
                <w:bCs w:val="0"/>
                <w:color w:val="auto"/>
                <w:kern w:val="0"/>
                <w:sz w:val="24"/>
                <w:szCs w:val="24"/>
                <w:highlight w:val="yellow"/>
                <w:lang w:val="en-US" w:eastAsia="zh-CN" w:bidi="ar"/>
              </w:rPr>
            </w:pPr>
            <w:r>
              <w:rPr>
                <w:rFonts w:hint="eastAsia" w:ascii="宋体" w:hAnsi="宋体" w:eastAsia="宋体" w:cs="宋体"/>
                <w:b w:val="0"/>
                <w:bCs w:val="0"/>
                <w:color w:val="auto"/>
                <w:kern w:val="0"/>
                <w:sz w:val="24"/>
                <w:szCs w:val="24"/>
                <w:highlight w:val="none"/>
                <w:lang w:val="en-US" w:eastAsia="zh-CN" w:bidi="ar"/>
              </w:rPr>
              <w:t>满足国标要求的实心导轨</w:t>
            </w:r>
          </w:p>
        </w:tc>
      </w:tr>
      <w:tr w14:paraId="542BCF6F">
        <w:tblPrEx>
          <w:tblCellMar>
            <w:top w:w="0" w:type="dxa"/>
            <w:left w:w="108" w:type="dxa"/>
            <w:bottom w:w="0" w:type="dxa"/>
            <w:right w:w="108" w:type="dxa"/>
          </w:tblCellMar>
        </w:tblPrEx>
        <w:trPr>
          <w:trHeight w:val="562"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6B97B23E">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32</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2A18006B">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平层精度</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38599A7A">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≤+10mm</w:t>
            </w:r>
          </w:p>
        </w:tc>
      </w:tr>
      <w:tr w14:paraId="5E14EC9F">
        <w:tblPrEx>
          <w:tblCellMar>
            <w:top w:w="0" w:type="dxa"/>
            <w:left w:w="108" w:type="dxa"/>
            <w:bottom w:w="0" w:type="dxa"/>
            <w:right w:w="108" w:type="dxa"/>
          </w:tblCellMar>
        </w:tblPrEx>
        <w:trPr>
          <w:trHeight w:val="673"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3A2384EE">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33</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07382A5E">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噪音</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06393426">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轿厢≤55dB、开关门≤65dB、机房≤75dB</w:t>
            </w:r>
          </w:p>
        </w:tc>
      </w:tr>
      <w:tr w14:paraId="53E623B0">
        <w:tblPrEx>
          <w:tblCellMar>
            <w:top w:w="0" w:type="dxa"/>
            <w:left w:w="108" w:type="dxa"/>
            <w:bottom w:w="0" w:type="dxa"/>
            <w:right w:w="108" w:type="dxa"/>
          </w:tblCellMar>
        </w:tblPrEx>
        <w:trPr>
          <w:trHeight w:val="551"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02814957">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34</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374A8201">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可靠性</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7A9951C2">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符合国家行业相关规范标准</w:t>
            </w:r>
          </w:p>
        </w:tc>
      </w:tr>
      <w:tr w14:paraId="3A010CDE">
        <w:tblPrEx>
          <w:tblCellMar>
            <w:top w:w="0" w:type="dxa"/>
            <w:left w:w="108" w:type="dxa"/>
            <w:bottom w:w="0" w:type="dxa"/>
            <w:right w:w="108" w:type="dxa"/>
          </w:tblCellMar>
        </w:tblPrEx>
        <w:trPr>
          <w:trHeight w:val="581"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AAD1E4D">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35</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2BC14B74">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使用寿命</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00092073">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符合国家行业相关规范标准</w:t>
            </w:r>
          </w:p>
        </w:tc>
      </w:tr>
      <w:tr w14:paraId="2E50AB33">
        <w:tblPrEx>
          <w:tblCellMar>
            <w:top w:w="0" w:type="dxa"/>
            <w:left w:w="108" w:type="dxa"/>
            <w:bottom w:w="0" w:type="dxa"/>
            <w:right w:w="108" w:type="dxa"/>
          </w:tblCellMar>
        </w:tblPrEx>
        <w:trPr>
          <w:trHeight w:val="90" w:hRule="atLeast"/>
          <w:jc w:val="center"/>
        </w:trPr>
        <w:tc>
          <w:tcPr>
            <w:tcW w:w="70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8496D1B">
            <w:pPr>
              <w:widowControl/>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36</w:t>
            </w:r>
          </w:p>
        </w:tc>
        <w:tc>
          <w:tcPr>
            <w:tcW w:w="2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4602FC80">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其它</w:t>
            </w:r>
          </w:p>
        </w:tc>
        <w:tc>
          <w:tcPr>
            <w:tcW w:w="6260" w:type="dxa"/>
            <w:tcBorders>
              <w:top w:val="single" w:color="auto" w:sz="4" w:space="0"/>
              <w:left w:val="single" w:color="000000" w:sz="4" w:space="0"/>
              <w:bottom w:val="single" w:color="000000" w:sz="4" w:space="0"/>
              <w:right w:val="single" w:color="000000" w:sz="4" w:space="0"/>
            </w:tcBorders>
            <w:shd w:val="clear" w:color="auto" w:fill="auto"/>
            <w:vAlign w:val="center"/>
          </w:tcPr>
          <w:p w14:paraId="03213270">
            <w:pPr>
              <w:widowControl/>
              <w:jc w:val="both"/>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轿厢应急照明电源容量：满足一小时及以上，寿命1年以上</w:t>
            </w:r>
          </w:p>
        </w:tc>
      </w:tr>
      <w:tr w14:paraId="78411412">
        <w:tblPrEx>
          <w:tblCellMar>
            <w:top w:w="0" w:type="dxa"/>
            <w:left w:w="108" w:type="dxa"/>
            <w:bottom w:w="0" w:type="dxa"/>
            <w:right w:w="108" w:type="dxa"/>
          </w:tblCellMar>
        </w:tblPrEx>
        <w:trPr>
          <w:trHeight w:val="526" w:hRule="atLeast"/>
          <w:jc w:val="center"/>
        </w:trPr>
        <w:tc>
          <w:tcPr>
            <w:tcW w:w="33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4D7D0D4">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质量标准</w:t>
            </w:r>
          </w:p>
        </w:tc>
        <w:tc>
          <w:tcPr>
            <w:tcW w:w="6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290C">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符合国家行业相关规范标准</w:t>
            </w:r>
          </w:p>
        </w:tc>
      </w:tr>
      <w:tr w14:paraId="4D3AA25F">
        <w:tblPrEx>
          <w:tblCellMar>
            <w:top w:w="0" w:type="dxa"/>
            <w:left w:w="108" w:type="dxa"/>
            <w:bottom w:w="0" w:type="dxa"/>
            <w:right w:w="108" w:type="dxa"/>
          </w:tblCellMar>
        </w:tblPrEx>
        <w:trPr>
          <w:trHeight w:val="405" w:hRule="atLeast"/>
          <w:jc w:val="center"/>
        </w:trPr>
        <w:tc>
          <w:tcPr>
            <w:tcW w:w="33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2465FFE">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验收条件及标准</w:t>
            </w:r>
          </w:p>
        </w:tc>
        <w:tc>
          <w:tcPr>
            <w:tcW w:w="6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03B6">
            <w:pPr>
              <w:widowControl/>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满足招标文件技术参数要求</w:t>
            </w:r>
          </w:p>
        </w:tc>
      </w:tr>
      <w:tr w14:paraId="1A795C83">
        <w:tblPrEx>
          <w:tblCellMar>
            <w:top w:w="0" w:type="dxa"/>
            <w:left w:w="108" w:type="dxa"/>
            <w:bottom w:w="0" w:type="dxa"/>
            <w:right w:w="108" w:type="dxa"/>
          </w:tblCellMar>
        </w:tblPrEx>
        <w:trPr>
          <w:trHeight w:val="489" w:hRule="atLeast"/>
          <w:jc w:val="center"/>
        </w:trPr>
        <w:tc>
          <w:tcPr>
            <w:tcW w:w="3373" w:type="dxa"/>
            <w:gridSpan w:val="2"/>
            <w:tcBorders>
              <w:top w:val="single" w:color="000000" w:sz="4" w:space="0"/>
              <w:left w:val="single" w:color="000000" w:sz="4" w:space="0"/>
              <w:bottom w:val="single" w:color="auto" w:sz="4" w:space="0"/>
              <w:right w:val="single" w:color="000000" w:sz="4" w:space="0"/>
            </w:tcBorders>
            <w:shd w:val="clear" w:color="auto" w:fill="FFFFFF"/>
            <w:vAlign w:val="center"/>
          </w:tcPr>
          <w:p w14:paraId="004E6BB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验收方法及方案</w:t>
            </w:r>
          </w:p>
        </w:tc>
        <w:tc>
          <w:tcPr>
            <w:tcW w:w="6260" w:type="dxa"/>
            <w:tcBorders>
              <w:top w:val="single" w:color="000000" w:sz="4" w:space="0"/>
              <w:left w:val="single" w:color="000000" w:sz="4" w:space="0"/>
              <w:bottom w:val="single" w:color="auto" w:sz="4" w:space="0"/>
              <w:right w:val="single" w:color="000000" w:sz="4" w:space="0"/>
            </w:tcBorders>
            <w:shd w:val="clear" w:color="auto" w:fill="auto"/>
            <w:vAlign w:val="center"/>
          </w:tcPr>
          <w:p w14:paraId="53F996D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组织验收</w:t>
            </w:r>
          </w:p>
        </w:tc>
      </w:tr>
    </w:tbl>
    <w:p w14:paraId="1D333073">
      <w:pPr>
        <w:widowControl/>
        <w:snapToGrid w:val="0"/>
        <w:spacing w:line="360" w:lineRule="auto"/>
        <w:jc w:val="center"/>
        <w:rPr>
          <w:rFonts w:hint="eastAsia" w:ascii="宋体" w:hAnsi="宋体" w:eastAsia="宋体" w:cs="宋体"/>
          <w:b/>
          <w:color w:val="auto"/>
          <w:kern w:val="0"/>
          <w:sz w:val="32"/>
          <w:szCs w:val="32"/>
          <w:highlight w:val="none"/>
        </w:rPr>
      </w:pPr>
    </w:p>
    <w:p w14:paraId="0F27E7C4">
      <w:pPr>
        <w:widowControl/>
        <w:snapToGrid w:val="0"/>
        <w:spacing w:line="360" w:lineRule="auto"/>
        <w:jc w:val="center"/>
        <w:rPr>
          <w:rFonts w:hint="eastAsia" w:ascii="宋体" w:hAnsi="宋体" w:eastAsia="宋体" w:cs="宋体"/>
          <w:b/>
          <w:color w:val="auto"/>
          <w:kern w:val="0"/>
          <w:sz w:val="32"/>
          <w:szCs w:val="32"/>
          <w:highlight w:val="none"/>
        </w:rPr>
      </w:pPr>
    </w:p>
    <w:p w14:paraId="7FF3E444">
      <w:pPr>
        <w:widowControl/>
        <w:snapToGrid w:val="0"/>
        <w:spacing w:line="360" w:lineRule="auto"/>
        <w:jc w:val="center"/>
        <w:rPr>
          <w:rFonts w:hint="eastAsia" w:ascii="宋体" w:hAnsi="宋体" w:eastAsia="宋体" w:cs="宋体"/>
          <w:b/>
          <w:color w:val="auto"/>
          <w:kern w:val="0"/>
          <w:sz w:val="32"/>
          <w:szCs w:val="32"/>
          <w:highlight w:val="none"/>
        </w:rPr>
      </w:pPr>
    </w:p>
    <w:p w14:paraId="1A4FAFCB">
      <w:pPr>
        <w:widowControl/>
        <w:snapToGrid w:val="0"/>
        <w:spacing w:line="360" w:lineRule="auto"/>
        <w:jc w:val="center"/>
        <w:rPr>
          <w:rFonts w:hint="eastAsia" w:ascii="宋体" w:hAnsi="宋体" w:eastAsia="宋体" w:cs="宋体"/>
          <w:b/>
          <w:color w:val="auto"/>
          <w:kern w:val="0"/>
          <w:sz w:val="32"/>
          <w:szCs w:val="32"/>
          <w:highlight w:val="none"/>
        </w:rPr>
      </w:pPr>
    </w:p>
    <w:p w14:paraId="410AD47B">
      <w:pPr>
        <w:widowControl/>
        <w:snapToGrid w:val="0"/>
        <w:spacing w:line="360" w:lineRule="auto"/>
        <w:jc w:val="center"/>
        <w:rPr>
          <w:rFonts w:hint="eastAsia" w:ascii="宋体" w:hAnsi="宋体" w:eastAsia="宋体" w:cs="宋体"/>
          <w:b/>
          <w:color w:val="auto"/>
          <w:kern w:val="0"/>
          <w:sz w:val="32"/>
          <w:szCs w:val="32"/>
          <w:highlight w:val="none"/>
        </w:rPr>
      </w:pPr>
    </w:p>
    <w:p w14:paraId="1D308FA6">
      <w:pPr>
        <w:widowControl/>
        <w:snapToGrid w:val="0"/>
        <w:spacing w:line="360" w:lineRule="auto"/>
        <w:jc w:val="center"/>
        <w:rPr>
          <w:rFonts w:hint="eastAsia" w:ascii="宋体" w:hAnsi="宋体" w:eastAsia="宋体" w:cs="宋体"/>
          <w:b/>
          <w:color w:val="auto"/>
          <w:kern w:val="0"/>
          <w:sz w:val="32"/>
          <w:szCs w:val="32"/>
          <w:highlight w:val="none"/>
        </w:rPr>
      </w:pPr>
    </w:p>
    <w:p w14:paraId="47803FBD">
      <w:pPr>
        <w:widowControl/>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第三章  </w:t>
      </w:r>
      <w:r>
        <w:rPr>
          <w:rFonts w:hint="eastAsia" w:ascii="宋体" w:hAnsi="宋体" w:eastAsia="宋体" w:cs="宋体"/>
          <w:b/>
          <w:color w:val="auto"/>
          <w:kern w:val="0"/>
          <w:sz w:val="32"/>
          <w:szCs w:val="32"/>
          <w:highlight w:val="none"/>
          <w:lang w:eastAsia="zh-CN"/>
        </w:rPr>
        <w:t>投标人</w:t>
      </w:r>
      <w:r>
        <w:rPr>
          <w:rFonts w:hint="eastAsia" w:ascii="宋体" w:hAnsi="宋体" w:eastAsia="宋体" w:cs="宋体"/>
          <w:b/>
          <w:color w:val="auto"/>
          <w:kern w:val="0"/>
          <w:sz w:val="32"/>
          <w:szCs w:val="32"/>
          <w:highlight w:val="none"/>
        </w:rPr>
        <w:t>须知</w:t>
      </w:r>
    </w:p>
    <w:p w14:paraId="124EAECF">
      <w:pPr>
        <w:adjustRightInd w:val="0"/>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投标人</w:t>
      </w:r>
      <w:r>
        <w:rPr>
          <w:rFonts w:hint="eastAsia" w:ascii="宋体" w:hAnsi="宋体" w:eastAsia="宋体" w:cs="宋体"/>
          <w:b/>
          <w:color w:val="auto"/>
          <w:sz w:val="24"/>
          <w:szCs w:val="24"/>
          <w:highlight w:val="none"/>
        </w:rPr>
        <w:t>须知前附表</w:t>
      </w:r>
    </w:p>
    <w:tbl>
      <w:tblPr>
        <w:tblStyle w:val="48"/>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053"/>
      </w:tblGrid>
      <w:tr w14:paraId="5173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702" w:type="dxa"/>
            <w:vAlign w:val="center"/>
          </w:tcPr>
          <w:p w14:paraId="67652CC6">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9053" w:type="dxa"/>
            <w:vAlign w:val="center"/>
          </w:tcPr>
          <w:p w14:paraId="7B483C7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内容、要求</w:t>
            </w:r>
          </w:p>
        </w:tc>
      </w:tr>
      <w:tr w14:paraId="1F6E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702" w:type="dxa"/>
            <w:vAlign w:val="center"/>
          </w:tcPr>
          <w:p w14:paraId="0D67A02D">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053" w:type="dxa"/>
            <w:vAlign w:val="center"/>
          </w:tcPr>
          <w:p w14:paraId="73418D2C">
            <w:pPr>
              <w:spacing w:line="480" w:lineRule="exact"/>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1.1 项目名称：</w:t>
            </w:r>
            <w:r>
              <w:rPr>
                <w:rFonts w:hint="eastAsia" w:ascii="宋体" w:hAnsi="宋体" w:eastAsia="宋体" w:cs="宋体"/>
                <w:color w:val="auto"/>
                <w:sz w:val="24"/>
                <w:szCs w:val="24"/>
                <w:highlight w:val="none"/>
                <w:lang w:eastAsia="zh-CN"/>
              </w:rPr>
              <w:t>确山县人民医院新区医院传染病区采购电梯项目</w:t>
            </w:r>
          </w:p>
          <w:p w14:paraId="6603E0C3">
            <w:pPr>
              <w:adjustRightInd w:val="0"/>
              <w:snapToGrid w:val="0"/>
              <w:spacing w:line="360" w:lineRule="auto"/>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sz w:val="24"/>
                <w:szCs w:val="24"/>
                <w:highlight w:val="none"/>
              </w:rPr>
              <w:t xml:space="preserve">1.2 </w:t>
            </w:r>
            <w:r>
              <w:rPr>
                <w:rFonts w:hint="eastAsia" w:ascii="宋体" w:hAnsi="宋体" w:eastAsia="宋体" w:cs="宋体"/>
                <w:b/>
                <w:color w:val="auto"/>
                <w:sz w:val="24"/>
                <w:szCs w:val="24"/>
                <w:highlight w:val="none"/>
                <w:lang w:eastAsia="zh-CN"/>
              </w:rPr>
              <w:t>招标人</w:t>
            </w:r>
            <w:r>
              <w:rPr>
                <w:rFonts w:hint="eastAsia" w:ascii="宋体" w:hAnsi="宋体" w:eastAsia="宋体" w:cs="宋体"/>
                <w:b/>
                <w:color w:val="auto"/>
                <w:sz w:val="24"/>
                <w:szCs w:val="24"/>
                <w:highlight w:val="none"/>
              </w:rPr>
              <w:t>名称：</w:t>
            </w:r>
            <w:r>
              <w:rPr>
                <w:rFonts w:hint="eastAsia" w:ascii="宋体" w:hAnsi="宋体" w:eastAsia="宋体" w:cs="宋体"/>
                <w:color w:val="auto"/>
                <w:sz w:val="24"/>
                <w:szCs w:val="24"/>
                <w:highlight w:val="none"/>
                <w:lang w:eastAsia="zh-CN"/>
              </w:rPr>
              <w:t xml:space="preserve">确山县卫生健康体育委员会 </w:t>
            </w:r>
          </w:p>
        </w:tc>
      </w:tr>
      <w:tr w14:paraId="334A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702" w:type="dxa"/>
            <w:vAlign w:val="center"/>
          </w:tcPr>
          <w:p w14:paraId="7744DE5F">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053" w:type="dxa"/>
            <w:vAlign w:val="center"/>
          </w:tcPr>
          <w:p w14:paraId="04BBD9D3">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合格</w:t>
            </w:r>
            <w:r>
              <w:rPr>
                <w:rFonts w:hint="eastAsia" w:ascii="宋体" w:hAnsi="宋体" w:eastAsia="宋体" w:cs="宋体"/>
                <w:b/>
                <w:color w:val="auto"/>
                <w:sz w:val="24"/>
                <w:szCs w:val="24"/>
                <w:highlight w:val="none"/>
                <w:lang w:eastAsia="zh-CN"/>
              </w:rPr>
              <w:t>投标人</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具备招标公告第二项规定的条件。</w:t>
            </w:r>
          </w:p>
        </w:tc>
      </w:tr>
      <w:tr w14:paraId="66AF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702" w:type="dxa"/>
            <w:vAlign w:val="center"/>
          </w:tcPr>
          <w:p w14:paraId="23610400">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053" w:type="dxa"/>
            <w:vAlign w:val="center"/>
          </w:tcPr>
          <w:p w14:paraId="00738E39">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投标报价及费用：</w:t>
            </w:r>
          </w:p>
          <w:p w14:paraId="3DF4A887">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本项目投标以人民币报价。</w:t>
            </w:r>
          </w:p>
          <w:p w14:paraId="05CCD3BF">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3.2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的报价均超过采购预算或最高限价，</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不能支付的，按废标处理。</w:t>
            </w:r>
          </w:p>
          <w:p w14:paraId="6F0EB6BF">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sz w:val="24"/>
                <w:szCs w:val="24"/>
                <w:highlight w:val="none"/>
              </w:rPr>
              <w:t>3.3 代理服务费：</w:t>
            </w:r>
            <w:r>
              <w:rPr>
                <w:rFonts w:hint="eastAsia" w:ascii="宋体" w:hAnsi="宋体" w:eastAsia="宋体" w:cs="宋体"/>
                <w:color w:val="auto"/>
                <w:sz w:val="24"/>
                <w:szCs w:val="24"/>
                <w:highlight w:val="none"/>
                <w:lang w:eastAsia="zh-CN"/>
              </w:rPr>
              <w:t>招标代理服务费按照</w:t>
            </w:r>
            <w:r>
              <w:rPr>
                <w:rFonts w:hint="eastAsia" w:ascii="宋体" w:hAnsi="宋体" w:eastAsia="宋体" w:cs="宋体"/>
                <w:color w:val="auto"/>
                <w:sz w:val="24"/>
                <w:szCs w:val="24"/>
                <w:highlight w:val="none"/>
                <w:lang w:val="en-US" w:eastAsia="zh-CN"/>
              </w:rPr>
              <w:t>招标人与招标代理公司签订的</w:t>
            </w:r>
            <w:r>
              <w:rPr>
                <w:rFonts w:hint="eastAsia" w:ascii="宋体" w:hAnsi="宋体" w:eastAsia="宋体" w:cs="宋体"/>
                <w:color w:val="auto"/>
                <w:sz w:val="24"/>
                <w:szCs w:val="24"/>
                <w:highlight w:val="none"/>
                <w:lang w:eastAsia="zh-CN"/>
              </w:rPr>
              <w:t>代理合同的规定，由中标人在领取中标通知书之前一次性支付</w:t>
            </w:r>
            <w:r>
              <w:rPr>
                <w:rFonts w:hint="eastAsia" w:ascii="宋体" w:hAnsi="宋体" w:eastAsia="宋体" w:cs="宋体"/>
                <w:color w:val="auto"/>
                <w:sz w:val="24"/>
                <w:szCs w:val="24"/>
                <w:highlight w:val="none"/>
              </w:rPr>
              <w:t>。</w:t>
            </w:r>
          </w:p>
        </w:tc>
      </w:tr>
      <w:tr w14:paraId="097A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02" w:type="dxa"/>
            <w:vAlign w:val="center"/>
          </w:tcPr>
          <w:p w14:paraId="15C4749D">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9053" w:type="dxa"/>
            <w:vAlign w:val="center"/>
          </w:tcPr>
          <w:p w14:paraId="512A9703">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现场踏勘或标前答疑：</w:t>
            </w:r>
            <w:r>
              <w:rPr>
                <w:rFonts w:hint="eastAsia" w:ascii="宋体" w:hAnsi="宋体" w:eastAsia="宋体" w:cs="宋体"/>
                <w:color w:val="auto"/>
                <w:sz w:val="24"/>
                <w:szCs w:val="24"/>
                <w:highlight w:val="none"/>
              </w:rPr>
              <w:t>本项目不组织现场踏勘或标前答疑会。</w:t>
            </w:r>
          </w:p>
        </w:tc>
      </w:tr>
      <w:tr w14:paraId="54FC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02" w:type="dxa"/>
            <w:vAlign w:val="center"/>
          </w:tcPr>
          <w:p w14:paraId="589C2153">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9053" w:type="dxa"/>
            <w:vAlign w:val="center"/>
          </w:tcPr>
          <w:p w14:paraId="1D283355">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投标文件组成：</w:t>
            </w:r>
            <w:r>
              <w:rPr>
                <w:rFonts w:hint="eastAsia" w:ascii="宋体" w:hAnsi="宋体" w:eastAsia="宋体" w:cs="宋体"/>
                <w:color w:val="auto"/>
                <w:sz w:val="24"/>
                <w:szCs w:val="24"/>
                <w:highlight w:val="none"/>
              </w:rPr>
              <w:t>加密版电子投标文件。</w:t>
            </w:r>
          </w:p>
        </w:tc>
      </w:tr>
      <w:tr w14:paraId="7048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02" w:type="dxa"/>
            <w:vAlign w:val="center"/>
          </w:tcPr>
          <w:p w14:paraId="063C83E0">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9053" w:type="dxa"/>
            <w:vAlign w:val="center"/>
          </w:tcPr>
          <w:p w14:paraId="773DA07D">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投标截止时间及地点：</w:t>
            </w:r>
            <w:r>
              <w:rPr>
                <w:rFonts w:hint="eastAsia" w:ascii="宋体" w:hAnsi="宋体" w:eastAsia="宋体" w:cs="宋体"/>
                <w:color w:val="auto"/>
                <w:sz w:val="24"/>
                <w:szCs w:val="24"/>
                <w:highlight w:val="none"/>
              </w:rPr>
              <w:t>详见招标公告。</w:t>
            </w:r>
          </w:p>
        </w:tc>
      </w:tr>
      <w:tr w14:paraId="316A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02" w:type="dxa"/>
            <w:vAlign w:val="center"/>
          </w:tcPr>
          <w:p w14:paraId="6F79DFA7">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9053" w:type="dxa"/>
            <w:vAlign w:val="center"/>
          </w:tcPr>
          <w:p w14:paraId="1798F201">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开标时间及地点：</w:t>
            </w:r>
            <w:r>
              <w:rPr>
                <w:rFonts w:hint="eastAsia" w:ascii="宋体" w:hAnsi="宋体" w:eastAsia="宋体" w:cs="宋体"/>
                <w:color w:val="auto"/>
                <w:sz w:val="24"/>
                <w:szCs w:val="24"/>
                <w:highlight w:val="none"/>
              </w:rPr>
              <w:t>详见招标公告。</w:t>
            </w:r>
          </w:p>
        </w:tc>
      </w:tr>
      <w:tr w14:paraId="4892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02" w:type="dxa"/>
            <w:vAlign w:val="center"/>
          </w:tcPr>
          <w:p w14:paraId="5FCAFD1F">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9053" w:type="dxa"/>
            <w:vAlign w:val="center"/>
          </w:tcPr>
          <w:p w14:paraId="7FB5728B">
            <w:pPr>
              <w:adjustRightInd w:val="0"/>
              <w:snapToGrid w:val="0"/>
              <w:spacing w:line="360" w:lineRule="auto"/>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评标办法:</w:t>
            </w:r>
            <w:r>
              <w:rPr>
                <w:rFonts w:hint="eastAsia" w:ascii="宋体" w:hAnsi="宋体" w:eastAsia="宋体" w:cs="宋体"/>
                <w:color w:val="auto"/>
                <w:sz w:val="24"/>
                <w:szCs w:val="24"/>
                <w:highlight w:val="none"/>
              </w:rPr>
              <w:t>本项目采用综合评分法。</w:t>
            </w:r>
          </w:p>
        </w:tc>
      </w:tr>
      <w:tr w14:paraId="5C14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02" w:type="dxa"/>
            <w:vAlign w:val="center"/>
          </w:tcPr>
          <w:p w14:paraId="7CC14096">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9053" w:type="dxa"/>
            <w:vAlign w:val="center"/>
          </w:tcPr>
          <w:p w14:paraId="70F92E04">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投标保证金交纳与退还：本项目不收取投标保证金。</w:t>
            </w:r>
          </w:p>
        </w:tc>
      </w:tr>
      <w:tr w14:paraId="580E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702" w:type="dxa"/>
            <w:vAlign w:val="center"/>
          </w:tcPr>
          <w:p w14:paraId="373A8A02">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9053" w:type="dxa"/>
            <w:vAlign w:val="center"/>
          </w:tcPr>
          <w:p w14:paraId="711DC9BA">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签订合同：</w:t>
            </w:r>
            <w:r>
              <w:rPr>
                <w:rFonts w:hint="eastAsia" w:ascii="宋体" w:hAnsi="宋体" w:eastAsia="宋体" w:cs="宋体"/>
                <w:color w:val="auto"/>
                <w:sz w:val="24"/>
                <w:szCs w:val="24"/>
                <w:highlight w:val="none"/>
              </w:rPr>
              <w:t>详见第二章招标需求第二项商务要求。</w:t>
            </w:r>
          </w:p>
        </w:tc>
      </w:tr>
      <w:tr w14:paraId="6EFE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2" w:type="dxa"/>
            <w:vAlign w:val="center"/>
          </w:tcPr>
          <w:p w14:paraId="6BB7946D">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9053" w:type="dxa"/>
            <w:vAlign w:val="center"/>
          </w:tcPr>
          <w:p w14:paraId="3B142EA6">
            <w:pPr>
              <w:autoSpaceDE w:val="0"/>
              <w:autoSpaceDN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履约保证金：</w:t>
            </w:r>
            <w:r>
              <w:rPr>
                <w:rFonts w:hint="eastAsia" w:ascii="宋体" w:hAnsi="宋体" w:eastAsia="宋体" w:cs="宋体"/>
                <w:color w:val="auto"/>
                <w:spacing w:val="-3"/>
                <w:sz w:val="24"/>
                <w:szCs w:val="24"/>
                <w:highlight w:val="none"/>
                <w:lang w:val="zh-CN" w:bidi="zh-CN"/>
              </w:rPr>
              <w:t>不要求</w:t>
            </w:r>
          </w:p>
        </w:tc>
      </w:tr>
      <w:tr w14:paraId="2B4A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2" w:type="dxa"/>
            <w:vAlign w:val="center"/>
          </w:tcPr>
          <w:p w14:paraId="408E70C7">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9053" w:type="dxa"/>
            <w:vAlign w:val="center"/>
          </w:tcPr>
          <w:p w14:paraId="02E5D3A2">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b/>
                <w:color w:val="auto"/>
                <w:sz w:val="24"/>
                <w:szCs w:val="24"/>
                <w:highlight w:val="none"/>
              </w:rPr>
              <w:t>采购资金来源：</w:t>
            </w:r>
            <w:r>
              <w:rPr>
                <w:rFonts w:hint="eastAsia" w:ascii="宋体" w:hAnsi="宋体" w:eastAsia="宋体" w:cs="宋体"/>
                <w:color w:val="auto"/>
                <w:spacing w:val="-3"/>
                <w:sz w:val="24"/>
                <w:szCs w:val="24"/>
                <w:highlight w:val="none"/>
                <w:lang w:val="en-US" w:bidi="zh-CN"/>
              </w:rPr>
              <w:t>项目资金</w:t>
            </w:r>
          </w:p>
        </w:tc>
      </w:tr>
      <w:tr w14:paraId="6C4C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02" w:type="dxa"/>
            <w:vAlign w:val="center"/>
          </w:tcPr>
          <w:p w14:paraId="41941116">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9053" w:type="dxa"/>
            <w:vAlign w:val="center"/>
          </w:tcPr>
          <w:p w14:paraId="5CBC417D">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付款方式：</w:t>
            </w:r>
            <w:r>
              <w:rPr>
                <w:rFonts w:hint="eastAsia" w:ascii="宋体" w:hAnsi="宋体" w:eastAsia="宋体" w:cs="宋体"/>
                <w:color w:val="auto"/>
                <w:sz w:val="24"/>
                <w:szCs w:val="24"/>
                <w:highlight w:val="none"/>
              </w:rPr>
              <w:t>详见第二章招标需求第二项商务要求。</w:t>
            </w:r>
          </w:p>
        </w:tc>
      </w:tr>
      <w:tr w14:paraId="64DE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2" w:type="dxa"/>
            <w:vAlign w:val="center"/>
          </w:tcPr>
          <w:p w14:paraId="2CDEB6C5">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p>
        </w:tc>
        <w:tc>
          <w:tcPr>
            <w:tcW w:w="9053" w:type="dxa"/>
            <w:vAlign w:val="center"/>
          </w:tcPr>
          <w:p w14:paraId="4A725708">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中标人可以以政府采购合同为担保向金融机构进行贷款融资。</w:t>
            </w:r>
          </w:p>
        </w:tc>
      </w:tr>
      <w:tr w14:paraId="3BF9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2" w:type="dxa"/>
            <w:vAlign w:val="center"/>
          </w:tcPr>
          <w:p w14:paraId="487009A6">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w:t>
            </w:r>
          </w:p>
        </w:tc>
        <w:tc>
          <w:tcPr>
            <w:tcW w:w="9053" w:type="dxa"/>
            <w:vAlign w:val="center"/>
          </w:tcPr>
          <w:p w14:paraId="0E8A0787">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投标有效期：60日历天（从投标截止之日算起）。</w:t>
            </w:r>
          </w:p>
        </w:tc>
      </w:tr>
      <w:tr w14:paraId="7D6D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2" w:type="dxa"/>
            <w:vAlign w:val="center"/>
          </w:tcPr>
          <w:p w14:paraId="0B2BB519">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w:t>
            </w:r>
          </w:p>
        </w:tc>
        <w:tc>
          <w:tcPr>
            <w:tcW w:w="9053" w:type="dxa"/>
            <w:vAlign w:val="center"/>
          </w:tcPr>
          <w:p w14:paraId="0C02A55B">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质疑和投诉：</w:t>
            </w:r>
            <w:r>
              <w:rPr>
                <w:rFonts w:hint="eastAsia" w:ascii="宋体" w:hAnsi="宋体" w:eastAsia="宋体" w:cs="宋体"/>
                <w:color w:val="auto"/>
                <w:sz w:val="24"/>
                <w:szCs w:val="24"/>
                <w:highlight w:val="none"/>
              </w:rPr>
              <w:t>详见第三章</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须知第10条。</w:t>
            </w:r>
          </w:p>
        </w:tc>
      </w:tr>
      <w:tr w14:paraId="0E7A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702" w:type="dxa"/>
            <w:vAlign w:val="center"/>
          </w:tcPr>
          <w:p w14:paraId="773D7FEE">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w:t>
            </w:r>
          </w:p>
        </w:tc>
        <w:tc>
          <w:tcPr>
            <w:tcW w:w="9053" w:type="dxa"/>
            <w:vAlign w:val="center"/>
          </w:tcPr>
          <w:p w14:paraId="2366EE1C">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本项目使用远程异地不见面交易模式。</w:t>
            </w:r>
            <w:r>
              <w:rPr>
                <w:rFonts w:hint="eastAsia" w:ascii="宋体" w:hAnsi="宋体" w:eastAsia="宋体" w:cs="宋体"/>
                <w:b/>
                <w:color w:val="auto"/>
                <w:sz w:val="24"/>
                <w:szCs w:val="24"/>
                <w:highlight w:val="none"/>
                <w:lang w:eastAsia="zh-CN"/>
              </w:rPr>
              <w:t>投标人</w:t>
            </w:r>
            <w:r>
              <w:rPr>
                <w:rFonts w:hint="eastAsia" w:ascii="宋体" w:hAnsi="宋体" w:eastAsia="宋体" w:cs="宋体"/>
                <w:b/>
                <w:color w:val="auto"/>
                <w:sz w:val="24"/>
                <w:szCs w:val="24"/>
                <w:highlight w:val="none"/>
              </w:rPr>
              <w:t>应于投标截止时间前将加密电子投标文件(.zmdtf格式)在驻马店市公共资源交易中心电子交易平台加密上传，逾期上传投标将被拒绝。</w:t>
            </w:r>
          </w:p>
        </w:tc>
      </w:tr>
      <w:tr w14:paraId="6DB0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2" w:type="dxa"/>
            <w:vAlign w:val="center"/>
          </w:tcPr>
          <w:p w14:paraId="519BFCFE">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w:t>
            </w:r>
          </w:p>
        </w:tc>
        <w:tc>
          <w:tcPr>
            <w:tcW w:w="9053" w:type="dxa"/>
            <w:vAlign w:val="center"/>
          </w:tcPr>
          <w:p w14:paraId="0A8B8F57">
            <w:pPr>
              <w:spacing w:line="360" w:lineRule="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评标：</w:t>
            </w:r>
          </w:p>
          <w:p w14:paraId="1C570B7C">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fldChar w:fldCharType="begin"/>
            </w:r>
            <w:r>
              <w:rPr>
                <w:rFonts w:hint="eastAsia" w:ascii="宋体" w:hAnsi="宋体" w:eastAsia="宋体" w:cs="宋体"/>
                <w:color w:val="auto"/>
                <w:kern w:val="0"/>
                <w:sz w:val="24"/>
                <w:szCs w:val="24"/>
                <w:highlight w:val="none"/>
              </w:rPr>
              <w:instrText xml:space="preserve"> eq \o\ac(□</w:instrText>
            </w:r>
            <w:r>
              <w:rPr>
                <w:rFonts w:hint="eastAsia" w:ascii="宋体" w:hAnsi="宋体" w:eastAsia="宋体" w:cs="宋体"/>
                <w:color w:val="auto"/>
                <w:kern w:val="0"/>
                <w:sz w:val="24"/>
                <w:szCs w:val="24"/>
                <w:highlight w:val="none"/>
                <w:lang w:eastAsia="zh-CN"/>
              </w:rPr>
              <w:instrText xml:space="preserve">,</w:instrText>
            </w:r>
            <w:r>
              <w:rPr>
                <w:rFonts w:hint="eastAsia" w:ascii="宋体" w:hAnsi="宋体" w:eastAsia="宋体" w:cs="宋体"/>
                <w:color w:val="auto"/>
                <w:kern w:val="0"/>
                <w:position w:val="2"/>
                <w:sz w:val="16"/>
                <w:szCs w:val="24"/>
                <w:highlight w:val="none"/>
                <w:lang w:eastAsia="zh-CN"/>
              </w:rPr>
              <w:instrText xml:space="preserve">√</w:instrText>
            </w:r>
            <w:r>
              <w:rPr>
                <w:rFonts w:hint="eastAsia" w:ascii="宋体" w:hAnsi="宋体" w:eastAsia="宋体" w:cs="宋体"/>
                <w:color w:val="auto"/>
                <w:kern w:val="0"/>
                <w:sz w:val="24"/>
                <w:szCs w:val="24"/>
                <w:highlight w:val="none"/>
              </w:rPr>
              <w:instrText xml:space="preserve">)</w:instrTex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网络电子评标（电子评标过程中当出现突发情况，导致系统无法正常运行且短时间内无法修复时，经监督部门同意，延迟评标。）</w:t>
            </w:r>
          </w:p>
          <w:p w14:paraId="7C0B8203">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rPr>
              <w:sym w:font="Wingdings" w:char="00A8"/>
            </w:r>
            <w:r>
              <w:rPr>
                <w:rFonts w:hint="eastAsia" w:ascii="宋体" w:hAnsi="宋体" w:eastAsia="宋体" w:cs="宋体"/>
                <w:color w:val="auto"/>
                <w:kern w:val="0"/>
                <w:sz w:val="24"/>
                <w:szCs w:val="24"/>
                <w:highlight w:val="none"/>
              </w:rPr>
              <w:t>远程网络电子评标</w:t>
            </w:r>
          </w:p>
        </w:tc>
      </w:tr>
      <w:tr w14:paraId="1542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2" w:type="dxa"/>
            <w:vAlign w:val="center"/>
          </w:tcPr>
          <w:p w14:paraId="7CDC279C">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19</w:t>
            </w:r>
          </w:p>
        </w:tc>
        <w:tc>
          <w:tcPr>
            <w:tcW w:w="9053" w:type="dxa"/>
            <w:vAlign w:val="center"/>
          </w:tcPr>
          <w:p w14:paraId="6F155029">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投标人</w:t>
            </w:r>
            <w:r>
              <w:rPr>
                <w:rFonts w:hint="eastAsia" w:ascii="宋体" w:hAnsi="宋体" w:eastAsia="宋体" w:cs="宋体"/>
                <w:b/>
                <w:color w:val="auto"/>
                <w:sz w:val="24"/>
                <w:szCs w:val="24"/>
                <w:highlight w:val="none"/>
              </w:rPr>
              <w:t>注册:</w:t>
            </w:r>
          </w:p>
          <w:p w14:paraId="455E815D">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首先通过“驻马店市公共资源交易中心（http://ggzy.zhumadian.gov.cn）”网站“</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登陆版块”进行交易主体免费注册，然后按网站下载中心（其他）“诚信库申报操作手册”指导填报企业信息和上传有关资料原件的扫描件，完善诚信库信息，自行核验通过后，按网站下载中心（其他）“办理HNXACA单位个人数字证书所需材料下载”准备齐资料，最后到驻马店市公共资源交易中心（驻马店市文明路1196号公共资源交易中心1F大厅）办理 CA 密钥，完成注册。</w:t>
            </w:r>
          </w:p>
        </w:tc>
      </w:tr>
      <w:tr w14:paraId="7A55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2" w:type="dxa"/>
            <w:vAlign w:val="center"/>
          </w:tcPr>
          <w:p w14:paraId="1BC244D9">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9053" w:type="dxa"/>
            <w:vAlign w:val="center"/>
          </w:tcPr>
          <w:p w14:paraId="4423012E">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招标文件下载: </w:t>
            </w:r>
          </w:p>
          <w:p w14:paraId="12408705">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凡有意参加投标者，登录“驻马店市公共资源交易中心（http://ggzy.zhumadian.gov.cn）”网站，凭领取的企业身份认证锁（CA密钥）登录系统进行网上免费下载招标文件。</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未按规定在网上下载招标文件的，其投标将被拒绝。</w:t>
            </w:r>
          </w:p>
        </w:tc>
      </w:tr>
      <w:tr w14:paraId="5AFE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2" w:type="dxa"/>
            <w:vAlign w:val="center"/>
          </w:tcPr>
          <w:p w14:paraId="4DA65CDE">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w:t>
            </w:r>
          </w:p>
        </w:tc>
        <w:tc>
          <w:tcPr>
            <w:tcW w:w="9053" w:type="dxa"/>
            <w:vAlign w:val="center"/>
          </w:tcPr>
          <w:p w14:paraId="07CB877B">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投标文件制作: </w:t>
            </w:r>
          </w:p>
          <w:p w14:paraId="199E4DC0">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通过“驻马店市公共资源交易中心（（http://ggzy.zhumadian.gov.cn）”网站下载中心（政府采购类）：下载“新点投标文件制作软件（驻马店）”。</w:t>
            </w:r>
          </w:p>
          <w:p w14:paraId="3C5ABD9A">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凭 CA 密钥登陆交易系统下载招标文件(.zmdzf 格 式)。</w:t>
            </w:r>
          </w:p>
          <w:p w14:paraId="3A81DF01">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须在投标截止时间前制作并提交。加密的电子投标文件（.zmdtf 格式）, 应在投标截止时间前通过“驻马店市公共资源交易中心（http://ggzy.zhumadian.gov.cn）”电子交易平台内上传。</w:t>
            </w:r>
          </w:p>
          <w:p w14:paraId="6F43A4D1">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4、加密的电子投标文件为“驻马店市公共资源交易中心（http://ggzy.zhumadian.gov.cn）”网站提供的“新点投标文件制作软件（驻马店）”制作生成的加密版投标文件。</w:t>
            </w:r>
          </w:p>
          <w:p w14:paraId="2AD7055E">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在编制电子投标文件时，生成后的电子投标文件须按招标文件的格式要求完成电子签字或盖章，无法直接完成电子签字或盖章的投标文件格式内容，</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须将盖章签字后的扫描图片替换到相应格式中。</w:t>
            </w:r>
          </w:p>
          <w:p w14:paraId="0136A9FB">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6、招标文件格式所要求包含的全部资料应全部制作在投标文件内，严格按照本项目招标文件所有格式如实填写（不涉及的内容除外），不应存在漏项或缺项，否则将存在投标文件被拒绝的风险。</w:t>
            </w:r>
          </w:p>
          <w:p w14:paraId="37230DDD">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7、投标文件以外的任何资料</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将拒收。</w:t>
            </w:r>
          </w:p>
          <w:p w14:paraId="4DA623FE">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编辑电子投标文件时，根据招标文件要求用法人 CA 密钥和企业CA 密钥进行签章制作；最后一步生成电子投标文件（.zmdtf 格式和.nzmdtf 格式）时，只能用本单位的企业 CA 密钥。</w:t>
            </w:r>
          </w:p>
          <w:p w14:paraId="71009AEB">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9、电子投标文件制作流程，可参考驻马店市公共资源交易中心官方网站的下载中心板块的视频（http://ggzy.zhumadian.gov.cn/TPFront/InfoDetail/?InfoID=844e0ea7-2b6c-425d-99f6-91bd5b500e5e&amp;CategoryNum=026002）</w:t>
            </w:r>
          </w:p>
        </w:tc>
      </w:tr>
      <w:tr w14:paraId="48DB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2" w:type="dxa"/>
            <w:vAlign w:val="center"/>
          </w:tcPr>
          <w:p w14:paraId="7A378456">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w:t>
            </w:r>
          </w:p>
        </w:tc>
        <w:tc>
          <w:tcPr>
            <w:tcW w:w="9053" w:type="dxa"/>
            <w:vAlign w:val="center"/>
          </w:tcPr>
          <w:p w14:paraId="06F93813">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投标文件上传:</w:t>
            </w:r>
            <w:r>
              <w:rPr>
                <w:rFonts w:hint="eastAsia" w:ascii="宋体" w:hAnsi="宋体" w:eastAsia="宋体" w:cs="宋体"/>
                <w:color w:val="auto"/>
                <w:sz w:val="24"/>
                <w:szCs w:val="24"/>
                <w:highlight w:val="none"/>
              </w:rPr>
              <w:t>详见第三章</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须知第22条</w:t>
            </w:r>
          </w:p>
        </w:tc>
      </w:tr>
      <w:tr w14:paraId="7F40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1" w:hRule="atLeast"/>
        </w:trPr>
        <w:tc>
          <w:tcPr>
            <w:tcW w:w="702" w:type="dxa"/>
            <w:vAlign w:val="center"/>
          </w:tcPr>
          <w:p w14:paraId="1BBC797B">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w:t>
            </w:r>
          </w:p>
        </w:tc>
        <w:tc>
          <w:tcPr>
            <w:tcW w:w="9053" w:type="dxa"/>
            <w:vAlign w:val="center"/>
          </w:tcPr>
          <w:p w14:paraId="10FD76AB">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招标文件的澄清与变更: </w:t>
            </w:r>
          </w:p>
          <w:p w14:paraId="728DEE25">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对已发出的招标文件进行的澄清、更正或更改，澄清、更正或更改的内容将作为招标文件的组成部分。</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将通过网站“变更公告”和“答疑文件”告知</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须下载招标文件和最新的答疑文件，以此编制投标文件。</w:t>
            </w:r>
            <w:r>
              <w:rPr>
                <w:rFonts w:hint="eastAsia" w:ascii="宋体" w:hAnsi="宋体" w:eastAsia="宋体" w:cs="宋体"/>
                <w:color w:val="auto"/>
                <w:kern w:val="0"/>
                <w:sz w:val="24"/>
                <w:highlight w:val="none"/>
              </w:rPr>
              <w:t>因投标人未及时查看而造成的后果自负，对此，投标人在制作投标文件时须明确作出声明，否则视为不响应。</w:t>
            </w:r>
          </w:p>
          <w:p w14:paraId="08DF4960">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2、因</w:t>
            </w:r>
            <w:r>
              <w:rPr>
                <w:rFonts w:hint="eastAsia" w:ascii="宋体" w:hAnsi="宋体" w:eastAsia="宋体" w:cs="宋体"/>
                <w:bCs/>
                <w:color w:val="auto"/>
                <w:kern w:val="0"/>
                <w:sz w:val="24"/>
                <w:szCs w:val="24"/>
                <w:highlight w:val="none"/>
              </w:rPr>
              <w:t>驻马店市公共资源交易中心电子交易平台</w:t>
            </w:r>
            <w:r>
              <w:rPr>
                <w:rFonts w:hint="eastAsia" w:ascii="宋体" w:hAnsi="宋体" w:eastAsia="宋体" w:cs="宋体"/>
                <w:color w:val="auto"/>
                <w:sz w:val="24"/>
                <w:szCs w:val="24"/>
                <w:highlight w:val="none"/>
              </w:rPr>
              <w:t>在开标前具有保密性，</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在投标截止时间前须自行查看项目进展、变更通知、澄清及回复，因</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未及时查看而造成的后果自负。</w:t>
            </w:r>
          </w:p>
        </w:tc>
      </w:tr>
      <w:tr w14:paraId="0A36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2" w:type="dxa"/>
            <w:vAlign w:val="center"/>
          </w:tcPr>
          <w:p w14:paraId="0DEA0AEC">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w:t>
            </w:r>
          </w:p>
        </w:tc>
        <w:tc>
          <w:tcPr>
            <w:tcW w:w="9053" w:type="dxa"/>
            <w:vAlign w:val="center"/>
          </w:tcPr>
          <w:p w14:paraId="43531921">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w:t>
            </w:r>
          </w:p>
          <w:p w14:paraId="2AD66AFD">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1、开标当日，</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无需到达开标现场，仅需在任意地点使用企业CA 密钥登入驻马店市公共资源交易中心电子交易平台不见面开标大厅（http://ggzy.zhumadian.gov.cn:9190/BidOpening/bidopeninghallaction/hall/login）及相应的配套硬件设备（摄像头、话筒、麦克风等）参加开标会议。</w:t>
            </w:r>
          </w:p>
          <w:p w14:paraId="0CF2BE45">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2、开标时，</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必须使用能正确解密投标文件的CA 密钥在规定的时间内完成远程解密，因</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原因未能解密、解密失败或解密超时，视为</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撤销其投标文件，系统内投标文件将被退回；因招标人原因或网上招投标平台发生故障，导致</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无法按时完成投标文件解密或开、评标工作无法进行的，可根据实际情况报请批准后相应延迟解密时间或调整开、评标时间（友情提示：若</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已领取副锁（含多把副锁）请注意正副锁的使用差别）。</w:t>
            </w:r>
          </w:p>
          <w:p w14:paraId="6BDE9EBF">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3、远程开标前，</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务必在驻马店市公共资源交易中心电子交易平台（http://ggzy.zhumadian.gov.cn:8820/TPBidder）投标文件上传模块中使用“模拟解密”功能，验证本机远程自助解密环境。</w:t>
            </w:r>
          </w:p>
          <w:p w14:paraId="44985684">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4、特别提醒：</w:t>
            </w:r>
          </w:p>
          <w:p w14:paraId="43D0C83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因驻马店市公共资源交易中心电子交易平台不见面交易系统具备视频直播、语音通话等，对网络带宽及硬件要求相对较高的功能，故</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在参与使用不见面交易系统开标的项目时，需确认是否满足如下要求：</w:t>
            </w:r>
          </w:p>
          <w:p w14:paraId="582EB0B8">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（1）网络要求：网络带宽4M以上。</w:t>
            </w:r>
          </w:p>
          <w:p w14:paraId="30F36F8B">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（2）硬件要求：电脑要求内存4G及以上，且需配套网络摄像头、麦克风、音箱等，并确保其均能正常运转。操作系统要求Windows7及以上，IE浏览器IE11及以上。</w:t>
            </w:r>
          </w:p>
          <w:p w14:paraId="50DD9D99">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（3）人员要求：对于参与</w:t>
            </w:r>
            <w:r>
              <w:rPr>
                <w:rFonts w:hint="eastAsia" w:ascii="宋体" w:hAnsi="宋体" w:eastAsia="宋体" w:cs="宋体"/>
                <w:bCs/>
                <w:color w:val="auto"/>
                <w:kern w:val="0"/>
                <w:sz w:val="24"/>
                <w:szCs w:val="24"/>
                <w:highlight w:val="none"/>
              </w:rPr>
              <w:t>驻马店市公共资源交易中心电子交易平台不见面交易系统</w:t>
            </w:r>
            <w:r>
              <w:rPr>
                <w:rFonts w:hint="eastAsia" w:ascii="宋体" w:hAnsi="宋体" w:eastAsia="宋体" w:cs="宋体"/>
                <w:color w:val="auto"/>
                <w:sz w:val="24"/>
                <w:szCs w:val="24"/>
                <w:highlight w:val="none"/>
              </w:rPr>
              <w:t>开标的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，要求能熟练掌握电脑基础操作。不见面开标操作手册下载地址：</w:t>
            </w:r>
          </w:p>
          <w:p w14:paraId="7398BC56">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（http://ggzy.zhumadian.gov.cn/TPFront/InfoDetail/?InfoID=6e085538-6be5-4d25-80b2-12f5fc669ba1&amp;CategoryNum=026005）</w:t>
            </w:r>
          </w:p>
        </w:tc>
      </w:tr>
      <w:tr w14:paraId="4130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02" w:type="dxa"/>
            <w:vAlign w:val="center"/>
          </w:tcPr>
          <w:p w14:paraId="0E026AB9">
            <w:pPr>
              <w:widowControl/>
              <w:adjustRightInd w:val="0"/>
              <w:snapToGrid w:val="0"/>
              <w:spacing w:line="360" w:lineRule="auto"/>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w:t>
            </w:r>
          </w:p>
        </w:tc>
        <w:tc>
          <w:tcPr>
            <w:tcW w:w="9053" w:type="dxa"/>
            <w:vAlign w:val="center"/>
          </w:tcPr>
          <w:p w14:paraId="18799DA5">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解释：</w:t>
            </w:r>
            <w:r>
              <w:rPr>
                <w:rFonts w:hint="eastAsia" w:ascii="宋体" w:hAnsi="宋体" w:eastAsia="宋体" w:cs="宋体"/>
                <w:color w:val="auto"/>
                <w:sz w:val="24"/>
                <w:szCs w:val="24"/>
                <w:highlight w:val="none"/>
              </w:rPr>
              <w:t>构成本招标文件的各个组成文件应互为解释，互为说明；如有不明确或不一致，构成合同文件组成内容的，以合同文件约定内容为准；除招标文件中有特殊规定外，仅适用于招标投标阶段的规定，按招标公告、</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须知、评标办法、投标文件格式的先后顺序解释；同一组成文件中就同一事项的规定或约定不一致的，以编排顺序在后者为准；当招标文件与招标文件的澄清、修改或补充通知就同一内容的表述不一致时，以最后发出的书面文件为准。合同文件约定或后者明显错误的除外。</w:t>
            </w:r>
          </w:p>
          <w:p w14:paraId="3DE17882">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按本款前述规定仍不能形成结论的，由</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）负责解释。</w:t>
            </w:r>
          </w:p>
        </w:tc>
      </w:tr>
    </w:tbl>
    <w:p w14:paraId="78F259C5">
      <w:pPr>
        <w:rPr>
          <w:rFonts w:hint="eastAsia" w:ascii="宋体" w:hAnsi="宋体" w:eastAsia="宋体" w:cs="宋体"/>
          <w:color w:val="auto"/>
          <w:highlight w:val="none"/>
        </w:rPr>
      </w:pPr>
      <w:r>
        <w:rPr>
          <w:rFonts w:hint="eastAsia" w:ascii="宋体" w:hAnsi="宋体" w:eastAsia="宋体" w:cs="宋体"/>
          <w:b/>
          <w:color w:val="auto"/>
          <w:kern w:val="0"/>
          <w:sz w:val="28"/>
          <w:szCs w:val="28"/>
          <w:highlight w:val="none"/>
        </w:rPr>
        <w:t xml:space="preserve"> </w:t>
      </w:r>
    </w:p>
    <w:p w14:paraId="528F941C">
      <w:pPr>
        <w:rPr>
          <w:rFonts w:hint="eastAsia" w:ascii="宋体" w:hAnsi="宋体" w:eastAsia="宋体" w:cs="宋体"/>
          <w:color w:val="auto"/>
          <w:highlight w:val="none"/>
        </w:rPr>
      </w:pPr>
    </w:p>
    <w:p w14:paraId="3831279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  说    明</w:t>
      </w:r>
    </w:p>
    <w:p w14:paraId="721C156C">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1.适用范围</w:t>
      </w:r>
    </w:p>
    <w:p w14:paraId="1B0EAC0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本招标文件仅适用于招标公告中所叙述项目的货物采购。</w:t>
      </w:r>
    </w:p>
    <w:p w14:paraId="498CB007">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2.定义</w:t>
      </w:r>
    </w:p>
    <w:p w14:paraId="2DCF026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”系指</w:t>
      </w:r>
      <w:r>
        <w:rPr>
          <w:rFonts w:hint="eastAsia" w:ascii="宋体" w:hAnsi="宋体" w:eastAsia="宋体" w:cs="宋体"/>
          <w:color w:val="auto"/>
          <w:sz w:val="24"/>
          <w:szCs w:val="24"/>
          <w:highlight w:val="none"/>
          <w:lang w:eastAsia="zh-CN"/>
        </w:rPr>
        <w:t xml:space="preserve">确山县卫生健康体育委员会 </w:t>
      </w:r>
      <w:r>
        <w:rPr>
          <w:rFonts w:hint="eastAsia" w:ascii="宋体" w:hAnsi="宋体" w:eastAsia="宋体" w:cs="宋体"/>
          <w:color w:val="auto"/>
          <w:sz w:val="24"/>
          <w:szCs w:val="24"/>
          <w:highlight w:val="none"/>
        </w:rPr>
        <w:t>。</w:t>
      </w:r>
    </w:p>
    <w:p w14:paraId="524B6F0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”系指</w:t>
      </w:r>
      <w:r>
        <w:rPr>
          <w:rFonts w:hint="eastAsia" w:ascii="宋体" w:hAnsi="宋体" w:eastAsia="宋体" w:cs="宋体"/>
          <w:color w:val="auto"/>
          <w:sz w:val="24"/>
          <w:szCs w:val="24"/>
          <w:highlight w:val="none"/>
          <w:lang w:eastAsia="zh-CN"/>
        </w:rPr>
        <w:t>中誉恒信工程管理有限公司</w:t>
      </w:r>
      <w:r>
        <w:rPr>
          <w:rFonts w:hint="eastAsia" w:ascii="宋体" w:hAnsi="宋体" w:eastAsia="宋体" w:cs="宋体"/>
          <w:color w:val="auto"/>
          <w:sz w:val="24"/>
          <w:szCs w:val="24"/>
          <w:highlight w:val="none"/>
        </w:rPr>
        <w:t>。</w:t>
      </w:r>
    </w:p>
    <w:p w14:paraId="43ACF6C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”系指下载了本招标文件，且已经提交本次投标文件的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w:t>
      </w:r>
    </w:p>
    <w:p w14:paraId="409541F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代表”系指代表</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参加本次招标活动的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的法定代表人或其委托代理人。</w:t>
      </w:r>
    </w:p>
    <w:p w14:paraId="243A325D">
      <w:pPr>
        <w:adjustRightInd w:val="0"/>
        <w:snapToGrid w:val="0"/>
        <w:spacing w:line="360" w:lineRule="auto"/>
        <w:ind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2.5 “货物”系指</w:t>
      </w:r>
      <w:r>
        <w:rPr>
          <w:rFonts w:hint="eastAsia" w:ascii="宋体" w:hAnsi="宋体" w:eastAsia="宋体" w:cs="宋体"/>
          <w:snapToGrid w:val="0"/>
          <w:color w:val="auto"/>
          <w:sz w:val="24"/>
          <w:szCs w:val="24"/>
          <w:highlight w:val="none"/>
          <w:lang w:eastAsia="zh-CN"/>
        </w:rPr>
        <w:t>投标人</w:t>
      </w:r>
      <w:r>
        <w:rPr>
          <w:rFonts w:hint="eastAsia" w:ascii="宋体" w:hAnsi="宋体" w:eastAsia="宋体" w:cs="宋体"/>
          <w:snapToGrid w:val="0"/>
          <w:color w:val="auto"/>
          <w:sz w:val="24"/>
          <w:szCs w:val="24"/>
          <w:highlight w:val="none"/>
        </w:rPr>
        <w:t>按招标文件规定向</w:t>
      </w:r>
      <w:r>
        <w:rPr>
          <w:rFonts w:hint="eastAsia" w:ascii="宋体" w:hAnsi="宋体" w:eastAsia="宋体" w:cs="宋体"/>
          <w:snapToGrid w:val="0"/>
          <w:color w:val="auto"/>
          <w:sz w:val="24"/>
          <w:szCs w:val="24"/>
          <w:highlight w:val="none"/>
          <w:lang w:eastAsia="zh-CN"/>
        </w:rPr>
        <w:t>招标人</w:t>
      </w:r>
      <w:r>
        <w:rPr>
          <w:rFonts w:hint="eastAsia" w:ascii="宋体" w:hAnsi="宋体" w:eastAsia="宋体" w:cs="宋体"/>
          <w:snapToGrid w:val="0"/>
          <w:color w:val="auto"/>
          <w:sz w:val="24"/>
          <w:szCs w:val="24"/>
          <w:highlight w:val="none"/>
        </w:rPr>
        <w:t>提供的一切设备、机械、仪器仪表、备品备件、工具、手册及其它有关技术资料和材料。</w:t>
      </w:r>
    </w:p>
    <w:p w14:paraId="2D75B480">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3.采购预算（最高投标限价）</w:t>
      </w:r>
    </w:p>
    <w:p w14:paraId="02D0E21A">
      <w:pPr>
        <w:pStyle w:val="5"/>
        <w:ind w:left="0" w:leftChars="0"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最高限价为</w:t>
      </w:r>
      <w:r>
        <w:rPr>
          <w:rFonts w:hint="eastAsia" w:ascii="宋体" w:hAnsi="宋体" w:eastAsia="宋体" w:cs="宋体"/>
          <w:color w:val="auto"/>
          <w:sz w:val="24"/>
          <w:szCs w:val="24"/>
          <w:highlight w:val="none"/>
          <w:lang w:val="en-US" w:eastAsia="zh-CN"/>
        </w:rPr>
        <w:t>1260000.00</w:t>
      </w:r>
      <w:r>
        <w:rPr>
          <w:rFonts w:hint="eastAsia" w:ascii="宋体" w:hAnsi="宋体" w:eastAsia="宋体" w:cs="宋体"/>
          <w:color w:val="auto"/>
          <w:sz w:val="24"/>
          <w:szCs w:val="24"/>
          <w:highlight w:val="none"/>
        </w:rPr>
        <w:t>元。</w:t>
      </w:r>
    </w:p>
    <w:p w14:paraId="7E2FE5F0">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w:t>
      </w:r>
      <w:r>
        <w:rPr>
          <w:rFonts w:hint="eastAsia" w:ascii="宋体" w:hAnsi="宋体" w:eastAsia="宋体" w:cs="宋体"/>
          <w:b/>
          <w:color w:val="auto"/>
          <w:sz w:val="24"/>
          <w:szCs w:val="24"/>
          <w:highlight w:val="none"/>
          <w:lang w:eastAsia="zh-CN"/>
        </w:rPr>
        <w:t>投标人</w:t>
      </w:r>
      <w:r>
        <w:rPr>
          <w:rFonts w:hint="eastAsia" w:ascii="宋体" w:hAnsi="宋体" w:eastAsia="宋体" w:cs="宋体"/>
          <w:b/>
          <w:color w:val="auto"/>
          <w:sz w:val="24"/>
          <w:szCs w:val="24"/>
          <w:highlight w:val="none"/>
        </w:rPr>
        <w:t>应提交的证明文件</w:t>
      </w:r>
    </w:p>
    <w:p w14:paraId="7F302D88">
      <w:pPr>
        <w:widowControl/>
        <w:adjustRightInd w:val="0"/>
        <w:snapToGrid w:val="0"/>
        <w:spacing w:line="360" w:lineRule="auto"/>
        <w:ind w:firstLine="480" w:firstLineChars="200"/>
        <w:jc w:val="left"/>
        <w:rPr>
          <w:rFonts w:hint="eastAsia" w:ascii="宋体" w:hAnsi="宋体" w:eastAsia="宋体" w:cs="宋体"/>
          <w:snapToGrid w:val="0"/>
          <w:color w:val="auto"/>
          <w:sz w:val="24"/>
          <w:szCs w:val="24"/>
          <w:highlight w:val="none"/>
          <w:lang w:bidi="ar"/>
        </w:rPr>
      </w:pPr>
      <w:r>
        <w:rPr>
          <w:rFonts w:hint="eastAsia" w:ascii="宋体" w:hAnsi="宋体" w:eastAsia="宋体" w:cs="宋体"/>
          <w:snapToGrid w:val="0"/>
          <w:color w:val="auto"/>
          <w:sz w:val="24"/>
          <w:szCs w:val="24"/>
          <w:highlight w:val="none"/>
          <w:lang w:bidi="ar"/>
        </w:rPr>
        <w:t>4.</w:t>
      </w:r>
      <w:r>
        <w:rPr>
          <w:rFonts w:hint="eastAsia" w:ascii="宋体" w:hAnsi="宋体" w:eastAsia="宋体" w:cs="宋体"/>
          <w:snapToGrid w:val="0"/>
          <w:color w:val="auto"/>
          <w:sz w:val="24"/>
          <w:szCs w:val="24"/>
          <w:highlight w:val="none"/>
          <w:lang w:val="en-US" w:eastAsia="zh-CN" w:bidi="ar"/>
        </w:rPr>
        <w:t>1</w:t>
      </w:r>
      <w:r>
        <w:rPr>
          <w:rFonts w:hint="eastAsia" w:ascii="宋体" w:hAnsi="宋体" w:eastAsia="宋体" w:cs="宋体"/>
          <w:snapToGrid w:val="0"/>
          <w:color w:val="auto"/>
          <w:sz w:val="24"/>
          <w:szCs w:val="24"/>
          <w:highlight w:val="none"/>
          <w:lang w:bidi="ar"/>
        </w:rPr>
        <w:t xml:space="preserve"> </w:t>
      </w:r>
      <w:r>
        <w:rPr>
          <w:rFonts w:hint="eastAsia" w:ascii="宋体" w:hAnsi="宋体" w:eastAsia="宋体" w:cs="宋体"/>
          <w:b w:val="0"/>
          <w:bCs w:val="0"/>
          <w:color w:val="auto"/>
          <w:kern w:val="0"/>
          <w:sz w:val="24"/>
          <w:szCs w:val="24"/>
          <w:highlight w:val="none"/>
        </w:rPr>
        <w:t>投标人具有独立企业法人资格，并具有有效的营业执照</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snapToGrid w:val="0"/>
          <w:color w:val="auto"/>
          <w:sz w:val="24"/>
          <w:szCs w:val="24"/>
          <w:highlight w:val="none"/>
          <w:lang w:bidi="ar"/>
        </w:rPr>
        <w:t>（有效的副本原件的扫描件）</w:t>
      </w:r>
    </w:p>
    <w:p w14:paraId="289D956E">
      <w:pPr>
        <w:adjustRightInd w:val="0"/>
        <w:snapToGrid w:val="0"/>
        <w:spacing w:line="360" w:lineRule="auto"/>
        <w:ind w:firstLine="480" w:firstLineChars="200"/>
        <w:rPr>
          <w:rFonts w:hint="eastAsia" w:ascii="宋体" w:hAnsi="宋体" w:eastAsia="宋体" w:cs="宋体"/>
          <w:snapToGrid w:val="0"/>
          <w:color w:val="auto"/>
          <w:sz w:val="24"/>
          <w:szCs w:val="24"/>
          <w:highlight w:val="none"/>
          <w:lang w:bidi="ar"/>
        </w:rPr>
      </w:pPr>
      <w:r>
        <w:rPr>
          <w:rFonts w:hint="eastAsia" w:ascii="宋体" w:hAnsi="宋体" w:eastAsia="宋体" w:cs="宋体"/>
          <w:snapToGrid w:val="0"/>
          <w:color w:val="auto"/>
          <w:sz w:val="24"/>
          <w:szCs w:val="24"/>
          <w:highlight w:val="none"/>
          <w:lang w:bidi="ar"/>
        </w:rPr>
        <w:t>4.</w:t>
      </w:r>
      <w:r>
        <w:rPr>
          <w:rFonts w:hint="eastAsia" w:ascii="宋体" w:hAnsi="宋体" w:eastAsia="宋体" w:cs="宋体"/>
          <w:snapToGrid w:val="0"/>
          <w:color w:val="auto"/>
          <w:sz w:val="24"/>
          <w:szCs w:val="24"/>
          <w:highlight w:val="none"/>
          <w:lang w:val="en-US" w:eastAsia="zh-CN" w:bidi="ar"/>
        </w:rPr>
        <w:t>2</w:t>
      </w:r>
      <w:r>
        <w:rPr>
          <w:rFonts w:hint="eastAsia" w:ascii="宋体" w:hAnsi="宋体" w:eastAsia="宋体" w:cs="宋体"/>
          <w:snapToGrid w:val="0"/>
          <w:color w:val="auto"/>
          <w:sz w:val="24"/>
          <w:szCs w:val="24"/>
          <w:highlight w:val="none"/>
          <w:lang w:bidi="ar"/>
        </w:rPr>
        <w:t>法定代表人本人参加投标的，提供身份证原件的扫描件；法定代表人委托代理人参加投标的，提供法人授权委托书原件和委托代理人的身份证原件的扫描件；</w:t>
      </w:r>
    </w:p>
    <w:p w14:paraId="0C21EB9E">
      <w:pPr>
        <w:widowControl/>
        <w:adjustRightInd w:val="0"/>
        <w:snapToGrid w:val="0"/>
        <w:spacing w:line="360" w:lineRule="auto"/>
        <w:ind w:firstLine="480" w:firstLineChars="200"/>
        <w:jc w:val="left"/>
        <w:rPr>
          <w:rFonts w:hint="eastAsia" w:ascii="宋体" w:hAnsi="宋体" w:eastAsia="宋体" w:cs="宋体"/>
          <w:b w:val="0"/>
          <w:bCs w:val="0"/>
          <w:color w:val="auto"/>
          <w:kern w:val="0"/>
          <w:sz w:val="24"/>
          <w:szCs w:val="24"/>
          <w:highlight w:val="none"/>
        </w:rPr>
      </w:pPr>
      <w:r>
        <w:rPr>
          <w:rFonts w:hint="eastAsia" w:ascii="宋体" w:hAnsi="宋体" w:eastAsia="宋体" w:cs="宋体"/>
          <w:snapToGrid w:val="0"/>
          <w:color w:val="auto"/>
          <w:sz w:val="24"/>
          <w:szCs w:val="24"/>
          <w:highlight w:val="none"/>
          <w:lang w:bidi="ar"/>
        </w:rPr>
        <w:t>4.</w:t>
      </w:r>
      <w:r>
        <w:rPr>
          <w:rFonts w:hint="eastAsia" w:ascii="宋体" w:hAnsi="宋体" w:eastAsia="宋体" w:cs="宋体"/>
          <w:snapToGrid w:val="0"/>
          <w:color w:val="auto"/>
          <w:sz w:val="24"/>
          <w:szCs w:val="24"/>
          <w:highlight w:val="none"/>
          <w:lang w:val="en-US" w:eastAsia="zh-CN" w:bidi="ar"/>
        </w:rPr>
        <w:t>3</w:t>
      </w:r>
      <w:r>
        <w:rPr>
          <w:rFonts w:hint="eastAsia" w:ascii="宋体" w:hAnsi="宋体" w:eastAsia="宋体" w:cs="宋体"/>
          <w:b w:val="0"/>
          <w:bCs w:val="0"/>
          <w:color w:val="auto"/>
          <w:kern w:val="0"/>
          <w:sz w:val="24"/>
          <w:szCs w:val="24"/>
          <w:highlight w:val="none"/>
        </w:rPr>
        <w:t>（1）投标人如为制造商：具有有效期内的《中华人民共和国特种设备生产许可证》（许可项目包括电梯制造（含安装、修理、改造）；或具有有效期内的《中华人民共和国特种设备制造许可证》（电梯）B级及以上资质（旧证）和《中华人民共和国特种设备安装改造维修许可证》（电梯）B级及以上资质（旧证）；</w:t>
      </w:r>
    </w:p>
    <w:p w14:paraId="065E4B7E">
      <w:pPr>
        <w:widowControl/>
        <w:adjustRightInd w:val="0"/>
        <w:snapToGrid w:val="0"/>
        <w:spacing w:line="360" w:lineRule="auto"/>
        <w:ind w:firstLine="480" w:firstLineChars="200"/>
        <w:jc w:val="left"/>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rPr>
        <w:t>（2）投标人如为经销商（代理商）：具有有效期内的《中华人民共和国特种设备生产许可证》（许可项目包括电梯安装（含修理）（新证）或《中华人民共和国特种设备安装改造维修许可证》（电梯）B级及以上资质（旧证），并同时提供电梯生产制造商的《中华人民共和国特种设备生产许可证》（许可项目包括电梯制造（含安装、修理、改造）（新证）或《中华人民共和国特种设备制造许可证》（电梯）B级及以上资质（旧证）</w:t>
      </w:r>
      <w:r>
        <w:rPr>
          <w:rFonts w:hint="eastAsia" w:ascii="宋体" w:hAnsi="宋体" w:eastAsia="宋体" w:cs="宋体"/>
          <w:b w:val="0"/>
          <w:bCs w:val="0"/>
          <w:color w:val="auto"/>
          <w:kern w:val="0"/>
          <w:sz w:val="24"/>
          <w:szCs w:val="24"/>
          <w:highlight w:val="none"/>
          <w:lang w:eastAsia="zh-CN"/>
        </w:rPr>
        <w:t>。</w:t>
      </w:r>
    </w:p>
    <w:p w14:paraId="36F5904C">
      <w:pPr>
        <w:widowControl/>
        <w:adjustRightInd w:val="0"/>
        <w:snapToGrid w:val="0"/>
        <w:spacing w:line="360" w:lineRule="auto"/>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4.4</w:t>
      </w:r>
      <w:r>
        <w:rPr>
          <w:rFonts w:hint="eastAsia" w:ascii="宋体" w:hAnsi="宋体" w:eastAsia="宋体" w:cs="宋体"/>
          <w:b w:val="0"/>
          <w:bCs w:val="0"/>
          <w:color w:val="auto"/>
          <w:kern w:val="0"/>
          <w:sz w:val="24"/>
          <w:szCs w:val="24"/>
          <w:highlight w:val="none"/>
        </w:rPr>
        <w:t>投标人拟派项目负责人为本单位正式职工，且具有《中华人民共和国特种设备安全管理和作业人员证》或建设行政主管部门颁发的机电工程专业贰级及以上注册建造师证书（不含临时），提供公司为其最新缴纳的社保证明</w:t>
      </w:r>
      <w:r>
        <w:rPr>
          <w:rFonts w:hint="eastAsia" w:ascii="宋体" w:hAnsi="宋体" w:eastAsia="宋体" w:cs="宋体"/>
          <w:bCs/>
          <w:color w:val="auto"/>
          <w:sz w:val="24"/>
          <w:szCs w:val="24"/>
          <w:highlight w:val="none"/>
          <w:lang w:val="en-US" w:eastAsia="zh-CN"/>
        </w:rPr>
        <w:t>。</w:t>
      </w:r>
    </w:p>
    <w:p w14:paraId="3C951F73">
      <w:pPr>
        <w:adjustRightInd w:val="0"/>
        <w:snapToGrid w:val="0"/>
        <w:spacing w:line="360" w:lineRule="auto"/>
        <w:ind w:firstLine="480" w:firstLineChars="200"/>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Cs/>
          <w:color w:val="auto"/>
          <w:sz w:val="24"/>
          <w:szCs w:val="24"/>
          <w:highlight w:val="none"/>
          <w:lang w:val="en-US" w:eastAsia="zh-CN"/>
        </w:rPr>
        <w:t>4.5</w:t>
      </w:r>
      <w:r>
        <w:rPr>
          <w:rFonts w:hint="eastAsia" w:ascii="宋体" w:hAnsi="宋体" w:eastAsia="宋体" w:cs="宋体"/>
          <w:b w:val="0"/>
          <w:bCs w:val="0"/>
          <w:color w:val="auto"/>
          <w:kern w:val="0"/>
          <w:sz w:val="24"/>
          <w:szCs w:val="24"/>
          <w:highlight w:val="none"/>
        </w:rPr>
        <w:t>投标人提供近三年度财务报告，且财务状况良好；（审计报告须为经会计事务所或审计机构审计后合法依规出具的财务审计报告，成立不足三年的从成立年度起）</w:t>
      </w:r>
      <w:r>
        <w:rPr>
          <w:rFonts w:hint="eastAsia" w:ascii="宋体" w:hAnsi="宋体" w:eastAsia="宋体" w:cs="宋体"/>
          <w:b w:val="0"/>
          <w:bCs w:val="0"/>
          <w:color w:val="auto"/>
          <w:kern w:val="0"/>
          <w:sz w:val="24"/>
          <w:szCs w:val="24"/>
          <w:highlight w:val="none"/>
          <w:lang w:eastAsia="zh-CN"/>
        </w:rPr>
        <w:t>。</w:t>
      </w:r>
    </w:p>
    <w:p w14:paraId="29342A9D">
      <w:pPr>
        <w:adjustRightInd w:val="0"/>
        <w:snapToGrid w:val="0"/>
        <w:spacing w:line="360" w:lineRule="auto"/>
        <w:ind w:firstLine="480" w:firstLineChars="200"/>
        <w:rPr>
          <w:rFonts w:hint="eastAsia" w:ascii="宋体" w:hAnsi="宋体" w:eastAsia="宋体" w:cs="宋体"/>
          <w:snapToGrid w:val="0"/>
          <w:color w:val="auto"/>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rPr>
        <w:t>4.6</w:t>
      </w:r>
      <w:r>
        <w:rPr>
          <w:rFonts w:hint="eastAsia" w:ascii="宋体" w:hAnsi="宋体" w:eastAsia="宋体" w:cs="宋体"/>
          <w:bCs/>
          <w:color w:val="auto"/>
          <w:sz w:val="24"/>
          <w:szCs w:val="24"/>
          <w:highlight w:val="none"/>
          <w:lang w:val="en-US" w:eastAsia="zh-CN"/>
        </w:rPr>
        <w:t>根据《关于在政府采购活动中查询及使用信用记录有关问题的通知》(财库[2016]125号)的规定，对列入失信被执行人、重大税收违法失信主体 、政府采购严重违法失信行为记录名单的投标人，拒绝参与本项目政府采购活动【查询渠道：“信用中国”网站（www.creditchina.gov.cn）、中国政府采购网（www.ccgp.gov.cn）】。提供查询网页截图并加盖单位公章，查询时间需在本项目发布公告日期后。</w:t>
      </w:r>
    </w:p>
    <w:p w14:paraId="355C6CD3">
      <w:pPr>
        <w:widowControl/>
        <w:adjustRightInd w:val="0"/>
        <w:snapToGrid w:val="0"/>
        <w:spacing w:line="360" w:lineRule="auto"/>
        <w:ind w:firstLine="480" w:firstLineChars="200"/>
        <w:jc w:val="left"/>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snapToGrid w:val="0"/>
          <w:color w:val="auto"/>
          <w:sz w:val="24"/>
          <w:szCs w:val="24"/>
          <w:highlight w:val="none"/>
          <w:lang w:bidi="ar"/>
        </w:rPr>
        <w:t>4.</w:t>
      </w:r>
      <w:r>
        <w:rPr>
          <w:rFonts w:hint="eastAsia" w:ascii="宋体" w:hAnsi="宋体" w:eastAsia="宋体" w:cs="宋体"/>
          <w:snapToGrid w:val="0"/>
          <w:color w:val="auto"/>
          <w:sz w:val="24"/>
          <w:szCs w:val="24"/>
          <w:highlight w:val="none"/>
          <w:lang w:val="en-US" w:eastAsia="zh-CN" w:bidi="ar"/>
        </w:rPr>
        <w:t>6</w:t>
      </w:r>
      <w:r>
        <w:rPr>
          <w:rFonts w:hint="eastAsia" w:ascii="宋体" w:hAnsi="宋体" w:eastAsia="宋体" w:cs="宋体"/>
          <w:b w:val="0"/>
          <w:bCs w:val="0"/>
          <w:color w:val="auto"/>
          <w:kern w:val="0"/>
          <w:sz w:val="24"/>
          <w:szCs w:val="24"/>
          <w:highlight w:val="none"/>
        </w:rPr>
        <w:t>投标人须提供企业在“中国执行信息公开网”的（zxgk.court.gov.cn）的“失信被执行人”、“信用中国”网站（www.creditchina.gov.cn）的“重大税收违法失信主体”、“政府采购严重违法失信行为名单”、“中国政府采购网站（www.ccgp.gov.cn）的“政府采购严重违法失信行为名单”查询结果页面截图，近三年，受到政府或行政主管部门惩处或不良行为记录依法限制项目招标投标的投标人，拒绝参与本项目招投标活动（查询日期在公告发布日期之后）</w:t>
      </w:r>
      <w:r>
        <w:rPr>
          <w:rFonts w:hint="eastAsia" w:ascii="宋体" w:hAnsi="宋体" w:eastAsia="宋体" w:cs="宋体"/>
          <w:b w:val="0"/>
          <w:bCs w:val="0"/>
          <w:color w:val="auto"/>
          <w:kern w:val="0"/>
          <w:sz w:val="24"/>
          <w:szCs w:val="24"/>
          <w:highlight w:val="none"/>
          <w:lang w:eastAsia="zh-CN"/>
        </w:rPr>
        <w:t>。</w:t>
      </w:r>
    </w:p>
    <w:p w14:paraId="36EE9166">
      <w:pPr>
        <w:adjustRightInd w:val="0"/>
        <w:snapToGrid w:val="0"/>
        <w:spacing w:line="360" w:lineRule="auto"/>
        <w:ind w:firstLine="480" w:firstLineChars="200"/>
        <w:rPr>
          <w:rFonts w:hint="eastAsia" w:ascii="宋体" w:hAnsi="宋体" w:eastAsia="宋体" w:cs="宋体"/>
          <w:b/>
          <w:bCs/>
          <w:color w:val="auto"/>
          <w:kern w:val="0"/>
          <w:sz w:val="24"/>
          <w:szCs w:val="24"/>
          <w:highlight w:val="none"/>
        </w:rPr>
      </w:pPr>
      <w:r>
        <w:rPr>
          <w:rFonts w:hint="eastAsia" w:ascii="宋体" w:hAnsi="宋体" w:eastAsia="宋体" w:cs="宋体"/>
          <w:snapToGrid w:val="0"/>
          <w:color w:val="auto"/>
          <w:sz w:val="24"/>
          <w:szCs w:val="24"/>
          <w:highlight w:val="none"/>
          <w:lang w:val="en-US" w:eastAsia="zh-CN" w:bidi="ar"/>
        </w:rPr>
        <w:t>4.7</w:t>
      </w:r>
      <w:r>
        <w:rPr>
          <w:rFonts w:hint="eastAsia" w:ascii="宋体" w:hAnsi="宋体" w:eastAsia="宋体" w:cs="宋体"/>
          <w:snapToGrid w:val="0"/>
          <w:color w:val="auto"/>
          <w:sz w:val="24"/>
          <w:szCs w:val="24"/>
          <w:highlight w:val="none"/>
          <w:lang w:bidi="ar"/>
        </w:rPr>
        <w:t>招标文件要求的其他证明文件。</w:t>
      </w:r>
    </w:p>
    <w:p w14:paraId="60A5FF34">
      <w:pPr>
        <w:widowControl/>
        <w:adjustRightInd w:val="0"/>
        <w:snapToGrid w:val="0"/>
        <w:spacing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注：以上为必须提供的材料本项目采用不见面开评标，投标企业应在项目开标前，将投标所需资料扫描件，上传至驻马店市公共资源电子交易平台诚信库中，并且在“资格审查材料（不见面开标）”菜单下按标段挑选该标段投标所用资格审查材料，以供评标过程中评委查阅。评标时以电子投标文件及“资格审查材料（不见面开标）”菜单中选取的信息为准。 </w:t>
      </w:r>
    </w:p>
    <w:p w14:paraId="316DC429">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5.投标费用</w:t>
      </w:r>
    </w:p>
    <w:p w14:paraId="342F3D3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不论投标结果如何，</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均应自行承担所有与投标有关的全部费用。</w:t>
      </w:r>
    </w:p>
    <w:p w14:paraId="2B5372B8">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6.联合体投标</w:t>
      </w:r>
    </w:p>
    <w:p w14:paraId="2649AEF3">
      <w:pPr>
        <w:wordWrap w:val="0"/>
        <w:adjustRightInd w:val="0"/>
        <w:snapToGrid w:val="0"/>
        <w:spacing w:line="360" w:lineRule="auto"/>
        <w:ind w:left="420" w:firstLine="42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不接受联合投标</w:t>
      </w:r>
    </w:p>
    <w:p w14:paraId="7F4F6762">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7.关联企业投标</w:t>
      </w:r>
    </w:p>
    <w:p w14:paraId="43FB7FD6">
      <w:pPr>
        <w:widowControl/>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7.1 本招标文件所称关联企业,是指存在关联关系的企业。“关联关系”的界定适用《中华人民共和国公司法》第二百一十七条、《中华人民共和国政府采购法实施条例》第十八条之规定。</w:t>
      </w:r>
    </w:p>
    <w:p w14:paraId="2F1DF332">
      <w:pPr>
        <w:widowControl/>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 关联企业中, 同一个法定代表人的两个及两个以上法人，母公司、全资子公司及其控股公司，都不得同时投标。</w:t>
      </w:r>
      <w:r>
        <w:rPr>
          <w:rFonts w:hint="eastAsia" w:ascii="宋体" w:hAnsi="宋体" w:eastAsia="宋体" w:cs="宋体"/>
          <w:color w:val="auto"/>
          <w:sz w:val="24"/>
          <w:szCs w:val="24"/>
          <w:highlight w:val="none"/>
          <w:shd w:val="clear" w:color="auto" w:fill="FFFFFF"/>
        </w:rPr>
        <w:t>单位负责人为同一人或者存在直接控股、管理关系的不同</w:t>
      </w:r>
      <w:r>
        <w:rPr>
          <w:rFonts w:hint="eastAsia" w:ascii="宋体" w:hAnsi="宋体" w:eastAsia="宋体" w:cs="宋体"/>
          <w:color w:val="auto"/>
          <w:sz w:val="24"/>
          <w:szCs w:val="24"/>
          <w:highlight w:val="none"/>
          <w:shd w:val="clear" w:color="auto" w:fill="FFFFFF"/>
          <w:lang w:eastAsia="zh-CN"/>
        </w:rPr>
        <w:t>投标人</w:t>
      </w:r>
      <w:r>
        <w:rPr>
          <w:rFonts w:hint="eastAsia" w:ascii="宋体" w:hAnsi="宋体" w:eastAsia="宋体" w:cs="宋体"/>
          <w:color w:val="auto"/>
          <w:sz w:val="24"/>
          <w:szCs w:val="24"/>
          <w:highlight w:val="none"/>
          <w:shd w:val="clear" w:color="auto" w:fill="FFFFFF"/>
        </w:rPr>
        <w:t>，不得参加同一合同项下的投标。</w:t>
      </w:r>
      <w:r>
        <w:rPr>
          <w:rFonts w:hint="eastAsia" w:ascii="宋体" w:hAnsi="宋体" w:eastAsia="宋体" w:cs="宋体"/>
          <w:color w:val="auto"/>
          <w:sz w:val="24"/>
          <w:szCs w:val="24"/>
          <w:highlight w:val="none"/>
        </w:rPr>
        <w:t>一经发现，将导致投标同时被拒绝。</w:t>
      </w:r>
    </w:p>
    <w:p w14:paraId="7E3B2E3F">
      <w:pPr>
        <w:adjustRightInd w:val="0"/>
        <w:snapToGrid w:val="0"/>
        <w:spacing w:line="360" w:lineRule="auto"/>
        <w:ind w:firstLine="480" w:firstLineChars="200"/>
        <w:rPr>
          <w:rFonts w:hint="eastAsia" w:ascii="宋体" w:hAnsi="宋体" w:eastAsia="宋体" w:cs="宋体"/>
          <w:color w:val="auto"/>
          <w:kern w:val="0"/>
          <w:sz w:val="24"/>
          <w:szCs w:val="24"/>
          <w:highlight w:val="none"/>
          <w:shd w:val="clear" w:color="auto" w:fill="FFFFFF"/>
          <w:lang w:val="en-US" w:eastAsia="zh-CN" w:bidi="ar-SA"/>
        </w:rPr>
      </w:pPr>
      <w:r>
        <w:rPr>
          <w:rFonts w:hint="eastAsia" w:ascii="宋体" w:hAnsi="宋体" w:eastAsia="宋体" w:cs="宋体"/>
          <w:color w:val="auto"/>
          <w:kern w:val="0"/>
          <w:sz w:val="24"/>
          <w:szCs w:val="24"/>
          <w:highlight w:val="none"/>
          <w:lang w:val="en-US" w:eastAsia="zh-CN" w:bidi="ar-SA"/>
        </w:rPr>
        <w:t>7.3</w:t>
      </w:r>
      <w:r>
        <w:rPr>
          <w:rFonts w:hint="eastAsia" w:ascii="宋体" w:hAnsi="宋体" w:eastAsia="宋体" w:cs="宋体"/>
          <w:color w:val="auto"/>
          <w:kern w:val="0"/>
          <w:sz w:val="24"/>
          <w:szCs w:val="24"/>
          <w:highlight w:val="none"/>
          <w:shd w:val="clear" w:color="auto" w:fill="FFFFFF"/>
          <w:lang w:val="en-US" w:eastAsia="zh-CN" w:bidi="ar-SA"/>
        </w:rPr>
        <w:t xml:space="preserve"> 为采购项目提供整体设计、规范编制或者项目管理、监理、检测等服务的投标人，不得再参加该采购项目的投标活动。</w:t>
      </w:r>
    </w:p>
    <w:p w14:paraId="138CD111">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8.转包与分包</w:t>
      </w:r>
    </w:p>
    <w:p w14:paraId="273D8B42">
      <w:pPr>
        <w:widowControl/>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8.1 本项目不允许采取转包方式履行合同。</w:t>
      </w:r>
    </w:p>
    <w:p w14:paraId="1A26557C">
      <w:pPr>
        <w:widowControl/>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8.2本项目不允许采取分包方式履行合同。</w:t>
      </w:r>
    </w:p>
    <w:p w14:paraId="50AA6E6F">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9.特别说明：</w:t>
      </w:r>
    </w:p>
    <w:p w14:paraId="6CB63B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投标所使用的资格、信誉、荣誉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企业认证必须为本</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 xml:space="preserve">所拥有。   </w:t>
      </w:r>
    </w:p>
    <w:p w14:paraId="64C8401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9.2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代表只能接受一个</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的委托参加投标。</w:t>
      </w:r>
    </w:p>
    <w:p w14:paraId="33BA34C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《政府采购法》第二十二条第五款“参加政府采购活动前三年内，在经营活动中没有重大违法记录”，“重大违法记录”是指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因违法经营受到刑事处罚或者责令停产停业、吊销许可证或者执照、较大数额罚款等行政处罚。</w:t>
      </w:r>
    </w:p>
    <w:p w14:paraId="12176AD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在投标活动中提供虚假材料或从事其他违法活动的,其投标无效，由相关部门查处。</w:t>
      </w:r>
    </w:p>
    <w:p w14:paraId="51EDCA60">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10.质疑和投诉</w:t>
      </w:r>
    </w:p>
    <w:p w14:paraId="5457AFA3">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10.1参与本项目的各投标人对评标结果有异议的，可在评标结果公示发布之日起三天内，以网上上传至“驻马店市公共资源电子交易系统”质疑投诉窗口或书面形式向招标人提出质疑（加盖单位公章且法定代表人签字），由法定代表人携带营业执照（原件）及本人身份证（原件）或授权委托代理人携带营业执照（原件）、授权委托书（原件）及本人身份证（原件）一并现场提交（邮寄、传真件不予受理）。逾期未提交或未按照要求提交的质疑函不予受理。</w:t>
      </w:r>
    </w:p>
    <w:p w14:paraId="538F301B">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投标人对招标人质疑回复不满的，可在法律规定的时间内向行政监督部门进行投诉。投诉函须以书面形式（加盖单位公章且法定代表人签字），由法定代表人携带营业执照（原件）及本人身份证（原件）或授权委托代理人携带营业执照（原件）、授权委托书（原件）及本人身份证（原件）一并现场提交（邮寄、传真件不予受理）或以网上上传至“驻马店市公共资源电子交易系统”质疑投诉窗口。未按要求提交的投诉函将不予受理。</w:t>
      </w:r>
    </w:p>
    <w:p w14:paraId="389634E9">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注：若以网上上传至“驻马店市公共资源电子交易系统”质疑投诉窗口形式提出质疑投诉的，也应由法定代表人携带营业执照（原件）及本人身份证（原件）或授权委托代理人携带营业执照（原件）、授权委托书（原件）及本人身份证（原件）一并现场提交质疑函或投诉函（邮寄、传真件不予受理）。</w:t>
      </w:r>
    </w:p>
    <w:p w14:paraId="6153F8D2">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w:t>
      </w:r>
      <w:r>
        <w:rPr>
          <w:rFonts w:hint="eastAsia" w:ascii="宋体" w:hAnsi="宋体" w:eastAsia="宋体" w:cs="宋体"/>
          <w:b/>
          <w:color w:val="auto"/>
          <w:sz w:val="24"/>
          <w:szCs w:val="24"/>
          <w:highlight w:val="none"/>
          <w:lang w:eastAsia="zh-CN"/>
        </w:rPr>
        <w:t>投标人</w:t>
      </w:r>
      <w:r>
        <w:rPr>
          <w:rFonts w:hint="eastAsia" w:ascii="宋体" w:hAnsi="宋体" w:eastAsia="宋体" w:cs="宋体"/>
          <w:b/>
          <w:color w:val="auto"/>
          <w:sz w:val="24"/>
          <w:szCs w:val="24"/>
          <w:highlight w:val="none"/>
        </w:rPr>
        <w:t>的风险</w:t>
      </w:r>
    </w:p>
    <w:p w14:paraId="1E6C2CE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没有按照招标文件要求提供全部资料，或者</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没有对招标文件在各方面都作出实质性响应是</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的风险，并可能导致其投标被拒绝。</w:t>
      </w:r>
    </w:p>
    <w:p w14:paraId="5B457819">
      <w:pPr>
        <w:adjustRightInd w:val="0"/>
        <w:snapToGrid w:val="0"/>
        <w:spacing w:line="360" w:lineRule="auto"/>
        <w:ind w:firstLine="585"/>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  招标文件</w:t>
      </w:r>
    </w:p>
    <w:p w14:paraId="489B0F53">
      <w:pPr>
        <w:adjustRightInd w:val="0"/>
        <w:snapToGrid w:val="0"/>
        <w:spacing w:line="360" w:lineRule="auto"/>
        <w:ind w:firstLine="585"/>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12.招标文件的构成。本招标文件由以下部分组成：</w:t>
      </w:r>
    </w:p>
    <w:p w14:paraId="051FD014">
      <w:pPr>
        <w:adjustRightInd w:val="0"/>
        <w:snapToGrid w:val="0"/>
        <w:spacing w:line="360" w:lineRule="auto"/>
        <w:ind w:firstLine="58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12.1 招标公告</w:t>
      </w:r>
    </w:p>
    <w:p w14:paraId="052AEB9C">
      <w:pPr>
        <w:adjustRightInd w:val="0"/>
        <w:snapToGrid w:val="0"/>
        <w:spacing w:line="360" w:lineRule="auto"/>
        <w:ind w:firstLine="58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12.2 招标需求</w:t>
      </w:r>
    </w:p>
    <w:p w14:paraId="6D33751B">
      <w:pPr>
        <w:adjustRightInd w:val="0"/>
        <w:snapToGrid w:val="0"/>
        <w:spacing w:line="360" w:lineRule="auto"/>
        <w:ind w:firstLine="58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12.3 </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须知</w:t>
      </w:r>
    </w:p>
    <w:p w14:paraId="42B58B7F">
      <w:pPr>
        <w:adjustRightInd w:val="0"/>
        <w:snapToGrid w:val="0"/>
        <w:spacing w:line="360" w:lineRule="auto"/>
        <w:ind w:firstLine="58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12.4 评标办法及标准</w:t>
      </w:r>
    </w:p>
    <w:p w14:paraId="76000847">
      <w:pPr>
        <w:adjustRightInd w:val="0"/>
        <w:snapToGrid w:val="0"/>
        <w:spacing w:line="360" w:lineRule="auto"/>
        <w:ind w:firstLine="58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12.5 合同主要条款</w:t>
      </w:r>
    </w:p>
    <w:p w14:paraId="16D49FE0">
      <w:pPr>
        <w:adjustRightInd w:val="0"/>
        <w:snapToGrid w:val="0"/>
        <w:spacing w:line="360" w:lineRule="auto"/>
        <w:ind w:firstLine="58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12.6 投标文件格式</w:t>
      </w:r>
    </w:p>
    <w:p w14:paraId="50C3CA87">
      <w:pPr>
        <w:adjustRightInd w:val="0"/>
        <w:snapToGrid w:val="0"/>
        <w:spacing w:line="360" w:lineRule="auto"/>
        <w:ind w:firstLine="585"/>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13.招标文件的澄清与修改 </w:t>
      </w:r>
    </w:p>
    <w:p w14:paraId="7D139355">
      <w:pPr>
        <w:adjustRightInd w:val="0"/>
        <w:snapToGrid w:val="0"/>
        <w:spacing w:line="360" w:lineRule="auto"/>
        <w:ind w:firstLine="58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13.1 </w:t>
      </w:r>
      <w:r>
        <w:rPr>
          <w:rFonts w:hint="eastAsia" w:ascii="宋体" w:hAnsi="宋体" w:eastAsia="宋体" w:cs="宋体"/>
          <w:color w:val="auto"/>
          <w:kern w:val="0"/>
          <w:sz w:val="24"/>
          <w:szCs w:val="24"/>
          <w:highlight w:val="none"/>
          <w:lang w:eastAsia="zh-CN"/>
        </w:rPr>
        <w:t>代理机构</w:t>
      </w:r>
      <w:r>
        <w:rPr>
          <w:rFonts w:hint="eastAsia" w:ascii="宋体" w:hAnsi="宋体" w:eastAsia="宋体" w:cs="宋体"/>
          <w:color w:val="auto"/>
          <w:kern w:val="0"/>
          <w:sz w:val="24"/>
          <w:szCs w:val="24"/>
          <w:highlight w:val="none"/>
        </w:rPr>
        <w:t>对已发出的招标文件进行必要澄清、修改或补充的，应当在投标截止时间15日（如至原定截止时间不足15日，则需延长开标时间，招标文件获取时间、递交样品截止时间等可以相应延长）前，在</w:t>
      </w:r>
      <w:r>
        <w:rPr>
          <w:rFonts w:hint="eastAsia" w:ascii="宋体" w:hAnsi="宋体" w:eastAsia="宋体" w:cs="宋体"/>
          <w:color w:val="auto"/>
          <w:sz w:val="24"/>
          <w:szCs w:val="24"/>
          <w:highlight w:val="none"/>
          <w:lang w:eastAsia="zh-CN"/>
        </w:rPr>
        <w:t>中国招标投标公共服务平台</w:t>
      </w:r>
      <w:r>
        <w:rPr>
          <w:rFonts w:hint="eastAsia" w:ascii="宋体" w:hAnsi="宋体" w:eastAsia="宋体" w:cs="宋体"/>
          <w:color w:val="auto"/>
          <w:kern w:val="0"/>
          <w:sz w:val="24"/>
          <w:szCs w:val="24"/>
          <w:highlight w:val="none"/>
        </w:rPr>
        <w:t>、驻马店市公共资源交易平台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"http://www.sxztb.gov.cn/"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end"/>
      </w:r>
      <w:r>
        <w:rPr>
          <w:rFonts w:hint="eastAsia" w:ascii="宋体" w:hAnsi="宋体" w:eastAsia="宋体" w:cs="宋体"/>
          <w:color w:val="auto"/>
          <w:kern w:val="0"/>
          <w:sz w:val="24"/>
          <w:szCs w:val="24"/>
          <w:highlight w:val="none"/>
        </w:rPr>
        <w:t>等相关媒体上发布更正公告或变更公告。</w:t>
      </w:r>
    </w:p>
    <w:p w14:paraId="003C1D6A">
      <w:pPr>
        <w:adjustRightInd w:val="0"/>
        <w:snapToGrid w:val="0"/>
        <w:spacing w:line="360" w:lineRule="auto"/>
        <w:ind w:firstLine="58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13.2 招标文件澄清、修改或补充的内容为招标文件的组成部分。</w:t>
      </w:r>
    </w:p>
    <w:p w14:paraId="773C981E">
      <w:pPr>
        <w:adjustRightInd w:val="0"/>
        <w:snapToGrid w:val="0"/>
        <w:spacing w:line="360" w:lineRule="auto"/>
        <w:ind w:firstLine="58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 招标文件的澄清、修改或补充都应通过本代理机构以法定形式发布。</w:t>
      </w:r>
      <w:r>
        <w:rPr>
          <w:rFonts w:hint="eastAsia" w:ascii="宋体" w:hAnsi="宋体" w:eastAsia="宋体" w:cs="宋体"/>
          <w:color w:val="auto"/>
          <w:kern w:val="0"/>
          <w:sz w:val="24"/>
          <w:szCs w:val="24"/>
          <w:highlight w:val="none"/>
          <w:lang w:eastAsia="zh-CN"/>
        </w:rPr>
        <w:t>招标人</w:t>
      </w:r>
      <w:r>
        <w:rPr>
          <w:rFonts w:hint="eastAsia" w:ascii="宋体" w:hAnsi="宋体" w:eastAsia="宋体" w:cs="宋体"/>
          <w:color w:val="auto"/>
          <w:kern w:val="0"/>
          <w:sz w:val="24"/>
          <w:szCs w:val="24"/>
          <w:highlight w:val="none"/>
        </w:rPr>
        <w:t>未通过本代理机构对招标文件进行的澄清、修改或补充无效，评标时不予认可。</w:t>
      </w:r>
    </w:p>
    <w:p w14:paraId="2859C72F">
      <w:pPr>
        <w:adjustRightInd w:val="0"/>
        <w:snapToGrid w:val="0"/>
        <w:spacing w:line="360" w:lineRule="auto"/>
        <w:ind w:firstLine="585"/>
        <w:jc w:val="left"/>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13.4 招标代理机构可以视招标具体情况延长投标截止时间和开标时间，但至少应当在投标截止时间3日前，将变更时间在</w:t>
      </w:r>
      <w:r>
        <w:rPr>
          <w:rFonts w:hint="eastAsia" w:ascii="宋体" w:hAnsi="宋体" w:eastAsia="宋体" w:cs="宋体"/>
          <w:color w:val="auto"/>
          <w:kern w:val="0"/>
          <w:sz w:val="24"/>
          <w:szCs w:val="24"/>
          <w:highlight w:val="none"/>
          <w:lang w:eastAsia="zh-CN"/>
        </w:rPr>
        <w:t>中国招标投标公共服务平台</w:t>
      </w:r>
      <w:r>
        <w:rPr>
          <w:rFonts w:hint="eastAsia" w:ascii="宋体" w:hAnsi="宋体" w:eastAsia="宋体" w:cs="宋体"/>
          <w:color w:val="auto"/>
          <w:kern w:val="0"/>
          <w:sz w:val="24"/>
          <w:szCs w:val="24"/>
          <w:highlight w:val="none"/>
        </w:rPr>
        <w:t>、驻马店市公共资源交易平台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"http://www.sxztb.gov.cn/"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end"/>
      </w:r>
      <w:r>
        <w:rPr>
          <w:rFonts w:hint="eastAsia" w:ascii="宋体" w:hAnsi="宋体" w:eastAsia="宋体" w:cs="宋体"/>
          <w:color w:val="auto"/>
          <w:kern w:val="0"/>
          <w:sz w:val="24"/>
          <w:szCs w:val="24"/>
          <w:highlight w:val="none"/>
        </w:rPr>
        <w:t>等相关媒体上发布更正公告或变更公告。</w:t>
      </w:r>
    </w:p>
    <w:p w14:paraId="34E897E1">
      <w:pPr>
        <w:widowControl/>
        <w:adjustRightInd w:val="0"/>
        <w:snapToGrid w:val="0"/>
        <w:spacing w:line="360" w:lineRule="auto"/>
        <w:ind w:firstLine="20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三   投标文件的编制 </w:t>
      </w:r>
    </w:p>
    <w:p w14:paraId="4C7303DF">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14.要求</w:t>
      </w:r>
    </w:p>
    <w:p w14:paraId="5F54B137">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14.1 </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应仔细阅读招标文件的所有内容，按照招标文件提供的格式编写投标文件，不得缺少或留空任何招标文件要求填写的表格或提交的资料。招标文件提供格式的按格式填列，未提供格式的可自行拟定。投标文件应对招标文件的要求作出实质性响应（包括</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资格要求、技术需求、商务要求和投标文件格式中对投标的要求），</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对所提供的全部资料的合法性、真实性负责。</w:t>
      </w:r>
    </w:p>
    <w:p w14:paraId="1BEEC987">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14.2 </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应完整签署投标文件格式附件中《投标书》和《抵制商业贿赂承诺》，不得增减或修改内容。否则视为对招标文件未作出实质性响应。投标文件格式中备注栏如无内容均划斜杠，否则视为对招标文件未作出实质性响应。</w:t>
      </w:r>
    </w:p>
    <w:p w14:paraId="27C0ED7F">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15.投标文件的语言和计量单位</w:t>
      </w:r>
    </w:p>
    <w:p w14:paraId="231B21D1">
      <w:pPr>
        <w:widowControl/>
        <w:tabs>
          <w:tab w:val="left" w:pos="0"/>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15.1投标文件以及</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与</w:t>
      </w:r>
      <w:r>
        <w:rPr>
          <w:rFonts w:hint="eastAsia" w:ascii="宋体" w:hAnsi="宋体" w:eastAsia="宋体" w:cs="宋体"/>
          <w:color w:val="auto"/>
          <w:kern w:val="0"/>
          <w:sz w:val="24"/>
          <w:szCs w:val="24"/>
          <w:highlight w:val="none"/>
          <w:lang w:eastAsia="zh-CN"/>
        </w:rPr>
        <w:t>招标人</w:t>
      </w:r>
      <w:r>
        <w:rPr>
          <w:rFonts w:hint="eastAsia" w:ascii="宋体" w:hAnsi="宋体" w:eastAsia="宋体" w:cs="宋体"/>
          <w:color w:val="auto"/>
          <w:kern w:val="0"/>
          <w:sz w:val="24"/>
          <w:szCs w:val="24"/>
          <w:highlight w:val="none"/>
        </w:rPr>
        <w:t>就有关投标事宜的所有来往函电均应使用简体中文书写。</w:t>
      </w:r>
    </w:p>
    <w:p w14:paraId="223D7311">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15.2 关于投标计量单位，招标文件已有明确规定的，使用招标文件规定的计量单位；招标文件没有规定的，应采用中华人民共和国法定计量单位。否则视为对招标文件未作出实质性响应。</w:t>
      </w:r>
    </w:p>
    <w:p w14:paraId="35DEA9D9">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15.3 原版为外文的证书类文件，以及由外国人做出的本人签名、外国公司的名称或外国印章等可以是外文，但应当提供中文翻译文件并加盖</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公章。必要时评标委员会可以要求</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提供附有公证书的中文翻译文件或者与原版文件签章相一致的中文翻译文件。</w:t>
      </w:r>
    </w:p>
    <w:p w14:paraId="624AA455">
      <w:pPr>
        <w:widowControl/>
        <w:adjustRightInd w:val="0"/>
        <w:snapToGrid w:val="0"/>
        <w:spacing w:line="360" w:lineRule="auto"/>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16.投标文件的组成</w:t>
      </w:r>
      <w:r>
        <w:rPr>
          <w:rFonts w:hint="eastAsia" w:ascii="宋体" w:hAnsi="宋体" w:eastAsia="宋体" w:cs="宋体"/>
          <w:color w:val="auto"/>
          <w:kern w:val="0"/>
          <w:sz w:val="24"/>
          <w:szCs w:val="24"/>
          <w:highlight w:val="none"/>
        </w:rPr>
        <w:t>。</w:t>
      </w:r>
      <w:r>
        <w:rPr>
          <w:rFonts w:hint="eastAsia" w:ascii="宋体" w:hAnsi="宋体" w:eastAsia="宋体" w:cs="宋体"/>
          <w:b/>
          <w:color w:val="auto"/>
          <w:kern w:val="0"/>
          <w:sz w:val="24"/>
          <w:szCs w:val="24"/>
          <w:highlight w:val="none"/>
        </w:rPr>
        <w:t>投标文件应包括下列部分：</w:t>
      </w:r>
    </w:p>
    <w:p w14:paraId="482CC494">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1 投标文件封面（格式）</w:t>
      </w:r>
    </w:p>
    <w:p w14:paraId="0E32CB53">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2 投标书（格式）</w:t>
      </w:r>
    </w:p>
    <w:p w14:paraId="11E2BFF6">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3 开标一览表（格式）</w:t>
      </w:r>
    </w:p>
    <w:p w14:paraId="5C5EB090">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4 投标报价明细表（格式）</w:t>
      </w:r>
    </w:p>
    <w:p w14:paraId="29189AFC">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5 供货范围清单（格式自拟）</w:t>
      </w:r>
    </w:p>
    <w:p w14:paraId="0A716BA5">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6 技术响应表（格式）</w:t>
      </w:r>
    </w:p>
    <w:p w14:paraId="0AD62793">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16.7</w:t>
      </w:r>
      <w:r>
        <w:rPr>
          <w:rFonts w:hint="eastAsia" w:ascii="宋体" w:hAnsi="宋体" w:eastAsia="宋体" w:cs="宋体"/>
          <w:color w:val="auto"/>
          <w:kern w:val="0"/>
          <w:sz w:val="24"/>
          <w:szCs w:val="24"/>
          <w:highlight w:val="none"/>
        </w:rPr>
        <w:t xml:space="preserve"> 商务响应表（格式）</w:t>
      </w:r>
    </w:p>
    <w:p w14:paraId="53430E61">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16.8</w:t>
      </w:r>
      <w:r>
        <w:rPr>
          <w:rFonts w:hint="eastAsia" w:ascii="宋体" w:hAnsi="宋体" w:eastAsia="宋体" w:cs="宋体"/>
          <w:color w:val="auto"/>
          <w:kern w:val="0"/>
          <w:sz w:val="24"/>
          <w:szCs w:val="24"/>
          <w:highlight w:val="none"/>
        </w:rPr>
        <w:t xml:space="preserve"> 法定代表人身份证明（格式）</w:t>
      </w:r>
    </w:p>
    <w:p w14:paraId="62788C90">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16.9</w:t>
      </w:r>
      <w:r>
        <w:rPr>
          <w:rFonts w:hint="eastAsia" w:ascii="宋体" w:hAnsi="宋体" w:eastAsia="宋体" w:cs="宋体"/>
          <w:color w:val="auto"/>
          <w:kern w:val="0"/>
          <w:sz w:val="24"/>
          <w:szCs w:val="24"/>
          <w:highlight w:val="none"/>
        </w:rPr>
        <w:t xml:space="preserve"> 法定代表人授权书（格式）</w:t>
      </w:r>
    </w:p>
    <w:p w14:paraId="5BA58780">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16.10</w:t>
      </w:r>
      <w:r>
        <w:rPr>
          <w:rFonts w:hint="eastAsia" w:ascii="宋体" w:hAnsi="宋体" w:eastAsia="宋体" w:cs="宋体"/>
          <w:color w:val="auto"/>
          <w:kern w:val="0"/>
          <w:sz w:val="24"/>
          <w:szCs w:val="24"/>
          <w:highlight w:val="none"/>
        </w:rPr>
        <w:t>证明文件</w:t>
      </w:r>
    </w:p>
    <w:p w14:paraId="767552AD">
      <w:pPr>
        <w:widowControl/>
        <w:tabs>
          <w:tab w:val="left" w:pos="567"/>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 xml:space="preserve"> 投标人活动承诺书</w:t>
      </w:r>
    </w:p>
    <w:p w14:paraId="391C092E">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17.投标有效期</w:t>
      </w:r>
    </w:p>
    <w:p w14:paraId="44B4653F">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17.1 投标文件从招标公告所规定的投标截止时间之后开始生效，在</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须知前附表第16项所规定的期限内保持有效。有效期不足将导致其投标文件被拒绝。中标人的投标文件有效期至合同完全履行止。</w:t>
      </w:r>
    </w:p>
    <w:p w14:paraId="225BCCC2">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17.2特殊情况下</w:t>
      </w:r>
      <w:r>
        <w:rPr>
          <w:rFonts w:hint="eastAsia" w:ascii="宋体" w:hAnsi="宋体" w:eastAsia="宋体" w:cs="宋体"/>
          <w:color w:val="auto"/>
          <w:kern w:val="0"/>
          <w:sz w:val="24"/>
          <w:szCs w:val="24"/>
          <w:highlight w:val="none"/>
          <w:lang w:eastAsia="zh-CN"/>
        </w:rPr>
        <w:t>代理机构</w:t>
      </w:r>
      <w:r>
        <w:rPr>
          <w:rFonts w:hint="eastAsia" w:ascii="宋体" w:hAnsi="宋体" w:eastAsia="宋体" w:cs="宋体"/>
          <w:color w:val="auto"/>
          <w:kern w:val="0"/>
          <w:sz w:val="24"/>
          <w:szCs w:val="24"/>
          <w:highlight w:val="none"/>
        </w:rPr>
        <w:t>可于投标有效期满之前书面要求</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同意延长有效期，</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应在</w:t>
      </w:r>
      <w:r>
        <w:rPr>
          <w:rFonts w:hint="eastAsia" w:ascii="宋体" w:hAnsi="宋体" w:eastAsia="宋体" w:cs="宋体"/>
          <w:color w:val="auto"/>
          <w:kern w:val="0"/>
          <w:sz w:val="24"/>
          <w:szCs w:val="24"/>
          <w:highlight w:val="none"/>
          <w:lang w:eastAsia="zh-CN"/>
        </w:rPr>
        <w:t>代理机构</w:t>
      </w:r>
      <w:r>
        <w:rPr>
          <w:rFonts w:hint="eastAsia" w:ascii="宋体" w:hAnsi="宋体" w:eastAsia="宋体" w:cs="宋体"/>
          <w:color w:val="auto"/>
          <w:kern w:val="0"/>
          <w:sz w:val="24"/>
          <w:szCs w:val="24"/>
          <w:highlight w:val="none"/>
        </w:rPr>
        <w:t>规定的期限内以书面形式予以答复。</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可以拒绝上述要求而其投标保证金可按规定予以退还。</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答复不明确或者逾期未答复的，均视为拒绝上述要求。对于接受该要求的</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，既不要求也不允许其修改投标文件，但将要求其相应延长投标保证金有效期，有关退还和不予退还投标保证金的规定在投标有效期延长期内继续有效。</w:t>
      </w:r>
    </w:p>
    <w:p w14:paraId="2E514018">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18.投标报价</w:t>
      </w:r>
    </w:p>
    <w:p w14:paraId="6F3FF29A">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18.1 所有投标报价均以人民币元为计算单位。</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的投标报价为完成本项目服务内容产生的所有费用。</w:t>
      </w:r>
    </w:p>
    <w:p w14:paraId="66EDA755">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18.2 </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要按开标一览表的内容填写。</w:t>
      </w:r>
    </w:p>
    <w:p w14:paraId="0FA635C2">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18.3 </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投报多标包的，应对每标包分别报价并分别填报开标一览表。</w:t>
      </w:r>
    </w:p>
    <w:p w14:paraId="66EFAA00">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18.4 开标一览表中标明的价格在合同执行过程中是固定不变的，</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不得以任何理由予以变更。以可调整的价格提交的投标将被作为无效投标处理。</w:t>
      </w:r>
    </w:p>
    <w:p w14:paraId="5F3F6069">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18.5 </w:t>
      </w:r>
      <w:r>
        <w:rPr>
          <w:rFonts w:hint="eastAsia" w:ascii="宋体" w:hAnsi="宋体" w:eastAsia="宋体" w:cs="宋体"/>
          <w:color w:val="auto"/>
          <w:kern w:val="0"/>
          <w:sz w:val="24"/>
          <w:szCs w:val="24"/>
          <w:highlight w:val="none"/>
          <w:lang w:eastAsia="zh-CN"/>
        </w:rPr>
        <w:t>代理机构</w:t>
      </w:r>
      <w:r>
        <w:rPr>
          <w:rFonts w:hint="eastAsia" w:ascii="宋体" w:hAnsi="宋体" w:eastAsia="宋体" w:cs="宋体"/>
          <w:color w:val="auto"/>
          <w:kern w:val="0"/>
          <w:sz w:val="24"/>
          <w:szCs w:val="24"/>
          <w:highlight w:val="none"/>
        </w:rPr>
        <w:t>不接受可选择的投标报价。</w:t>
      </w:r>
    </w:p>
    <w:p w14:paraId="6865BDBC">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18.6 对于</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在开标一览表和投标文件中列出的赠送条款，在评审时不得作为价格评分因素或者调整评标价格的依据。</w:t>
      </w:r>
    </w:p>
    <w:p w14:paraId="22A880DB">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19.投标保证金</w:t>
      </w:r>
    </w:p>
    <w:p w14:paraId="275870CF">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19.1 本项目不收取投标保证金。</w:t>
      </w:r>
    </w:p>
    <w:p w14:paraId="049BA8DD">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20.投标文件的式样和签署</w:t>
      </w:r>
    </w:p>
    <w:p w14:paraId="47527EF4">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20.1 </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应按招标文件规定的格式和顺序制作投标文件。除了投标文件封面以外，每个页面应在明显位置编制页码总页码，目录应由</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代表签字，按流水顺序填写，字迹必须清晰可认，投标文件的目录应编序，否则视为不响应。投标文件内容不完整、编排混乱导致被误读、漏读或者查 找不到相关内容的，由</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负责。</w:t>
      </w:r>
    </w:p>
    <w:p w14:paraId="271A5896">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20.2投标文件（.zmdtf格式）是根据“驻马店市公共资源交易中心电子交易平台”下载的电子招标文件，制作生成的加密版投标文件。</w:t>
      </w:r>
    </w:p>
    <w:p w14:paraId="446D54D7">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20.3 </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 xml:space="preserve">应提交证明其拟供服务货物符合招标文件要求的技术响应文件，该文件可以是文字资料、图纸和数据，并须提供货物主要技术性能的详细描述。  </w:t>
      </w:r>
    </w:p>
    <w:p w14:paraId="3A1EF71B">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20.4</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在编制电子投标文件时，根据招标文件的要求用法人CA秘钥和企业CA秘钥进行签章制作。生成电子投标文件时，只能用本单位的企业CA秘钥。生成后的电子投标文件须按招标文件的格式要求完成电子签字或盖章。“开标一览表”报价将作为电子开标的唱标依据。</w:t>
      </w:r>
    </w:p>
    <w:p w14:paraId="7AF21C3C">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20.5不接受电报、电传和传真的投标文件。</w:t>
      </w:r>
    </w:p>
    <w:p w14:paraId="785191BC">
      <w:pPr>
        <w:widowControl/>
        <w:adjustRightInd w:val="0"/>
        <w:snapToGrid w:val="0"/>
        <w:spacing w:line="360" w:lineRule="auto"/>
        <w:ind w:firstLine="480" w:firstLineChars="200"/>
        <w:jc w:val="left"/>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rPr>
        <w:t xml:space="preserve">20.6 </w:t>
      </w:r>
      <w:r>
        <w:rPr>
          <w:rFonts w:hint="eastAsia" w:ascii="宋体" w:hAnsi="宋体" w:eastAsia="宋体" w:cs="宋体"/>
          <w:bCs/>
          <w:snapToGrid w:val="0"/>
          <w:color w:val="auto"/>
          <w:sz w:val="24"/>
          <w:highlight w:val="none"/>
          <w:lang w:bidi="ar"/>
        </w:rPr>
        <w:t xml:space="preserve">全套投标文件应无涂改和行间插字，除非这些改动是为改正投标人造成的必须修改的错误而进行的。有改动时，修改处应由投标人代表签署证明或加盖公章，但非投标人出具的材料，投标人改动无效。未按本须知规定的格式填写投标文件或投标文件字迹模糊不清或开标一览表报价处未经法定代表人及委托代理人签字并加盖公章，导致评标委员无法认定是否实质性响应招标文件的,其投标将被作为无效投标。 </w:t>
      </w:r>
    </w:p>
    <w:p w14:paraId="0F5B2BF9">
      <w:pPr>
        <w:widowControl/>
        <w:adjustRightInd w:val="0"/>
        <w:snapToGrid w:val="0"/>
        <w:spacing w:line="360" w:lineRule="auto"/>
        <w:ind w:firstLine="480"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20.7 电子投标文件制作流程。可参考驻马店市公共资源交易中心官方网站的下载中心板块的视频（http://ggzy.zhumadian.gov.cn/TPFront/InfoDetail/?InfoID=844e0ea7-2b6c-425d-99f6-91bd5b500e5e&amp;CategoryNum=026002）</w:t>
      </w:r>
    </w:p>
    <w:p w14:paraId="2A7F6CE4">
      <w:pPr>
        <w:widowControl/>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四  投标文件的上传、递交</w:t>
      </w:r>
    </w:p>
    <w:p w14:paraId="19251FD8">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21.投标文件的加密、标记</w:t>
      </w:r>
    </w:p>
    <w:p w14:paraId="056C27D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应在投标截止时间前上传加密的电子投标文件（.zmdtf格式）。</w:t>
      </w:r>
    </w:p>
    <w:p w14:paraId="78F5111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因</w:t>
      </w:r>
      <w:r>
        <w:rPr>
          <w:rFonts w:hint="eastAsia" w:ascii="宋体" w:hAnsi="宋体" w:eastAsia="宋体" w:cs="宋体"/>
          <w:color w:val="auto"/>
          <w:kern w:val="0"/>
          <w:sz w:val="24"/>
          <w:szCs w:val="24"/>
          <w:highlight w:val="none"/>
        </w:rPr>
        <w:t>驻马店市公共资源交易中心电子交易平台投标系统</w:t>
      </w:r>
      <w:r>
        <w:rPr>
          <w:rFonts w:hint="eastAsia" w:ascii="宋体" w:hAnsi="宋体" w:eastAsia="宋体" w:cs="宋体"/>
          <w:color w:val="auto"/>
          <w:sz w:val="24"/>
          <w:szCs w:val="24"/>
          <w:highlight w:val="none"/>
        </w:rPr>
        <w:t>出现问题无法上传电子投标文件时，请与江苏国泰新点软件有限公司联系，联系电话：0396-2613088</w:t>
      </w:r>
    </w:p>
    <w:p w14:paraId="5A7389AD">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22.投标文件的上传、递交</w:t>
      </w:r>
    </w:p>
    <w:p w14:paraId="2496BD7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应在招标公告中规定的投标截止时间前将制作好的电子投标文件加密上传至驻马店市公共资源交易中心电子交易平台，</w:t>
      </w:r>
      <w:r>
        <w:rPr>
          <w:rFonts w:hint="eastAsia" w:ascii="宋体" w:hAnsi="宋体" w:eastAsia="宋体" w:cs="宋体"/>
          <w:b/>
          <w:color w:val="auto"/>
          <w:sz w:val="24"/>
          <w:szCs w:val="24"/>
          <w:highlight w:val="none"/>
        </w:rPr>
        <w:t>逾期上传其投标将被拒绝。</w:t>
      </w:r>
    </w:p>
    <w:p w14:paraId="764EBC84">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23.投标文件的修改和撤回</w:t>
      </w:r>
    </w:p>
    <w:p w14:paraId="07FCB1C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23.1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在投标截止时间前，可以对所提交的投标文件进行补充、修改或者撤回，并书面通知</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。补充、修改的内容和撤回通知应当按本须知要求签署、盖章、加密，并作为投标文件的组成部分。</w:t>
      </w:r>
    </w:p>
    <w:p w14:paraId="1990822D">
      <w:pPr>
        <w:adjustRightInd w:val="0"/>
        <w:snapToGrid w:val="0"/>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 xml:space="preserve">23.2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在投标截止时间后不得修改、撤回投标文件。</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在投标截止时间后修改投标文件的，其投标将被拒绝。</w:t>
      </w:r>
      <w:r>
        <w:rPr>
          <w:rFonts w:hint="eastAsia" w:ascii="宋体" w:hAnsi="宋体" w:eastAsia="宋体" w:cs="宋体"/>
          <w:b/>
          <w:color w:val="auto"/>
          <w:kern w:val="0"/>
          <w:sz w:val="24"/>
          <w:szCs w:val="24"/>
          <w:highlight w:val="none"/>
        </w:rPr>
        <w:t xml:space="preserve"> </w:t>
      </w:r>
    </w:p>
    <w:p w14:paraId="0C9A25BC">
      <w:pPr>
        <w:widowControl/>
        <w:adjustRightInd w:val="0"/>
        <w:snapToGrid w:val="0"/>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五   开标 </w:t>
      </w:r>
    </w:p>
    <w:p w14:paraId="090DDC4C">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24.开标、唱标</w:t>
      </w:r>
    </w:p>
    <w:p w14:paraId="780B3E8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24.1 在招标公告中规定的时间、地点开标。</w:t>
      </w:r>
    </w:p>
    <w:p w14:paraId="77FF898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24.2 开标由</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主持，</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和有关方面代表参加。</w:t>
      </w:r>
    </w:p>
    <w:p w14:paraId="447C2C0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24.3开标时，首先，各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应在规定时间内对本单位的加密投标文件进行解密，然后代理机构工作人员对所有投标文件进行解密。如</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自身原因解密失败，其投标将被拒绝。</w:t>
      </w:r>
    </w:p>
    <w:p w14:paraId="32A4787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24.4 解密完成后，系统将自动唱标，公布各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开标一览表的内容。</w:t>
      </w:r>
    </w:p>
    <w:p w14:paraId="02C0C9C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24.5 </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对唱标内容做开标记录，由</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共同签字确认。</w:t>
      </w:r>
    </w:p>
    <w:p w14:paraId="4A0C0CB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24.6</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在投标时有下列情形之一的，</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将拒绝接受其投标文件：</w:t>
      </w:r>
    </w:p>
    <w:p w14:paraId="0CA8A55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24.6.1 在招标文件规定的投标截止时间之后投标的。</w:t>
      </w:r>
    </w:p>
    <w:p w14:paraId="67BCF41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24.6.2 投标文件未按招标文件规定加密的。</w:t>
      </w:r>
    </w:p>
    <w:p w14:paraId="77B9949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24.6.3 未进行网上下载领取招标文件参加投标的。</w:t>
      </w:r>
    </w:p>
    <w:p w14:paraId="47312C6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24.6.4 未提交投标保证金的（若收取）。</w:t>
      </w:r>
    </w:p>
    <w:p w14:paraId="3AD79BBF">
      <w:pPr>
        <w:adjustRightInd w:val="0"/>
        <w:snapToGrid w:val="0"/>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24.6.5 一个</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不只递交一套投标文件的。</w:t>
      </w:r>
      <w:r>
        <w:rPr>
          <w:rFonts w:hint="eastAsia" w:ascii="宋体" w:hAnsi="宋体" w:eastAsia="宋体" w:cs="宋体"/>
          <w:b/>
          <w:color w:val="auto"/>
          <w:kern w:val="0"/>
          <w:sz w:val="24"/>
          <w:szCs w:val="24"/>
          <w:highlight w:val="none"/>
        </w:rPr>
        <w:t xml:space="preserve"> </w:t>
      </w:r>
    </w:p>
    <w:p w14:paraId="7BC50BD8">
      <w:pPr>
        <w:widowControl/>
        <w:adjustRightInd w:val="0"/>
        <w:snapToGrid w:val="0"/>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六   评标 </w:t>
      </w:r>
    </w:p>
    <w:p w14:paraId="0F60D4DF">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25.组建评标委员会</w:t>
      </w:r>
    </w:p>
    <w:p w14:paraId="5D389F79">
      <w:pPr>
        <w:widowControl/>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25.1评标委员会由招标人依法组建，由</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人组成（</w:t>
      </w:r>
      <w:r>
        <w:rPr>
          <w:rFonts w:hint="eastAsia" w:ascii="宋体" w:hAnsi="宋体" w:eastAsia="宋体" w:cs="宋体"/>
          <w:color w:val="auto"/>
          <w:sz w:val="24"/>
          <w:szCs w:val="24"/>
          <w:highlight w:val="none"/>
          <w:lang w:eastAsia="zh-CN"/>
        </w:rPr>
        <w:t>其中</w:t>
      </w:r>
      <w:r>
        <w:rPr>
          <w:rFonts w:hint="eastAsia" w:ascii="宋体" w:hAnsi="宋体" w:eastAsia="宋体" w:cs="宋体"/>
          <w:color w:val="auto"/>
          <w:sz w:val="24"/>
          <w:szCs w:val="24"/>
          <w:highlight w:val="none"/>
        </w:rPr>
        <w:t>经济类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人（具有注册造价师资格），技术类</w:t>
      </w:r>
      <w:r>
        <w:rPr>
          <w:rFonts w:hint="eastAsia" w:ascii="宋体" w:hAnsi="宋体" w:eastAsia="宋体" w:cs="宋体"/>
          <w:color w:val="auto"/>
          <w:sz w:val="24"/>
          <w:szCs w:val="24"/>
          <w:highlight w:val="none"/>
          <w:u w:val="single"/>
          <w:lang w:val="en-US" w:eastAsia="zh-CN"/>
        </w:rPr>
        <w:t xml:space="preserve"> 4</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eastAsia="zh-CN"/>
        </w:rPr>
        <w:t>其中</w:t>
      </w:r>
      <w:r>
        <w:rPr>
          <w:rFonts w:hint="eastAsia" w:ascii="宋体" w:hAnsi="宋体" w:eastAsia="宋体" w:cs="宋体"/>
          <w:color w:val="auto"/>
          <w:sz w:val="24"/>
          <w:szCs w:val="24"/>
          <w:highlight w:val="none"/>
        </w:rPr>
        <w:t>招标人代表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招标人代表应由具有评标专家相应或者类似条件的人员担任，或招标人从河南省综合专家库确定评标专家作为招标人代表）；开标时在监督部门的监督下从《河南省综合专家库》中采用电脑随机抽签方式确定,负责评标活动。</w:t>
      </w:r>
    </w:p>
    <w:p w14:paraId="1BCBD4DB">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25.2评标委员会成员要依法独立评审，并对评审意见承担个人责任。评审委员会成员对需要共同认定的事项存在争议的，按照少数服从多数的原则做出结论。持不同意见的评审委员会成员应当在评审报告上签署不同意见并说明理由，否则视为同意。</w:t>
      </w:r>
    </w:p>
    <w:p w14:paraId="4BD37DD3">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26.投标文件的初审</w:t>
      </w:r>
    </w:p>
    <w:p w14:paraId="2741CE7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26.1对所有</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的评估，都采用相同的程序和标准。评标过程将严格按照招标文件的要求和条件进行。</w:t>
      </w:r>
    </w:p>
    <w:p w14:paraId="5D335EF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26.2 评标委员会将对投标文件进行检查，以确定投标文件是否完整、有无计算上的错误、文件是否已正确签署等。</w:t>
      </w:r>
    </w:p>
    <w:p w14:paraId="1B6C441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26.3 投标文件报价出现前后不一致的，除招标文件另有规定外，修正错误的原则如下：</w:t>
      </w:r>
    </w:p>
    <w:p w14:paraId="1FB0BE4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26.3.1 投标文件开标一览表（报价表）的内容与投标文件中相应内容不一致的，以开标一览表（报价表）为准。</w:t>
      </w:r>
    </w:p>
    <w:p w14:paraId="3EF94BE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26.3.2 大写金额与小写金额不一致的，以大写金额为准。</w:t>
      </w:r>
    </w:p>
    <w:p w14:paraId="7E45D75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26.3.3单价金额小数点或者百分比有明显错位的，以开标一览表的总价为准，并修改单价；</w:t>
      </w:r>
    </w:p>
    <w:p w14:paraId="4B122A3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26.3.4总价金额与按单价汇总金额不一致的，以单价金额计算结果为准。</w:t>
      </w:r>
    </w:p>
    <w:p w14:paraId="21F8EFF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26.3.5对不同文字文本投标文件的解释发生异议的，以中文文本为准。</w:t>
      </w:r>
    </w:p>
    <w:p w14:paraId="18CA830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同时出现两种以上不一致的，按照前款规定的顺序修正。修正后的报价按照财政部87号令第五十一条第二款的规定经</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确认后产生约束力，</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不确认的，其投标无效。</w:t>
      </w:r>
    </w:p>
    <w:p w14:paraId="0F9B636B">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26.4 资格性检查和符合性检查。</w:t>
      </w:r>
    </w:p>
    <w:p w14:paraId="5E2B12E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26.4.1资格性检查。依据法规政策和招标文件的规定，在对投标文件详细评估之前，</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将依据</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提交的投标文件按</w:t>
      </w:r>
      <w:r>
        <w:rPr>
          <w:rFonts w:hint="eastAsia" w:ascii="宋体" w:hAnsi="宋体" w:eastAsia="宋体" w:cs="宋体"/>
          <w:color w:val="auto"/>
          <w:kern w:val="0"/>
          <w:sz w:val="24"/>
          <w:szCs w:val="24"/>
          <w:highlight w:val="none"/>
        </w:rPr>
        <w:t>招标文件第一章招标公告第二项和招标文件第三章(一）说明4.</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应提交的证明文件所述的资格标准对</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进行资格审查,以确定其是否具备投标资格。如果</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不具备投标资格、不满足招标文件所规定的资格标准或提供资格证明文件不全,其投标将被作为无效投标。</w:t>
      </w:r>
    </w:p>
    <w:p w14:paraId="1D357AA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26.4.2 资格审查后合格的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不足3家的，不得评标。</w:t>
      </w:r>
    </w:p>
    <w:p w14:paraId="6898A4B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26.4.3符合性检查。依据招标文件的规定，评标委员会将从投标文件的有效性、完整性和对招标文件的响应程度进行审查，以确定是否符合对招标文件的实质性要求作出响应（</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可根据具体项目的情况对实质性要求作特别的具体规定）。实质性偏离是指：（1）实质性影响合同的范围、质量和履行。（2）实质性违背招标文件，限制了</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的权利。（3）不公正地影响了其它作出实质性响应的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的竞争地位。对没有实质性响应的投标文件将不进行评估，其投标被作为无效投标。凡有下列情况之一者，投标文件也将被视为未实质性响应招标文件要求：</w:t>
      </w:r>
    </w:p>
    <w:p w14:paraId="57C519E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(1)投标文件未按规定签字、盖章的。</w:t>
      </w:r>
    </w:p>
    <w:p w14:paraId="499F0DD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代表未能出具有效身份证明，或与身份不符的。</w:t>
      </w:r>
    </w:p>
    <w:p w14:paraId="581BD1E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(3)投标有效期、交货期等不满足招标文件要求的。</w:t>
      </w:r>
    </w:p>
    <w:p w14:paraId="5A747E6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)未按招标文件规定报价的。</w:t>
      </w:r>
    </w:p>
    <w:p w14:paraId="107F043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)未按招标文件提供的格式填列、项目不齐全或内容虚假的。</w:t>
      </w:r>
    </w:p>
    <w:p w14:paraId="1569A65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)投标文件的实质性内容未使用中文表述，或意思表述不明确，或前后矛盾，或使用计量单位不符合招标文件要求的（经评标委员会认定允许其当场更正的笔误除外）。</w:t>
      </w:r>
    </w:p>
    <w:p w14:paraId="777B8FE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）投标文件的关键内容字迹模糊、无法辨认,或投标文件中经修正的内容字迹模糊无法辩认，或修改处未按规定签名盖章的。</w:t>
      </w:r>
    </w:p>
    <w:p w14:paraId="215EDBD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）不符合招标文件中规定的其它实质性条款。评标委员会决定投标的响应性只根据投标文件本身的内容，而不寻求其他的外部证据。</w:t>
      </w:r>
    </w:p>
    <w:p w14:paraId="50B45B9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26.4.4对资格性检查和符合性检查不合格的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，将通过驻马店市公共资源交易不见面开评标系统网上实时告知其理由。</w:t>
      </w:r>
    </w:p>
    <w:p w14:paraId="79EDF10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26.5 在评审过程中，评标委员会发现</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有下列情形之一的，视为</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相互串通投标，其投标无效：</w:t>
      </w:r>
    </w:p>
    <w:p w14:paraId="06690D8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26.5.1不同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的投标文件异常一致或者投标报价呈规律性差异的。</w:t>
      </w:r>
    </w:p>
    <w:p w14:paraId="7AF9E1D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26.5.2不同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的投标文件由同一单位或者个人编制；</w:t>
      </w:r>
    </w:p>
    <w:p w14:paraId="2788FF3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26.5.3不同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委托同一单位或者个人办理投标事宜；</w:t>
      </w:r>
    </w:p>
    <w:p w14:paraId="4903399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26.5.4不同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的投标文件载明的项目管理成员或者联系人员为同一人；　　</w:t>
      </w:r>
    </w:p>
    <w:p w14:paraId="2606BB2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26.5.5不同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的投标文件相互混装；</w:t>
      </w:r>
    </w:p>
    <w:p w14:paraId="6AEB9BC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26.5.6不同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的投标保证金从同一单位或者个人的账户转出（若收取）。</w:t>
      </w:r>
    </w:p>
    <w:p w14:paraId="698EC1A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26.5.7 有证据证明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串通投标的其他情形的。</w:t>
      </w:r>
    </w:p>
    <w:p w14:paraId="182B20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26.5.8 评标委员会认定的其他串通投标情形。</w:t>
      </w:r>
    </w:p>
    <w:p w14:paraId="089AF123">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27.投标文件的澄清</w:t>
      </w:r>
    </w:p>
    <w:p w14:paraId="78DBA7A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对投标文件中含义不明确、同类问题表述不一致或者有明显文字和计算错误的内容，评标委员会可以书面形式通过驻马店市公共资源交易中心电子交易平台不见面交易系统远程要求</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作出必要的澄清。</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的澄清应当在评标委员会规定的时间内通过驻马店市公共资源交易中心电子交易平台不见面交易系统远程以书面形式作出，由其</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代表签字。但澄清事项不得超出投标文件的范围，不得实质性改变投标文件的内容，不得通过澄清等方式对</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实行差别对待。评标委员会不得接受</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主动提出的澄清和解释。</w:t>
      </w:r>
    </w:p>
    <w:p w14:paraId="7A621EE1">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28.比较与评价</w:t>
      </w:r>
    </w:p>
    <w:p w14:paraId="3827865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28.1 评标委员会将按本招标文件规定的评标方法与标准，对资格性检查和符合性检查合格的投标文件进行商务和技术评估，综合比较与评价。</w:t>
      </w:r>
    </w:p>
    <w:p w14:paraId="7946B6D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28.2 对漏（缺）报项的处理：招标文件中要求列入报价的费用（含配置、功能），漏（缺）报的视同已含在投标总价中。但在评标时取有效</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该项最高报价加入评标价进行评标。对多报项及赠送项的价格评标时不予核减，全部进入评标价评议。</w:t>
      </w:r>
    </w:p>
    <w:p w14:paraId="1ED2A51E">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28.3评标委员会认为</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的报价明显低于其他通过符合性审查</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的报价，有可能影响产品质量或者不能诚信履约的，应当要求其通过驻马店市公共资源交易中心电子交易平台不见面交易系统在合理的时间内提供书面说明，必要时提交相关证明材料；</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不能证明其报价合理性的，评标委员会应当将其作为无效投标处理。</w:t>
      </w:r>
    </w:p>
    <w:p w14:paraId="65FECDF9">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29.评标过程及保密原则</w:t>
      </w:r>
    </w:p>
    <w:p w14:paraId="7971278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29.1 凡与本次招标有关人员对属于审查、澄清、评价和比较投标的有关资料以及定标意向等，均不得向</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或其他人员透露。否则,将按有关规定追究相关人员的责任。</w:t>
      </w:r>
    </w:p>
    <w:p w14:paraId="28A5515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29.2 在评标期间，</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试图影响或干预评审的任何行为，将导致其投标被作为无效投标，并承担相应的法律责任。</w:t>
      </w:r>
    </w:p>
    <w:p w14:paraId="080B3F51">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30.评标异议登记</w:t>
      </w:r>
    </w:p>
    <w:p w14:paraId="14C79BD4">
      <w:pPr>
        <w:adjustRightInd w:val="0"/>
        <w:snapToGrid w:val="0"/>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工作人员对评审专家等相关人员在评审过程中发现、提出的异议进行逐项登记。</w:t>
      </w:r>
    </w:p>
    <w:p w14:paraId="4CCD1F9B">
      <w:pPr>
        <w:widowControl/>
        <w:adjustRightInd w:val="0"/>
        <w:snapToGrid w:val="0"/>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七   定标 </w:t>
      </w:r>
    </w:p>
    <w:p w14:paraId="19388767">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31.定标原则</w:t>
      </w:r>
    </w:p>
    <w:p w14:paraId="3A09E95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 最低投标价不作为中标的保证。</w:t>
      </w:r>
    </w:p>
    <w:p w14:paraId="039523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 确定实质上响应招标文件且满足下列条件的为中标候选人（或中标人）：</w:t>
      </w:r>
    </w:p>
    <w:p w14:paraId="1401FAE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综合评分法，是指投标文件满足招标文件全部实质性要求，且按照评审因素的量化指标评审得分最高的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为中标候选人（或中标人）的评标方法。</w:t>
      </w:r>
    </w:p>
    <w:p w14:paraId="1B5FB242">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color w:val="auto"/>
          <w:sz w:val="24"/>
          <w:szCs w:val="24"/>
          <w:highlight w:val="none"/>
        </w:rPr>
        <w:t>本次评标采用综合评</w:t>
      </w:r>
      <w:r>
        <w:rPr>
          <w:rFonts w:hint="eastAsia" w:ascii="宋体" w:hAnsi="宋体" w:eastAsia="宋体" w:cs="宋体"/>
          <w:color w:val="auto"/>
          <w:sz w:val="24"/>
          <w:szCs w:val="24"/>
          <w:highlight w:val="none"/>
          <w:lang w:eastAsia="zh-CN"/>
        </w:rPr>
        <w:t>分</w:t>
      </w:r>
      <w:r>
        <w:rPr>
          <w:rFonts w:hint="eastAsia" w:ascii="宋体" w:hAnsi="宋体" w:eastAsia="宋体" w:cs="宋体"/>
          <w:color w:val="auto"/>
          <w:sz w:val="24"/>
          <w:szCs w:val="24"/>
          <w:highlight w:val="none"/>
        </w:rPr>
        <w:t>法。评标委员会对满足招标文件实质性要求的投标文件，并从初步评审和详细评审（综合标、技术标、商务标评审）全部通过的投标人中，按照投标人最终得分，由大到小的排序，推荐3名中标候选人，如合格投标人不足3家，据实推荐。若最终得分也相等的，招标人从最终得分相等的投标企业中现场确定中标候选人。</w:t>
      </w:r>
    </w:p>
    <w:p w14:paraId="51C80D5B">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32.确定中标人</w:t>
      </w:r>
    </w:p>
    <w:p w14:paraId="0C84B49E">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本项目由</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授权评标委员会</w:t>
      </w:r>
      <w:r>
        <w:rPr>
          <w:rFonts w:hint="eastAsia" w:ascii="宋体" w:hAnsi="宋体" w:eastAsia="宋体" w:cs="宋体"/>
          <w:b w:val="0"/>
          <w:bCs w:val="0"/>
          <w:color w:val="auto"/>
          <w:sz w:val="24"/>
          <w:highlight w:val="none"/>
        </w:rPr>
        <w:t>推荐3名中标候选人</w:t>
      </w:r>
      <w:r>
        <w:rPr>
          <w:rFonts w:hint="eastAsia" w:ascii="宋体" w:hAnsi="宋体" w:eastAsia="宋体" w:cs="宋体"/>
          <w:b w:val="0"/>
          <w:bCs w:val="0"/>
          <w:color w:val="auto"/>
          <w:sz w:val="24"/>
          <w:highlight w:val="none"/>
          <w:lang w:eastAsia="zh-CN"/>
        </w:rPr>
        <w:t>。</w:t>
      </w:r>
    </w:p>
    <w:p w14:paraId="6ADC6506">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33.中标通知书及中标公告</w:t>
      </w:r>
    </w:p>
    <w:p w14:paraId="6A17E9A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 招标人在收到评标报告3日内，</w:t>
      </w:r>
      <w:r>
        <w:rPr>
          <w:rFonts w:hint="eastAsia" w:ascii="宋体" w:hAnsi="宋体" w:eastAsia="宋体" w:cs="宋体"/>
          <w:color w:val="auto"/>
          <w:sz w:val="24"/>
          <w:szCs w:val="24"/>
          <w:highlight w:val="none"/>
          <w:lang w:eastAsia="zh-CN"/>
        </w:rPr>
        <w:t>代理机构在招标文件</w:t>
      </w:r>
      <w:r>
        <w:rPr>
          <w:rFonts w:hint="eastAsia" w:ascii="宋体" w:hAnsi="宋体" w:eastAsia="宋体" w:cs="宋体"/>
          <w:color w:val="auto"/>
          <w:sz w:val="24"/>
          <w:szCs w:val="24"/>
          <w:highlight w:val="none"/>
        </w:rPr>
        <w:t>规定的公示媒介和期限公示中标候选人，公示期不少于3日。中标公示期间，招标人有权对中标候选人进行现场考察，如发现在投标时有弄虚作假情况的，取消中标人的中标资格，递补第二中标候选人为中标人</w:t>
      </w:r>
      <w:r>
        <w:rPr>
          <w:rFonts w:hint="eastAsia" w:ascii="宋体" w:hAnsi="宋体" w:eastAsia="宋体" w:cs="宋体"/>
          <w:color w:val="auto"/>
          <w:sz w:val="24"/>
          <w:szCs w:val="24"/>
          <w:highlight w:val="none"/>
          <w:lang w:eastAsia="zh-CN"/>
        </w:rPr>
        <w:t>，以此类推，如符合重新招标的法规规定，可以依法重新招标。</w:t>
      </w:r>
    </w:p>
    <w:p w14:paraId="197EE15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 中标人在规定的时间内不领取中标通知书的，视为中标后自动放弃中标资格；中标人在有效报价中报价最低,非不可抗力放弃中标资格的。发生上述情况的承担由此引起的一切后果。</w:t>
      </w:r>
    </w:p>
    <w:p w14:paraId="60706C5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33.3 中标通知书对</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和中标人具有同等法律效力。中标通知书发出后，</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改变中标结果，或者中标人放弃中标，应按相关法律、规章、规范性文件的要求承担相应的法律责任。</w:t>
      </w:r>
    </w:p>
    <w:p w14:paraId="57C2A6F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33.4 中标通知书将作为签订合同的依据。合同签订后，中标通知书成为合同的一部分。</w:t>
      </w:r>
    </w:p>
    <w:p w14:paraId="25959DB4">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34</w:t>
      </w:r>
      <w:r>
        <w:rPr>
          <w:rFonts w:hint="eastAsia" w:ascii="宋体" w:hAnsi="宋体" w:eastAsia="宋体" w:cs="宋体"/>
          <w:b/>
          <w:color w:val="auto"/>
          <w:sz w:val="24"/>
          <w:szCs w:val="24"/>
          <w:highlight w:val="none"/>
          <w:lang w:eastAsia="zh-CN"/>
        </w:rPr>
        <w:t>代理机构</w:t>
      </w:r>
      <w:r>
        <w:rPr>
          <w:rFonts w:hint="eastAsia" w:ascii="宋体" w:hAnsi="宋体" w:eastAsia="宋体" w:cs="宋体"/>
          <w:b/>
          <w:color w:val="auto"/>
          <w:sz w:val="24"/>
          <w:szCs w:val="24"/>
          <w:highlight w:val="none"/>
        </w:rPr>
        <w:t>宣布废标的权利</w:t>
      </w:r>
    </w:p>
    <w:p w14:paraId="06CE94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 出现下列情况之一时，</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有权宣布废标，并将理由通知所有</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w:t>
      </w:r>
    </w:p>
    <w:p w14:paraId="13E454D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34.1.1出现影响采购公正的违法、违规行为的。</w:t>
      </w:r>
    </w:p>
    <w:p w14:paraId="6C91370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34.1.2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的报价均超过了</w:t>
      </w:r>
      <w:r>
        <w:rPr>
          <w:rFonts w:hint="eastAsia" w:ascii="宋体" w:hAnsi="宋体" w:eastAsia="宋体" w:cs="宋体"/>
          <w:color w:val="auto"/>
          <w:sz w:val="24"/>
          <w:szCs w:val="24"/>
          <w:highlight w:val="none"/>
          <w:lang w:eastAsia="zh-CN"/>
        </w:rPr>
        <w:t>采购预算</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不能支付的。</w:t>
      </w:r>
    </w:p>
    <w:p w14:paraId="50FC2BA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34.1.3 因重大变故，采购任务取消的。</w:t>
      </w:r>
    </w:p>
    <w:p w14:paraId="6F53723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 投标截止时间后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不足3家或通过资格性检查或符合性检查的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不足3家的，除采购任务取消情形外，按照以下方式处理：</w:t>
      </w:r>
    </w:p>
    <w:p w14:paraId="726A12F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（1）招标文件存在不合理条款或者招标程序不符合规定的，</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代理机构</w:t>
      </w:r>
      <w:r>
        <w:rPr>
          <w:rFonts w:hint="eastAsia" w:ascii="宋体" w:hAnsi="宋体" w:eastAsia="宋体" w:cs="宋体"/>
          <w:color w:val="auto"/>
          <w:sz w:val="24"/>
          <w:szCs w:val="24"/>
          <w:highlight w:val="none"/>
        </w:rPr>
        <w:t>改正后依法重新招标；　</w:t>
      </w:r>
    </w:p>
    <w:p w14:paraId="5BDF401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（2）招标文件没有不合理条款、招标程序符合规定，需要采用其他采购方式采购的，</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应当依法报财政部门批准。</w:t>
      </w:r>
    </w:p>
    <w:p w14:paraId="4B23C25D">
      <w:pPr>
        <w:pStyle w:val="2"/>
        <w:rPr>
          <w:rFonts w:hint="eastAsia" w:ascii="宋体" w:hAnsi="宋体" w:eastAsia="宋体" w:cs="宋体"/>
          <w:highlight w:val="none"/>
        </w:rPr>
      </w:pPr>
    </w:p>
    <w:p w14:paraId="450BE1AB">
      <w:pPr>
        <w:widowControl/>
        <w:adjustRightInd w:val="0"/>
        <w:snapToGrid w:val="0"/>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八   合同授予</w:t>
      </w:r>
    </w:p>
    <w:p w14:paraId="6CB53473">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35.合同签订</w:t>
      </w:r>
    </w:p>
    <w:p w14:paraId="0895275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35.1 </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、中标人自中标通知书发出之日起</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rPr>
        <w:t>内，根据招标文件确定的事项和中标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投标文件签订合同。双方所签订的合同不得对招标文件和中标人投标文件作实质性修改。</w:t>
      </w:r>
    </w:p>
    <w:p w14:paraId="7238819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35.2 招标文件、招标文件的修改文件、中标人的投标文件、补充或修改的文件及澄清或承诺文件等，均为双方签订合同的组成部分，并与合同一并作为本招标文件所列采购项目的互补性法律文件，与合同具有同等法律效力。</w:t>
      </w:r>
    </w:p>
    <w:p w14:paraId="2DDE1AC5">
      <w:pPr>
        <w:pStyle w:val="2"/>
        <w:rPr>
          <w:rFonts w:hint="eastAsia" w:ascii="宋体" w:hAnsi="宋体" w:eastAsia="宋体" w:cs="宋体"/>
          <w:highlight w:val="none"/>
          <w:lang w:val="en-US" w:eastAsia="zh-CN"/>
        </w:rPr>
      </w:pPr>
    </w:p>
    <w:p w14:paraId="24E2895D">
      <w:pPr>
        <w:widowControl/>
        <w:spacing w:line="360" w:lineRule="auto"/>
        <w:jc w:val="center"/>
        <w:rPr>
          <w:rFonts w:hint="eastAsia" w:ascii="宋体" w:hAnsi="宋体" w:eastAsia="宋体" w:cs="宋体"/>
          <w:b/>
          <w:color w:val="auto"/>
          <w:kern w:val="0"/>
          <w:sz w:val="32"/>
          <w:szCs w:val="32"/>
          <w:highlight w:val="none"/>
        </w:rPr>
      </w:pPr>
    </w:p>
    <w:p w14:paraId="2F3EC380">
      <w:pPr>
        <w:widowControl/>
        <w:spacing w:line="360" w:lineRule="auto"/>
        <w:jc w:val="center"/>
        <w:rPr>
          <w:rFonts w:hint="eastAsia" w:ascii="宋体" w:hAnsi="宋体" w:eastAsia="宋体" w:cs="宋体"/>
          <w:b/>
          <w:color w:val="auto"/>
          <w:kern w:val="0"/>
          <w:sz w:val="32"/>
          <w:szCs w:val="32"/>
          <w:highlight w:val="none"/>
        </w:rPr>
      </w:pPr>
    </w:p>
    <w:p w14:paraId="6F66B436">
      <w:pPr>
        <w:widowControl/>
        <w:spacing w:line="360" w:lineRule="auto"/>
        <w:jc w:val="center"/>
        <w:rPr>
          <w:rFonts w:hint="eastAsia" w:ascii="宋体" w:hAnsi="宋体" w:eastAsia="宋体" w:cs="宋体"/>
          <w:b/>
          <w:color w:val="auto"/>
          <w:kern w:val="0"/>
          <w:sz w:val="32"/>
          <w:szCs w:val="32"/>
          <w:highlight w:val="none"/>
        </w:rPr>
      </w:pPr>
    </w:p>
    <w:p w14:paraId="4F928F6D">
      <w:pPr>
        <w:widowControl/>
        <w:spacing w:line="360" w:lineRule="auto"/>
        <w:jc w:val="center"/>
        <w:rPr>
          <w:rFonts w:hint="eastAsia" w:ascii="宋体" w:hAnsi="宋体" w:eastAsia="宋体" w:cs="宋体"/>
          <w:b/>
          <w:color w:val="auto"/>
          <w:kern w:val="0"/>
          <w:sz w:val="32"/>
          <w:szCs w:val="32"/>
          <w:highlight w:val="none"/>
        </w:rPr>
      </w:pPr>
    </w:p>
    <w:p w14:paraId="1EBD36A2">
      <w:pPr>
        <w:widowControl/>
        <w:spacing w:line="360" w:lineRule="auto"/>
        <w:jc w:val="center"/>
        <w:rPr>
          <w:rFonts w:hint="eastAsia" w:ascii="宋体" w:hAnsi="宋体" w:eastAsia="宋体" w:cs="宋体"/>
          <w:b/>
          <w:color w:val="auto"/>
          <w:kern w:val="0"/>
          <w:sz w:val="32"/>
          <w:szCs w:val="32"/>
          <w:highlight w:val="none"/>
        </w:rPr>
      </w:pPr>
    </w:p>
    <w:p w14:paraId="5E898E98">
      <w:pPr>
        <w:widowControl/>
        <w:spacing w:line="360" w:lineRule="auto"/>
        <w:jc w:val="center"/>
        <w:rPr>
          <w:rFonts w:hint="eastAsia" w:ascii="宋体" w:hAnsi="宋体" w:eastAsia="宋体" w:cs="宋体"/>
          <w:b/>
          <w:color w:val="auto"/>
          <w:kern w:val="0"/>
          <w:sz w:val="32"/>
          <w:szCs w:val="32"/>
          <w:highlight w:val="none"/>
        </w:rPr>
      </w:pPr>
    </w:p>
    <w:p w14:paraId="794390A9">
      <w:pPr>
        <w:widowControl/>
        <w:spacing w:line="360" w:lineRule="auto"/>
        <w:jc w:val="center"/>
        <w:rPr>
          <w:rFonts w:hint="eastAsia" w:ascii="宋体" w:hAnsi="宋体" w:eastAsia="宋体" w:cs="宋体"/>
          <w:b/>
          <w:color w:val="auto"/>
          <w:kern w:val="0"/>
          <w:sz w:val="32"/>
          <w:szCs w:val="32"/>
          <w:highlight w:val="none"/>
        </w:rPr>
      </w:pPr>
    </w:p>
    <w:p w14:paraId="50614F8D">
      <w:pPr>
        <w:widowControl/>
        <w:spacing w:line="360" w:lineRule="auto"/>
        <w:jc w:val="center"/>
        <w:rPr>
          <w:rFonts w:hint="eastAsia" w:ascii="宋体" w:hAnsi="宋体" w:eastAsia="宋体" w:cs="宋体"/>
          <w:b/>
          <w:color w:val="auto"/>
          <w:kern w:val="0"/>
          <w:sz w:val="32"/>
          <w:szCs w:val="32"/>
          <w:highlight w:val="none"/>
        </w:rPr>
      </w:pPr>
    </w:p>
    <w:p w14:paraId="61C9F0F7">
      <w:pPr>
        <w:widowControl/>
        <w:spacing w:line="360" w:lineRule="auto"/>
        <w:jc w:val="center"/>
        <w:rPr>
          <w:rFonts w:hint="eastAsia" w:ascii="宋体" w:hAnsi="宋体" w:eastAsia="宋体" w:cs="宋体"/>
          <w:b/>
          <w:color w:val="auto"/>
          <w:kern w:val="0"/>
          <w:sz w:val="32"/>
          <w:szCs w:val="32"/>
          <w:highlight w:val="none"/>
        </w:rPr>
      </w:pPr>
    </w:p>
    <w:p w14:paraId="723A7C8F">
      <w:pPr>
        <w:widowControl/>
        <w:spacing w:line="360" w:lineRule="auto"/>
        <w:jc w:val="center"/>
        <w:rPr>
          <w:rFonts w:hint="eastAsia" w:ascii="宋体" w:hAnsi="宋体" w:eastAsia="宋体" w:cs="宋体"/>
          <w:b/>
          <w:color w:val="auto"/>
          <w:kern w:val="0"/>
          <w:sz w:val="32"/>
          <w:szCs w:val="32"/>
          <w:highlight w:val="none"/>
        </w:rPr>
      </w:pPr>
    </w:p>
    <w:p w14:paraId="428084DF">
      <w:pPr>
        <w:widowControl/>
        <w:spacing w:line="360" w:lineRule="auto"/>
        <w:jc w:val="center"/>
        <w:rPr>
          <w:rFonts w:hint="eastAsia" w:ascii="宋体" w:hAnsi="宋体" w:eastAsia="宋体" w:cs="宋体"/>
          <w:b/>
          <w:color w:val="auto"/>
          <w:kern w:val="0"/>
          <w:sz w:val="32"/>
          <w:szCs w:val="32"/>
          <w:highlight w:val="none"/>
        </w:rPr>
      </w:pPr>
    </w:p>
    <w:p w14:paraId="67F0AE2A">
      <w:pPr>
        <w:widowControl/>
        <w:spacing w:line="360" w:lineRule="auto"/>
        <w:jc w:val="center"/>
        <w:rPr>
          <w:rFonts w:hint="eastAsia" w:ascii="宋体" w:hAnsi="宋体" w:eastAsia="宋体" w:cs="宋体"/>
          <w:b/>
          <w:color w:val="auto"/>
          <w:kern w:val="0"/>
          <w:sz w:val="32"/>
          <w:szCs w:val="32"/>
          <w:highlight w:val="none"/>
        </w:rPr>
      </w:pPr>
    </w:p>
    <w:p w14:paraId="30BC5B8C">
      <w:pPr>
        <w:widowControl/>
        <w:spacing w:line="360" w:lineRule="auto"/>
        <w:jc w:val="center"/>
        <w:rPr>
          <w:rFonts w:hint="eastAsia" w:ascii="宋体" w:hAnsi="宋体" w:eastAsia="宋体" w:cs="宋体"/>
          <w:b/>
          <w:color w:val="auto"/>
          <w:kern w:val="0"/>
          <w:sz w:val="32"/>
          <w:szCs w:val="32"/>
          <w:highlight w:val="none"/>
        </w:rPr>
      </w:pPr>
    </w:p>
    <w:p w14:paraId="1F8FF230">
      <w:pPr>
        <w:widowControl/>
        <w:spacing w:line="360" w:lineRule="auto"/>
        <w:jc w:val="center"/>
        <w:rPr>
          <w:rFonts w:hint="eastAsia" w:ascii="宋体" w:hAnsi="宋体" w:eastAsia="宋体" w:cs="宋体"/>
          <w:b/>
          <w:color w:val="auto"/>
          <w:kern w:val="0"/>
          <w:sz w:val="32"/>
          <w:szCs w:val="32"/>
          <w:highlight w:val="none"/>
        </w:rPr>
      </w:pPr>
    </w:p>
    <w:p w14:paraId="1FE65651">
      <w:pPr>
        <w:widowControl/>
        <w:spacing w:line="360" w:lineRule="auto"/>
        <w:jc w:val="center"/>
        <w:rPr>
          <w:rFonts w:hint="eastAsia" w:ascii="宋体" w:hAnsi="宋体" w:eastAsia="宋体" w:cs="宋体"/>
          <w:b/>
          <w:color w:val="auto"/>
          <w:kern w:val="0"/>
          <w:sz w:val="32"/>
          <w:szCs w:val="32"/>
          <w:highlight w:val="none"/>
        </w:rPr>
      </w:pPr>
    </w:p>
    <w:p w14:paraId="442E8AA3">
      <w:pPr>
        <w:widowControl/>
        <w:spacing w:line="360" w:lineRule="auto"/>
        <w:jc w:val="center"/>
        <w:rPr>
          <w:rFonts w:hint="eastAsia" w:ascii="宋体" w:hAnsi="宋体" w:eastAsia="宋体" w:cs="宋体"/>
          <w:b/>
          <w:color w:val="auto"/>
          <w:kern w:val="0"/>
          <w:sz w:val="32"/>
          <w:szCs w:val="32"/>
          <w:highlight w:val="none"/>
        </w:rPr>
      </w:pPr>
    </w:p>
    <w:p w14:paraId="61FB3AE0">
      <w:pPr>
        <w:widowControl/>
        <w:spacing w:line="360" w:lineRule="auto"/>
        <w:jc w:val="center"/>
        <w:rPr>
          <w:rFonts w:hint="eastAsia" w:ascii="宋体" w:hAnsi="宋体" w:eastAsia="宋体" w:cs="宋体"/>
          <w:b/>
          <w:color w:val="auto"/>
          <w:kern w:val="0"/>
          <w:sz w:val="32"/>
          <w:szCs w:val="32"/>
          <w:highlight w:val="none"/>
        </w:rPr>
      </w:pPr>
    </w:p>
    <w:p w14:paraId="6AC2C628">
      <w:pPr>
        <w:widowControl/>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第四章  评标办法及评分标准</w:t>
      </w:r>
    </w:p>
    <w:p w14:paraId="407F61D4">
      <w:pPr>
        <w:widowControl/>
        <w:spacing w:line="360" w:lineRule="auto"/>
        <w:jc w:val="center"/>
        <w:rPr>
          <w:rFonts w:hint="eastAsia" w:ascii="宋体" w:hAnsi="宋体" w:eastAsia="宋体" w:cs="宋体"/>
          <w:b/>
          <w:color w:val="auto"/>
          <w:kern w:val="0"/>
          <w:sz w:val="24"/>
          <w:szCs w:val="24"/>
          <w:highlight w:val="none"/>
        </w:rPr>
      </w:pPr>
    </w:p>
    <w:p w14:paraId="79829B7D">
      <w:pPr>
        <w:widowControl/>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综合评分法</w:t>
      </w:r>
    </w:p>
    <w:p w14:paraId="1E607854">
      <w:pPr>
        <w:spacing w:line="360" w:lineRule="auto"/>
        <w:ind w:firstLine="482" w:firstLineChars="200"/>
        <w:rPr>
          <w:rFonts w:hint="eastAsia" w:ascii="宋体" w:hAnsi="宋体" w:eastAsia="宋体" w:cs="宋体"/>
          <w:b/>
          <w:color w:val="auto"/>
          <w:sz w:val="24"/>
          <w:szCs w:val="24"/>
          <w:highlight w:val="none"/>
        </w:rPr>
      </w:pPr>
    </w:p>
    <w:p w14:paraId="66F6E565">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一、总则</w:t>
      </w:r>
    </w:p>
    <w:p w14:paraId="1B09D15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本次评标采用综合评分法，总分为100分。排名第一的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为中标人（如果需要确定中标候选人，排名第二的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为中标候选供人，其他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中标候选资格依此类推）。评分过程中采用四舍五入法，保留小数2位。</w:t>
      </w:r>
    </w:p>
    <w:p w14:paraId="0C873AF1">
      <w:pPr>
        <w:spacing w:line="360" w:lineRule="auto"/>
        <w:ind w:firstLine="482" w:firstLineChars="200"/>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二、评标内容及标准</w:t>
      </w:r>
    </w:p>
    <w:tbl>
      <w:tblPr>
        <w:tblStyle w:val="48"/>
        <w:tblW w:w="9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2586"/>
        <w:gridCol w:w="4130"/>
        <w:gridCol w:w="1615"/>
      </w:tblGrid>
      <w:tr w14:paraId="6B5A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1425" w:type="dxa"/>
            <w:noWrap w:val="0"/>
            <w:vAlign w:val="center"/>
          </w:tcPr>
          <w:p w14:paraId="7622EEF2">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评标分值构成</w:t>
            </w:r>
          </w:p>
        </w:tc>
        <w:tc>
          <w:tcPr>
            <w:tcW w:w="2586" w:type="dxa"/>
            <w:noWrap w:val="0"/>
            <w:vAlign w:val="center"/>
          </w:tcPr>
          <w:p w14:paraId="164EEBB1">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满分（100分）</w:t>
            </w:r>
          </w:p>
        </w:tc>
        <w:tc>
          <w:tcPr>
            <w:tcW w:w="5745" w:type="dxa"/>
            <w:gridSpan w:val="2"/>
            <w:noWrap w:val="0"/>
            <w:vAlign w:val="center"/>
          </w:tcPr>
          <w:p w14:paraId="4DB276BF">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综合标：</w:t>
            </w:r>
            <w:r>
              <w:rPr>
                <w:rFonts w:hint="eastAsia" w:ascii="宋体" w:hAnsi="宋体" w:eastAsia="宋体" w:cs="宋体"/>
                <w:b w:val="0"/>
                <w:bCs w:val="0"/>
                <w:color w:val="auto"/>
                <w:sz w:val="24"/>
                <w:highlight w:val="none"/>
                <w:lang w:val="en-US" w:eastAsia="zh-CN"/>
              </w:rPr>
              <w:t>15</w:t>
            </w:r>
            <w:r>
              <w:rPr>
                <w:rFonts w:hint="eastAsia" w:ascii="宋体" w:hAnsi="宋体" w:eastAsia="宋体" w:cs="宋体"/>
                <w:b w:val="0"/>
                <w:bCs w:val="0"/>
                <w:color w:val="auto"/>
                <w:sz w:val="24"/>
                <w:highlight w:val="none"/>
              </w:rPr>
              <w:t>分；技术标：</w:t>
            </w:r>
            <w:r>
              <w:rPr>
                <w:rFonts w:hint="eastAsia" w:ascii="宋体" w:hAnsi="宋体" w:eastAsia="宋体" w:cs="宋体"/>
                <w:b w:val="0"/>
                <w:bCs w:val="0"/>
                <w:color w:val="auto"/>
                <w:sz w:val="24"/>
                <w:highlight w:val="none"/>
                <w:lang w:val="en-US" w:eastAsia="zh-CN"/>
              </w:rPr>
              <w:t>35</w:t>
            </w:r>
            <w:r>
              <w:rPr>
                <w:rFonts w:hint="eastAsia" w:ascii="宋体" w:hAnsi="宋体" w:eastAsia="宋体" w:cs="宋体"/>
                <w:b w:val="0"/>
                <w:bCs w:val="0"/>
                <w:color w:val="auto"/>
                <w:sz w:val="24"/>
                <w:highlight w:val="none"/>
              </w:rPr>
              <w:t>分；商务标：5</w:t>
            </w:r>
            <w:r>
              <w:rPr>
                <w:rFonts w:hint="eastAsia" w:ascii="宋体" w:hAnsi="宋体" w:eastAsia="宋体" w:cs="宋体"/>
                <w:b w:val="0"/>
                <w:bCs w:val="0"/>
                <w:color w:val="auto"/>
                <w:sz w:val="24"/>
                <w:highlight w:val="none"/>
                <w:lang w:val="en-US" w:eastAsia="zh-CN"/>
              </w:rPr>
              <w:t>0</w:t>
            </w:r>
            <w:r>
              <w:rPr>
                <w:rFonts w:hint="eastAsia" w:ascii="宋体" w:hAnsi="宋体" w:eastAsia="宋体" w:cs="宋体"/>
                <w:b w:val="0"/>
                <w:bCs w:val="0"/>
                <w:color w:val="auto"/>
                <w:sz w:val="24"/>
                <w:highlight w:val="none"/>
              </w:rPr>
              <w:t>分</w:t>
            </w:r>
          </w:p>
        </w:tc>
      </w:tr>
      <w:tr w14:paraId="5BBD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7" w:hRule="atLeast"/>
          <w:tblHeader/>
          <w:jc w:val="center"/>
        </w:trPr>
        <w:tc>
          <w:tcPr>
            <w:tcW w:w="1425" w:type="dxa"/>
            <w:noWrap w:val="0"/>
            <w:vAlign w:val="center"/>
          </w:tcPr>
          <w:p w14:paraId="4CFB196D">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条款号</w:t>
            </w:r>
          </w:p>
        </w:tc>
        <w:tc>
          <w:tcPr>
            <w:tcW w:w="2586" w:type="dxa"/>
            <w:noWrap w:val="0"/>
            <w:vAlign w:val="center"/>
          </w:tcPr>
          <w:p w14:paraId="4CD9D0E8">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评审因素</w:t>
            </w:r>
          </w:p>
        </w:tc>
        <w:tc>
          <w:tcPr>
            <w:tcW w:w="4130" w:type="dxa"/>
            <w:noWrap w:val="0"/>
            <w:vAlign w:val="center"/>
          </w:tcPr>
          <w:p w14:paraId="3561D664">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评审标准</w:t>
            </w:r>
          </w:p>
        </w:tc>
        <w:tc>
          <w:tcPr>
            <w:tcW w:w="1615" w:type="dxa"/>
            <w:noWrap w:val="0"/>
            <w:vAlign w:val="center"/>
          </w:tcPr>
          <w:p w14:paraId="0FEBA105">
            <w:pPr>
              <w:wordWrap w:val="0"/>
              <w:spacing w:line="460" w:lineRule="exac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评审计分</w:t>
            </w:r>
          </w:p>
        </w:tc>
      </w:tr>
      <w:tr w14:paraId="06F2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8" w:hRule="atLeast"/>
          <w:tblHeader/>
          <w:jc w:val="center"/>
        </w:trPr>
        <w:tc>
          <w:tcPr>
            <w:tcW w:w="1425" w:type="dxa"/>
            <w:vMerge w:val="restart"/>
            <w:noWrap w:val="0"/>
            <w:vAlign w:val="center"/>
          </w:tcPr>
          <w:p w14:paraId="1421BA40">
            <w:pPr>
              <w:wordWrap w:val="0"/>
              <w:spacing w:line="460" w:lineRule="exact"/>
              <w:jc w:val="both"/>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综合标评审标准（满分</w:t>
            </w:r>
            <w:r>
              <w:rPr>
                <w:rFonts w:hint="eastAsia" w:ascii="宋体" w:hAnsi="宋体" w:eastAsia="宋体" w:cs="宋体"/>
                <w:b w:val="0"/>
                <w:bCs w:val="0"/>
                <w:color w:val="auto"/>
                <w:sz w:val="24"/>
                <w:highlight w:val="none"/>
                <w:lang w:val="en-US" w:eastAsia="zh-CN"/>
              </w:rPr>
              <w:t>15</w:t>
            </w:r>
            <w:r>
              <w:rPr>
                <w:rFonts w:hint="eastAsia" w:ascii="宋体" w:hAnsi="宋体" w:eastAsia="宋体" w:cs="宋体"/>
                <w:b w:val="0"/>
                <w:bCs w:val="0"/>
                <w:color w:val="auto"/>
                <w:sz w:val="24"/>
                <w:highlight w:val="none"/>
              </w:rPr>
              <w:t>分）</w:t>
            </w:r>
          </w:p>
        </w:tc>
        <w:tc>
          <w:tcPr>
            <w:tcW w:w="2586" w:type="dxa"/>
            <w:noWrap w:val="0"/>
            <w:vAlign w:val="center"/>
          </w:tcPr>
          <w:p w14:paraId="66F1BF79">
            <w:pPr>
              <w:keepNext w:val="0"/>
              <w:keepLines w:val="0"/>
              <w:pageBreakBefore w:val="0"/>
              <w:kinsoku/>
              <w:wordWrap w:val="0"/>
              <w:overflowPunct/>
              <w:topLinePunct w:val="0"/>
              <w:bidi w:val="0"/>
              <w:snapToGrid/>
              <w:spacing w:line="340" w:lineRule="exact"/>
              <w:jc w:val="center"/>
              <w:rPr>
                <w:rFonts w:hint="eastAsia" w:ascii="宋体" w:hAnsi="宋体" w:eastAsia="宋体" w:cs="宋体"/>
                <w:b w:val="0"/>
                <w:bCs w:val="0"/>
                <w:color w:val="auto"/>
                <w:sz w:val="24"/>
                <w:szCs w:val="24"/>
                <w:highlight w:val="none"/>
              </w:rPr>
            </w:pPr>
            <w:r>
              <w:rPr>
                <w:rFonts w:hint="eastAsia" w:ascii="宋体" w:hAnsi="宋体" w:cs="宋体"/>
                <w:sz w:val="24"/>
                <w:szCs w:val="24"/>
                <w:highlight w:val="none"/>
              </w:rPr>
              <w:t>企业</w:t>
            </w:r>
            <w:r>
              <w:rPr>
                <w:rFonts w:hint="eastAsia" w:ascii="宋体" w:hAnsi="宋体" w:cs="宋体"/>
                <w:sz w:val="24"/>
                <w:szCs w:val="24"/>
                <w:highlight w:val="none"/>
                <w:lang w:val="en-US" w:eastAsia="zh-CN"/>
              </w:rPr>
              <w:t>业绩</w:t>
            </w:r>
          </w:p>
        </w:tc>
        <w:tc>
          <w:tcPr>
            <w:tcW w:w="4130" w:type="dxa"/>
            <w:noWrap w:val="0"/>
            <w:vAlign w:val="center"/>
          </w:tcPr>
          <w:p w14:paraId="0B5D9CDF">
            <w:pPr>
              <w:keepNext w:val="0"/>
              <w:keepLines w:val="0"/>
              <w:pageBreakBefore w:val="0"/>
              <w:widowControl w:val="0"/>
              <w:kinsoku/>
              <w:wordWrap w:val="0"/>
              <w:overflowPunct/>
              <w:topLinePunct w:val="0"/>
              <w:bidi w:val="0"/>
              <w:adjustRightInd/>
              <w:snapToGrid/>
              <w:spacing w:line="360" w:lineRule="exact"/>
              <w:textAlignment w:val="auto"/>
              <w:rPr>
                <w:rFonts w:hint="eastAsia" w:ascii="宋体" w:hAnsi="宋体" w:eastAsia="宋体" w:cs="宋体"/>
                <w:b w:val="0"/>
                <w:bCs w:val="0"/>
                <w:color w:val="auto"/>
                <w:sz w:val="24"/>
                <w:szCs w:val="24"/>
                <w:highlight w:val="none"/>
              </w:rPr>
            </w:pPr>
            <w:r>
              <w:rPr>
                <w:rFonts w:hint="eastAsia" w:ascii="宋体" w:hAnsi="宋体" w:cs="宋体"/>
                <w:sz w:val="24"/>
                <w:szCs w:val="24"/>
                <w:highlight w:val="none"/>
              </w:rPr>
              <w:t>投标人</w:t>
            </w:r>
            <w:r>
              <w:rPr>
                <w:rFonts w:hint="eastAsia" w:ascii="宋体" w:hAnsi="宋体" w:cs="宋体"/>
                <w:sz w:val="24"/>
                <w:szCs w:val="24"/>
                <w:highlight w:val="none"/>
                <w:lang w:val="en-US" w:eastAsia="zh-CN"/>
              </w:rPr>
              <w:t>或所投品牌制造商</w:t>
            </w:r>
            <w:r>
              <w:rPr>
                <w:rFonts w:hint="eastAsia" w:ascii="宋体" w:hAnsi="宋体" w:cs="宋体"/>
                <w:sz w:val="24"/>
                <w:szCs w:val="24"/>
                <w:highlight w:val="none"/>
              </w:rPr>
              <w:t>自20</w:t>
            </w:r>
            <w:r>
              <w:rPr>
                <w:rFonts w:hint="eastAsia" w:ascii="宋体" w:hAnsi="宋体" w:cs="宋体"/>
                <w:sz w:val="24"/>
                <w:szCs w:val="24"/>
                <w:highlight w:val="none"/>
                <w:lang w:val="en-US" w:eastAsia="zh-CN"/>
              </w:rPr>
              <w:t>21</w:t>
            </w:r>
            <w:r>
              <w:rPr>
                <w:rFonts w:hint="eastAsia" w:ascii="宋体" w:hAnsi="宋体" w:cs="宋体"/>
                <w:sz w:val="24"/>
                <w:szCs w:val="24"/>
                <w:highlight w:val="none"/>
              </w:rPr>
              <w:t>年1月1日以来所投品牌合同项目业绩，每</w:t>
            </w:r>
            <w:r>
              <w:rPr>
                <w:rFonts w:hint="eastAsia" w:ascii="宋体" w:hAnsi="宋体" w:cs="宋体"/>
                <w:sz w:val="24"/>
                <w:szCs w:val="24"/>
                <w:highlight w:val="none"/>
                <w:lang w:val="en-US" w:eastAsia="zh-CN"/>
              </w:rPr>
              <w:t>提供一份得1</w:t>
            </w:r>
            <w:r>
              <w:rPr>
                <w:rFonts w:hint="eastAsia" w:ascii="宋体" w:hAnsi="宋体" w:cs="宋体"/>
                <w:sz w:val="24"/>
                <w:szCs w:val="24"/>
                <w:highlight w:val="none"/>
              </w:rPr>
              <w:t>分，最多得</w:t>
            </w:r>
            <w:r>
              <w:rPr>
                <w:rFonts w:hint="eastAsia" w:ascii="宋体" w:hAnsi="宋体" w:cs="宋体"/>
                <w:sz w:val="24"/>
                <w:szCs w:val="24"/>
                <w:highlight w:val="none"/>
                <w:lang w:val="en-US" w:eastAsia="zh-CN"/>
              </w:rPr>
              <w:t>4</w:t>
            </w:r>
            <w:r>
              <w:rPr>
                <w:rFonts w:hint="eastAsia" w:ascii="宋体" w:hAnsi="宋体" w:cs="宋体"/>
                <w:sz w:val="24"/>
                <w:szCs w:val="24"/>
                <w:highlight w:val="none"/>
              </w:rPr>
              <w:t>分。（提供合同扫描件，时间以合同签订时间为准）</w:t>
            </w:r>
          </w:p>
        </w:tc>
        <w:tc>
          <w:tcPr>
            <w:tcW w:w="1615" w:type="dxa"/>
            <w:noWrap w:val="0"/>
            <w:vAlign w:val="center"/>
          </w:tcPr>
          <w:p w14:paraId="2A221377">
            <w:pPr>
              <w:keepNext w:val="0"/>
              <w:keepLines w:val="0"/>
              <w:pageBreakBefore w:val="0"/>
              <w:kinsoku/>
              <w:wordWrap w:val="0"/>
              <w:overflowPunct/>
              <w:topLinePunct w:val="0"/>
              <w:bidi w:val="0"/>
              <w:snapToGrid/>
              <w:spacing w:line="34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kern w:val="0"/>
                <w:sz w:val="24"/>
                <w:szCs w:val="24"/>
                <w:highlight w:val="none"/>
              </w:rPr>
              <w:t>0≤得分≤</w:t>
            </w:r>
            <w:r>
              <w:rPr>
                <w:rFonts w:hint="eastAsia" w:ascii="宋体" w:hAnsi="宋体" w:eastAsia="宋体" w:cs="宋体"/>
                <w:color w:val="auto"/>
                <w:kern w:val="0"/>
                <w:sz w:val="24"/>
                <w:szCs w:val="24"/>
                <w:highlight w:val="none"/>
                <w:lang w:val="en-US" w:eastAsia="zh-CN"/>
              </w:rPr>
              <w:t>4</w:t>
            </w:r>
          </w:p>
        </w:tc>
      </w:tr>
      <w:tr w14:paraId="202E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blHeader/>
          <w:jc w:val="center"/>
        </w:trPr>
        <w:tc>
          <w:tcPr>
            <w:tcW w:w="1425" w:type="dxa"/>
            <w:vMerge w:val="continue"/>
            <w:noWrap w:val="0"/>
            <w:vAlign w:val="center"/>
          </w:tcPr>
          <w:p w14:paraId="1DA0680A">
            <w:pPr>
              <w:wordWrap w:val="0"/>
              <w:spacing w:line="460" w:lineRule="exact"/>
              <w:ind w:firstLine="480" w:firstLineChars="200"/>
              <w:rPr>
                <w:rFonts w:hint="eastAsia" w:ascii="宋体" w:hAnsi="宋体" w:eastAsia="宋体" w:cs="宋体"/>
                <w:b w:val="0"/>
                <w:bCs w:val="0"/>
                <w:color w:val="auto"/>
                <w:sz w:val="24"/>
                <w:highlight w:val="none"/>
              </w:rPr>
            </w:pPr>
          </w:p>
        </w:tc>
        <w:tc>
          <w:tcPr>
            <w:tcW w:w="2586" w:type="dxa"/>
            <w:vMerge w:val="restart"/>
            <w:noWrap w:val="0"/>
            <w:vAlign w:val="center"/>
          </w:tcPr>
          <w:p w14:paraId="317C660A">
            <w:pPr>
              <w:keepNext w:val="0"/>
              <w:keepLines w:val="0"/>
              <w:pageBreakBefore w:val="0"/>
              <w:kinsoku/>
              <w:wordWrap w:val="0"/>
              <w:overflowPunct/>
              <w:topLinePunct w:val="0"/>
              <w:bidi w:val="0"/>
              <w:snapToGrid/>
              <w:spacing w:line="340" w:lineRule="exact"/>
              <w:jc w:val="center"/>
              <w:rPr>
                <w:rFonts w:hint="eastAsia" w:ascii="宋体" w:hAnsi="宋体" w:eastAsia="宋体" w:cs="宋体"/>
                <w:b w:val="0"/>
                <w:bCs w:val="0"/>
                <w:color w:val="auto"/>
                <w:sz w:val="24"/>
                <w:szCs w:val="24"/>
                <w:highlight w:val="none"/>
              </w:rPr>
            </w:pPr>
            <w:r>
              <w:rPr>
                <w:rFonts w:hint="eastAsia" w:ascii="宋体" w:hAnsi="宋体" w:cs="宋体"/>
                <w:sz w:val="24"/>
                <w:szCs w:val="24"/>
              </w:rPr>
              <w:t>优惠承诺</w:t>
            </w:r>
          </w:p>
        </w:tc>
        <w:tc>
          <w:tcPr>
            <w:tcW w:w="4130" w:type="dxa"/>
            <w:noWrap w:val="0"/>
            <w:vAlign w:val="center"/>
          </w:tcPr>
          <w:p w14:paraId="78130A21">
            <w:pPr>
              <w:keepNext w:val="0"/>
              <w:keepLines w:val="0"/>
              <w:pageBreakBefore w:val="0"/>
              <w:widowControl w:val="0"/>
              <w:kinsoku/>
              <w:wordWrap w:val="0"/>
              <w:overflowPunct/>
              <w:topLinePunct w:val="0"/>
              <w:bidi w:val="0"/>
              <w:adjustRightInd/>
              <w:snapToGrid/>
              <w:spacing w:line="36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cs="宋体"/>
                <w:bCs/>
                <w:color w:val="auto"/>
                <w:sz w:val="24"/>
                <w:szCs w:val="24"/>
                <w:highlight w:val="none"/>
              </w:rPr>
              <w:t>优惠承诺应是书面的符合工程实际情况，确保依法依规，优惠合理，详实可行。</w:t>
            </w:r>
          </w:p>
        </w:tc>
        <w:tc>
          <w:tcPr>
            <w:tcW w:w="1615" w:type="dxa"/>
            <w:noWrap w:val="0"/>
            <w:vAlign w:val="center"/>
          </w:tcPr>
          <w:p w14:paraId="5181F3B2">
            <w:pPr>
              <w:keepNext w:val="0"/>
              <w:keepLines w:val="0"/>
              <w:pageBreakBefore w:val="0"/>
              <w:kinsoku/>
              <w:wordWrap w:val="0"/>
              <w:overflowPunct/>
              <w:topLinePunct w:val="0"/>
              <w:autoSpaceDE w:val="0"/>
              <w:autoSpaceDN w:val="0"/>
              <w:bidi w:val="0"/>
              <w:adjustRightInd w:val="0"/>
              <w:snapToGrid/>
              <w:spacing w:line="340" w:lineRule="exact"/>
              <w:jc w:val="center"/>
              <w:rPr>
                <w:rFonts w:hint="eastAsia" w:ascii="宋体" w:hAnsi="宋体" w:eastAsia="宋体" w:cs="宋体"/>
                <w:b w:val="0"/>
                <w:bCs w:val="0"/>
                <w:color w:val="auto"/>
                <w:sz w:val="24"/>
                <w:szCs w:val="24"/>
                <w:highlight w:val="none"/>
              </w:rPr>
            </w:pP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rPr>
              <w:t>&lt;得分≤</w:t>
            </w:r>
            <w:r>
              <w:rPr>
                <w:rFonts w:hint="eastAsia" w:ascii="宋体" w:hAnsi="宋体" w:cs="宋体"/>
                <w:color w:val="auto"/>
                <w:kern w:val="0"/>
                <w:sz w:val="24"/>
                <w:szCs w:val="24"/>
                <w:highlight w:val="none"/>
                <w:lang w:val="en-US" w:eastAsia="zh-CN"/>
              </w:rPr>
              <w:t>6</w:t>
            </w:r>
          </w:p>
        </w:tc>
      </w:tr>
      <w:tr w14:paraId="0AA4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1" w:hRule="atLeast"/>
          <w:tblHeader/>
          <w:jc w:val="center"/>
        </w:trPr>
        <w:tc>
          <w:tcPr>
            <w:tcW w:w="1425" w:type="dxa"/>
            <w:vMerge w:val="continue"/>
            <w:noWrap w:val="0"/>
            <w:vAlign w:val="center"/>
          </w:tcPr>
          <w:p w14:paraId="79044E6E">
            <w:pPr>
              <w:wordWrap w:val="0"/>
              <w:spacing w:line="460" w:lineRule="exact"/>
              <w:ind w:firstLine="480" w:firstLineChars="200"/>
              <w:rPr>
                <w:rFonts w:hint="eastAsia" w:ascii="宋体" w:hAnsi="宋体" w:eastAsia="宋体" w:cs="宋体"/>
                <w:b w:val="0"/>
                <w:bCs w:val="0"/>
                <w:color w:val="auto"/>
                <w:sz w:val="24"/>
                <w:highlight w:val="none"/>
              </w:rPr>
            </w:pPr>
          </w:p>
        </w:tc>
        <w:tc>
          <w:tcPr>
            <w:tcW w:w="2586" w:type="dxa"/>
            <w:vMerge w:val="continue"/>
            <w:noWrap w:val="0"/>
            <w:vAlign w:val="center"/>
          </w:tcPr>
          <w:p w14:paraId="4DC2AB07">
            <w:pPr>
              <w:keepNext w:val="0"/>
              <w:keepLines w:val="0"/>
              <w:pageBreakBefore w:val="0"/>
              <w:kinsoku/>
              <w:wordWrap w:val="0"/>
              <w:overflowPunct/>
              <w:topLinePunct w:val="0"/>
              <w:bidi w:val="0"/>
              <w:snapToGrid/>
              <w:spacing w:line="340" w:lineRule="exact"/>
              <w:jc w:val="center"/>
              <w:rPr>
                <w:rFonts w:hint="eastAsia" w:ascii="宋体" w:hAnsi="宋体" w:eastAsia="宋体" w:cs="宋体"/>
                <w:b w:val="0"/>
                <w:bCs w:val="0"/>
                <w:color w:val="auto"/>
                <w:sz w:val="24"/>
                <w:szCs w:val="24"/>
                <w:highlight w:val="none"/>
              </w:rPr>
            </w:pPr>
          </w:p>
        </w:tc>
        <w:tc>
          <w:tcPr>
            <w:tcW w:w="4130" w:type="dxa"/>
            <w:noWrap w:val="0"/>
            <w:vAlign w:val="center"/>
          </w:tcPr>
          <w:p w14:paraId="6E15129B">
            <w:pPr>
              <w:keepNext w:val="0"/>
              <w:keepLines w:val="0"/>
              <w:pageBreakBefore w:val="0"/>
              <w:widowControl w:val="0"/>
              <w:kinsoku/>
              <w:wordWrap w:val="0"/>
              <w:overflowPunct/>
              <w:topLinePunct w:val="0"/>
              <w:bidi w:val="0"/>
              <w:adjustRightInd/>
              <w:snapToGrid/>
              <w:spacing w:line="36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cs="宋体"/>
                <w:bCs/>
                <w:color w:val="auto"/>
                <w:sz w:val="24"/>
                <w:szCs w:val="24"/>
                <w:highlight w:val="none"/>
              </w:rPr>
              <w:t>优惠承诺符合工程实际情况，确保依法依规，优惠基本合理，基本详实可行。</w:t>
            </w:r>
          </w:p>
        </w:tc>
        <w:tc>
          <w:tcPr>
            <w:tcW w:w="1615" w:type="dxa"/>
            <w:noWrap w:val="0"/>
            <w:vAlign w:val="center"/>
          </w:tcPr>
          <w:p w14:paraId="5A38BE2D">
            <w:pPr>
              <w:keepNext w:val="0"/>
              <w:keepLines w:val="0"/>
              <w:pageBreakBefore w:val="0"/>
              <w:kinsoku/>
              <w:wordWrap w:val="0"/>
              <w:overflowPunct/>
              <w:topLinePunct w:val="0"/>
              <w:autoSpaceDE w:val="0"/>
              <w:autoSpaceDN w:val="0"/>
              <w:bidi w:val="0"/>
              <w:adjustRightInd w:val="0"/>
              <w:snapToGrid/>
              <w:spacing w:line="340" w:lineRule="exact"/>
              <w:jc w:val="center"/>
              <w:rPr>
                <w:rFonts w:hint="eastAsia" w:ascii="宋体" w:hAnsi="宋体" w:eastAsia="宋体" w:cs="宋体"/>
                <w:b w:val="0"/>
                <w:bCs w:val="0"/>
                <w:color w:val="auto"/>
                <w:sz w:val="24"/>
                <w:szCs w:val="24"/>
                <w:highlight w:val="none"/>
              </w:rPr>
            </w:pPr>
            <w:r>
              <w:rPr>
                <w:rFonts w:hint="eastAsia" w:ascii="宋体" w:hAnsi="宋体" w:cs="宋体"/>
                <w:color w:val="auto"/>
                <w:kern w:val="0"/>
                <w:sz w:val="24"/>
                <w:szCs w:val="24"/>
                <w:highlight w:val="none"/>
              </w:rPr>
              <w:t>1≤得分≤3</w:t>
            </w:r>
          </w:p>
        </w:tc>
      </w:tr>
      <w:tr w14:paraId="3E97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8" w:hRule="atLeast"/>
          <w:tblHeader/>
          <w:jc w:val="center"/>
        </w:trPr>
        <w:tc>
          <w:tcPr>
            <w:tcW w:w="1425" w:type="dxa"/>
            <w:vMerge w:val="continue"/>
            <w:noWrap w:val="0"/>
            <w:vAlign w:val="center"/>
          </w:tcPr>
          <w:p w14:paraId="36F297C0">
            <w:pPr>
              <w:wordWrap w:val="0"/>
              <w:spacing w:line="460" w:lineRule="exact"/>
              <w:ind w:firstLine="480" w:firstLineChars="200"/>
              <w:rPr>
                <w:rFonts w:hint="eastAsia" w:ascii="宋体" w:hAnsi="宋体" w:eastAsia="宋体" w:cs="宋体"/>
                <w:b w:val="0"/>
                <w:bCs w:val="0"/>
                <w:color w:val="auto"/>
                <w:sz w:val="24"/>
                <w:highlight w:val="none"/>
              </w:rPr>
            </w:pPr>
          </w:p>
        </w:tc>
        <w:tc>
          <w:tcPr>
            <w:tcW w:w="2586" w:type="dxa"/>
            <w:noWrap w:val="0"/>
            <w:vAlign w:val="center"/>
          </w:tcPr>
          <w:p w14:paraId="36CF7848">
            <w:pPr>
              <w:keepNext w:val="0"/>
              <w:keepLines w:val="0"/>
              <w:pageBreakBefore w:val="0"/>
              <w:kinsoku/>
              <w:wordWrap w:val="0"/>
              <w:overflowPunct/>
              <w:topLinePunct w:val="0"/>
              <w:bidi w:val="0"/>
              <w:snapToGrid/>
              <w:spacing w:line="340" w:lineRule="exact"/>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cs="宋体"/>
                <w:sz w:val="24"/>
                <w:szCs w:val="24"/>
              </w:rPr>
              <w:t>售后服务承诺</w:t>
            </w:r>
          </w:p>
        </w:tc>
        <w:tc>
          <w:tcPr>
            <w:tcW w:w="4130" w:type="dxa"/>
            <w:noWrap w:val="0"/>
            <w:vAlign w:val="center"/>
          </w:tcPr>
          <w:p w14:paraId="5A22D496">
            <w:pPr>
              <w:keepNext w:val="0"/>
              <w:keepLines w:val="0"/>
              <w:pageBreakBefore w:val="0"/>
              <w:widowControl w:val="0"/>
              <w:kinsoku/>
              <w:wordWrap w:val="0"/>
              <w:overflowPunct/>
              <w:topLinePunct w:val="0"/>
              <w:bidi w:val="0"/>
              <w:adjustRightInd/>
              <w:snapToGrid/>
              <w:spacing w:line="360" w:lineRule="exac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cs="宋体"/>
                <w:sz w:val="24"/>
                <w:szCs w:val="24"/>
              </w:rPr>
              <w:t>供应商承诺在一年质保期内的售后上门服务基础上，每增加一年免费售后上门服务加1分，最多加5分</w:t>
            </w:r>
            <w:r>
              <w:rPr>
                <w:rFonts w:hint="eastAsia" w:ascii="宋体" w:hAnsi="宋体" w:cs="宋体"/>
                <w:sz w:val="24"/>
                <w:szCs w:val="24"/>
                <w:lang w:eastAsia="zh-CN"/>
              </w:rPr>
              <w:t>。</w:t>
            </w:r>
          </w:p>
        </w:tc>
        <w:tc>
          <w:tcPr>
            <w:tcW w:w="1615" w:type="dxa"/>
            <w:noWrap w:val="0"/>
            <w:vAlign w:val="center"/>
          </w:tcPr>
          <w:p w14:paraId="6E35DEA4">
            <w:pPr>
              <w:keepNext w:val="0"/>
              <w:keepLines w:val="0"/>
              <w:pageBreakBefore w:val="0"/>
              <w:kinsoku/>
              <w:wordWrap w:val="0"/>
              <w:overflowPunct/>
              <w:topLinePunct w:val="0"/>
              <w:bidi w:val="0"/>
              <w:snapToGrid/>
              <w:spacing w:line="340" w:lineRule="exact"/>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cs="宋体"/>
                <w:sz w:val="24"/>
                <w:szCs w:val="24"/>
              </w:rPr>
              <w:t>0≤得分≤</w:t>
            </w:r>
            <w:r>
              <w:rPr>
                <w:rFonts w:hint="eastAsia" w:ascii="宋体" w:hAnsi="宋体" w:cs="宋体"/>
                <w:sz w:val="24"/>
                <w:szCs w:val="24"/>
                <w:lang w:val="en-US" w:eastAsia="zh-CN"/>
              </w:rPr>
              <w:t>5</w:t>
            </w:r>
          </w:p>
        </w:tc>
      </w:tr>
      <w:tr w14:paraId="092C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0" w:hRule="atLeast"/>
          <w:tblHeader/>
          <w:jc w:val="center"/>
        </w:trPr>
        <w:tc>
          <w:tcPr>
            <w:tcW w:w="9756" w:type="dxa"/>
            <w:gridSpan w:val="4"/>
            <w:noWrap w:val="0"/>
            <w:vAlign w:val="center"/>
          </w:tcPr>
          <w:p w14:paraId="302450AB">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注：1、投标企业的业绩、证件或证明，在投标文件中须附复印件，评标时以电子投标文件及“资格审查材料（不见面开标）”菜单中选取的信息为准，两者必须一致，否则按无效处理。除注明外所有证明、业绩均以证书日期为准，只计最高分，不累计。</w:t>
            </w:r>
          </w:p>
          <w:p w14:paraId="10EF1AF6">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 xml:space="preserve">    2、投标企业在招投标活动中提供的资质证件、获奖证书等应真实、有效，并对其真实性进行承诺，承诺书加盖公司公章作为投标文件的组成部分，若不据实承诺，弄虚作假，一经查实，将取消中标资格并报经建设行政主管部门给予不良行为记录等处理。</w:t>
            </w:r>
          </w:p>
        </w:tc>
      </w:tr>
      <w:tr w14:paraId="5ABE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blHeader/>
          <w:jc w:val="center"/>
        </w:trPr>
        <w:tc>
          <w:tcPr>
            <w:tcW w:w="1425" w:type="dxa"/>
            <w:noWrap w:val="0"/>
            <w:vAlign w:val="center"/>
          </w:tcPr>
          <w:p w14:paraId="5B92D5B5">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条款号</w:t>
            </w:r>
          </w:p>
        </w:tc>
        <w:tc>
          <w:tcPr>
            <w:tcW w:w="2586" w:type="dxa"/>
            <w:noWrap w:val="0"/>
            <w:vAlign w:val="center"/>
          </w:tcPr>
          <w:p w14:paraId="0175870C">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评审因素</w:t>
            </w:r>
          </w:p>
        </w:tc>
        <w:tc>
          <w:tcPr>
            <w:tcW w:w="4130" w:type="dxa"/>
            <w:noWrap w:val="0"/>
            <w:vAlign w:val="center"/>
          </w:tcPr>
          <w:p w14:paraId="1B6C0944">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评审标准</w:t>
            </w:r>
          </w:p>
        </w:tc>
        <w:tc>
          <w:tcPr>
            <w:tcW w:w="1615" w:type="dxa"/>
            <w:noWrap w:val="0"/>
            <w:vAlign w:val="center"/>
          </w:tcPr>
          <w:p w14:paraId="29D12956">
            <w:pPr>
              <w:wordWrap w:val="0"/>
              <w:spacing w:line="460" w:lineRule="exact"/>
              <w:ind w:firstLine="240" w:firstLineChars="1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量化标准</w:t>
            </w:r>
          </w:p>
        </w:tc>
      </w:tr>
      <w:tr w14:paraId="33D5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tblHeader/>
          <w:jc w:val="center"/>
        </w:trPr>
        <w:tc>
          <w:tcPr>
            <w:tcW w:w="1425" w:type="dxa"/>
            <w:vMerge w:val="restart"/>
            <w:noWrap w:val="0"/>
            <w:vAlign w:val="center"/>
          </w:tcPr>
          <w:p w14:paraId="6AA4199A">
            <w:pPr>
              <w:wordWrap w:val="0"/>
              <w:spacing w:line="460" w:lineRule="exac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技术标评审标准（</w:t>
            </w:r>
            <w:r>
              <w:rPr>
                <w:rFonts w:hint="eastAsia" w:ascii="宋体" w:hAnsi="宋体" w:eastAsia="宋体" w:cs="宋体"/>
                <w:b w:val="0"/>
                <w:bCs w:val="0"/>
                <w:color w:val="auto"/>
                <w:sz w:val="24"/>
                <w:highlight w:val="none"/>
                <w:lang w:val="en-US" w:eastAsia="zh-CN"/>
              </w:rPr>
              <w:t>35</w:t>
            </w:r>
            <w:r>
              <w:rPr>
                <w:rFonts w:hint="eastAsia" w:ascii="宋体" w:hAnsi="宋体" w:eastAsia="宋体" w:cs="宋体"/>
                <w:b w:val="0"/>
                <w:bCs w:val="0"/>
                <w:color w:val="auto"/>
                <w:sz w:val="24"/>
                <w:highlight w:val="none"/>
              </w:rPr>
              <w:t>分）</w:t>
            </w:r>
          </w:p>
        </w:tc>
        <w:tc>
          <w:tcPr>
            <w:tcW w:w="2586" w:type="dxa"/>
            <w:noWrap w:val="0"/>
            <w:vAlign w:val="center"/>
          </w:tcPr>
          <w:p w14:paraId="5D894639">
            <w:pPr>
              <w:keepNext w:val="0"/>
              <w:keepLines w:val="0"/>
              <w:pageBreakBefore w:val="0"/>
              <w:kinsoku/>
              <w:wordWrap w:val="0"/>
              <w:overflowPunct/>
              <w:topLinePunct w:val="0"/>
              <w:bidi w:val="0"/>
              <w:snapToGrid/>
              <w:spacing w:line="400" w:lineRule="exact"/>
              <w:jc w:val="center"/>
              <w:rPr>
                <w:rFonts w:hint="eastAsia" w:ascii="宋体" w:hAnsi="宋体" w:eastAsia="宋体" w:cs="宋体"/>
                <w:b w:val="0"/>
                <w:bCs w:val="0"/>
                <w:color w:val="auto"/>
                <w:sz w:val="24"/>
                <w:szCs w:val="24"/>
                <w:highlight w:val="none"/>
              </w:rPr>
            </w:pPr>
            <w:r>
              <w:rPr>
                <w:rFonts w:hint="eastAsia" w:ascii="宋体" w:hAnsi="宋体" w:cs="宋体"/>
                <w:color w:val="auto"/>
                <w:kern w:val="0"/>
                <w:sz w:val="24"/>
                <w:szCs w:val="24"/>
                <w:highlight w:val="none"/>
                <w:lang w:val="en-US" w:eastAsia="zh-CN"/>
              </w:rPr>
              <w:t>供货方案</w:t>
            </w:r>
          </w:p>
        </w:tc>
        <w:tc>
          <w:tcPr>
            <w:tcW w:w="4130" w:type="dxa"/>
            <w:noWrap w:val="0"/>
            <w:vAlign w:val="center"/>
          </w:tcPr>
          <w:p w14:paraId="0BD9C754">
            <w:pPr>
              <w:keepNext w:val="0"/>
              <w:keepLines w:val="0"/>
              <w:pageBreakBefore w:val="0"/>
              <w:widowControl w:val="0"/>
              <w:kinsoku/>
              <w:wordWrap w:val="0"/>
              <w:overflowPunct/>
              <w:topLinePunct w:val="0"/>
              <w:bidi w:val="0"/>
              <w:adjustRightInd/>
              <w:snapToGrid/>
              <w:spacing w:line="36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Cs/>
                <w:color w:val="auto"/>
                <w:sz w:val="24"/>
                <w:szCs w:val="24"/>
                <w:highlight w:val="none"/>
              </w:rPr>
              <w:t>根据投标人提供的针对本项目的</w:t>
            </w:r>
            <w:r>
              <w:rPr>
                <w:rFonts w:hint="eastAsia" w:ascii="宋体" w:hAnsi="宋体" w:eastAsia="宋体" w:cs="宋体"/>
                <w:bCs/>
                <w:color w:val="auto"/>
                <w:sz w:val="24"/>
                <w:szCs w:val="24"/>
                <w:highlight w:val="none"/>
                <w:lang w:val="en-US" w:eastAsia="zh-CN"/>
              </w:rPr>
              <w:t>供货</w:t>
            </w:r>
            <w:r>
              <w:rPr>
                <w:rFonts w:hint="eastAsia" w:ascii="宋体" w:hAnsi="宋体" w:eastAsia="宋体" w:cs="宋体"/>
                <w:bCs/>
                <w:color w:val="auto"/>
                <w:sz w:val="24"/>
                <w:szCs w:val="24"/>
                <w:highlight w:val="none"/>
              </w:rPr>
              <w:t>方案，能够充分理解项目</w:t>
            </w:r>
            <w:r>
              <w:rPr>
                <w:rFonts w:hint="eastAsia" w:ascii="宋体" w:hAnsi="宋体" w:eastAsia="宋体" w:cs="宋体"/>
                <w:bCs/>
                <w:color w:val="auto"/>
                <w:sz w:val="24"/>
                <w:szCs w:val="24"/>
                <w:highlight w:val="none"/>
                <w:lang w:val="en-US" w:eastAsia="zh-CN"/>
              </w:rPr>
              <w:t>招标</w:t>
            </w:r>
            <w:r>
              <w:rPr>
                <w:rFonts w:hint="eastAsia" w:ascii="宋体" w:hAnsi="宋体" w:eastAsia="宋体" w:cs="宋体"/>
                <w:bCs/>
                <w:color w:val="auto"/>
                <w:sz w:val="24"/>
                <w:szCs w:val="24"/>
                <w:highlight w:val="none"/>
              </w:rPr>
              <w:t>需求，对项目</w:t>
            </w:r>
            <w:r>
              <w:rPr>
                <w:rFonts w:hint="eastAsia" w:ascii="宋体" w:hAnsi="宋体" w:eastAsia="宋体" w:cs="宋体"/>
                <w:bCs/>
                <w:color w:val="auto"/>
                <w:sz w:val="24"/>
                <w:szCs w:val="24"/>
                <w:highlight w:val="none"/>
                <w:lang w:val="en-US" w:eastAsia="zh-CN"/>
              </w:rPr>
              <w:t>招标</w:t>
            </w:r>
            <w:r>
              <w:rPr>
                <w:rFonts w:hint="eastAsia" w:ascii="宋体" w:hAnsi="宋体" w:eastAsia="宋体" w:cs="宋体"/>
                <w:bCs/>
                <w:color w:val="auto"/>
                <w:sz w:val="24"/>
                <w:szCs w:val="24"/>
                <w:highlight w:val="none"/>
              </w:rPr>
              <w:t>需求有深入分析，</w:t>
            </w:r>
            <w:r>
              <w:rPr>
                <w:rFonts w:hint="eastAsia" w:ascii="宋体" w:hAnsi="宋体" w:eastAsia="宋体" w:cs="宋体"/>
                <w:bCs/>
                <w:color w:val="auto"/>
                <w:sz w:val="24"/>
                <w:szCs w:val="24"/>
                <w:highlight w:val="none"/>
                <w:lang w:val="en-US" w:eastAsia="zh-CN"/>
              </w:rPr>
              <w:t>充分</w:t>
            </w:r>
            <w:r>
              <w:rPr>
                <w:rFonts w:hint="eastAsia" w:ascii="宋体" w:hAnsi="宋体" w:eastAsia="宋体" w:cs="宋体"/>
                <w:bCs/>
                <w:color w:val="auto"/>
                <w:sz w:val="24"/>
                <w:szCs w:val="24"/>
                <w:highlight w:val="none"/>
              </w:rPr>
              <w:t>合理、服务保障全面、应急响应方案完备的，得</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分；方案基本完备的，得</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分；</w:t>
            </w:r>
            <w:r>
              <w:rPr>
                <w:rFonts w:hint="eastAsia" w:ascii="宋体" w:hAnsi="宋体" w:eastAsia="宋体" w:cs="宋体"/>
                <w:bCs/>
                <w:color w:val="auto"/>
                <w:sz w:val="24"/>
                <w:szCs w:val="24"/>
                <w:highlight w:val="none"/>
                <w:lang w:val="en-US" w:eastAsia="zh-CN"/>
              </w:rPr>
              <w:t>没有</w:t>
            </w:r>
            <w:r>
              <w:rPr>
                <w:rFonts w:hint="eastAsia" w:ascii="宋体" w:hAnsi="宋体" w:eastAsia="宋体" w:cs="宋体"/>
                <w:bCs/>
                <w:color w:val="auto"/>
                <w:sz w:val="24"/>
                <w:szCs w:val="24"/>
                <w:highlight w:val="none"/>
              </w:rPr>
              <w:t>不得分。</w:t>
            </w:r>
          </w:p>
        </w:tc>
        <w:tc>
          <w:tcPr>
            <w:tcW w:w="1615" w:type="dxa"/>
            <w:noWrap w:val="0"/>
            <w:vAlign w:val="center"/>
          </w:tcPr>
          <w:p w14:paraId="5C588A0A">
            <w:pPr>
              <w:keepNext w:val="0"/>
              <w:keepLines w:val="0"/>
              <w:pageBreakBefore w:val="0"/>
              <w:kinsoku/>
              <w:wordWrap w:val="0"/>
              <w:overflowPunct/>
              <w:topLinePunct w:val="0"/>
              <w:bidi w:val="0"/>
              <w:snapToGrid/>
              <w:spacing w:line="400" w:lineRule="exact"/>
              <w:jc w:val="center"/>
              <w:rPr>
                <w:rFonts w:hint="eastAsia" w:ascii="宋体" w:hAnsi="宋体" w:eastAsia="宋体" w:cs="宋体"/>
                <w:b w:val="0"/>
                <w:bCs w:val="0"/>
                <w:color w:val="auto"/>
                <w:sz w:val="24"/>
                <w:szCs w:val="24"/>
                <w:highlight w:val="none"/>
              </w:rPr>
            </w:pPr>
            <w:r>
              <w:rPr>
                <w:rFonts w:hint="eastAsia"/>
                <w:sz w:val="24"/>
                <w:szCs w:val="24"/>
              </w:rPr>
              <w:t>0≤得分≤</w:t>
            </w:r>
            <w:r>
              <w:rPr>
                <w:rFonts w:hint="eastAsia" w:ascii="宋体" w:hAnsi="宋体" w:cs="宋体"/>
                <w:spacing w:val="1"/>
                <w:kern w:val="0"/>
                <w:sz w:val="24"/>
                <w:szCs w:val="24"/>
                <w:lang w:val="en-US" w:eastAsia="zh-CN"/>
              </w:rPr>
              <w:t>5分</w:t>
            </w:r>
            <w:r>
              <w:rPr>
                <w:rFonts w:hint="eastAsia" w:ascii="宋体" w:hAnsi="宋体" w:cs="宋体"/>
                <w:spacing w:val="1"/>
                <w:kern w:val="0"/>
                <w:sz w:val="24"/>
                <w:szCs w:val="24"/>
              </w:rPr>
              <w:t xml:space="preserve"> </w:t>
            </w:r>
          </w:p>
        </w:tc>
      </w:tr>
      <w:tr w14:paraId="439A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tblHeader/>
          <w:jc w:val="center"/>
        </w:trPr>
        <w:tc>
          <w:tcPr>
            <w:tcW w:w="1425" w:type="dxa"/>
            <w:vMerge w:val="continue"/>
            <w:noWrap w:val="0"/>
            <w:vAlign w:val="center"/>
          </w:tcPr>
          <w:p w14:paraId="73CE54C3">
            <w:pPr>
              <w:wordWrap w:val="0"/>
              <w:spacing w:line="460" w:lineRule="exact"/>
              <w:rPr>
                <w:rFonts w:hint="eastAsia" w:ascii="宋体" w:hAnsi="宋体" w:eastAsia="宋体" w:cs="宋体"/>
                <w:b w:val="0"/>
                <w:bCs w:val="0"/>
                <w:color w:val="auto"/>
                <w:sz w:val="24"/>
                <w:highlight w:val="none"/>
              </w:rPr>
            </w:pPr>
          </w:p>
        </w:tc>
        <w:tc>
          <w:tcPr>
            <w:tcW w:w="2586" w:type="dxa"/>
            <w:noWrap w:val="0"/>
            <w:vAlign w:val="center"/>
          </w:tcPr>
          <w:p w14:paraId="5C39DA60">
            <w:pPr>
              <w:keepNext w:val="0"/>
              <w:keepLines w:val="0"/>
              <w:pageBreakBefore w:val="0"/>
              <w:widowControl/>
              <w:kinsoku/>
              <w:wordWrap w:val="0"/>
              <w:overflowPunct/>
              <w:topLinePunct w:val="0"/>
              <w:autoSpaceDE/>
              <w:autoSpaceDN/>
              <w:bidi w:val="0"/>
              <w:adjustRightInd w:val="0"/>
              <w:snapToGrid/>
              <w:spacing w:line="360" w:lineRule="exact"/>
              <w:ind w:right="96" w:rightChars="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主要安装机械和测试设备情况表</w:t>
            </w:r>
          </w:p>
        </w:tc>
        <w:tc>
          <w:tcPr>
            <w:tcW w:w="4130" w:type="dxa"/>
            <w:noWrap w:val="0"/>
            <w:vAlign w:val="center"/>
          </w:tcPr>
          <w:p w14:paraId="7135E29F">
            <w:pPr>
              <w:keepNext w:val="0"/>
              <w:keepLines w:val="0"/>
              <w:pageBreakBefore w:val="0"/>
              <w:kinsoku/>
              <w:wordWrap w:val="0"/>
              <w:overflowPunct/>
              <w:topLinePunct w:val="0"/>
              <w:autoSpaceDE/>
              <w:autoSpaceDN/>
              <w:bidi w:val="0"/>
              <w:snapToGrid/>
              <w:spacing w:line="36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主要安装机械和测试设备情况表有针对性、合理、能较好满足需要得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分；情况表合理、能基本满足需要得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分，没有不得分。</w:t>
            </w:r>
          </w:p>
        </w:tc>
        <w:tc>
          <w:tcPr>
            <w:tcW w:w="1615" w:type="dxa"/>
            <w:noWrap w:val="0"/>
            <w:vAlign w:val="center"/>
          </w:tcPr>
          <w:p w14:paraId="54771B37">
            <w:pPr>
              <w:keepNext w:val="0"/>
              <w:keepLines w:val="0"/>
              <w:pageBreakBefore w:val="0"/>
              <w:kinsoku/>
              <w:wordWrap w:val="0"/>
              <w:overflowPunct/>
              <w:topLinePunct w:val="0"/>
              <w:bidi w:val="0"/>
              <w:snapToGrid/>
              <w:spacing w:line="400" w:lineRule="exact"/>
              <w:jc w:val="center"/>
              <w:rPr>
                <w:rFonts w:hint="eastAsia" w:ascii="宋体" w:hAnsi="宋体" w:eastAsia="宋体" w:cs="宋体"/>
                <w:b w:val="0"/>
                <w:bCs w:val="0"/>
                <w:color w:val="auto"/>
                <w:sz w:val="24"/>
                <w:szCs w:val="24"/>
                <w:highlight w:val="none"/>
              </w:rPr>
            </w:pPr>
            <w:r>
              <w:rPr>
                <w:rFonts w:hint="eastAsia"/>
                <w:sz w:val="24"/>
                <w:szCs w:val="24"/>
              </w:rPr>
              <w:t>0≤得分≤</w:t>
            </w:r>
            <w:r>
              <w:rPr>
                <w:rFonts w:hint="eastAsia" w:ascii="宋体" w:hAnsi="宋体" w:cs="宋体"/>
                <w:spacing w:val="1"/>
                <w:kern w:val="0"/>
                <w:sz w:val="24"/>
                <w:szCs w:val="24"/>
                <w:lang w:val="en-US" w:eastAsia="zh-CN"/>
              </w:rPr>
              <w:t>5分</w:t>
            </w:r>
            <w:r>
              <w:rPr>
                <w:rFonts w:hint="eastAsia" w:ascii="宋体" w:hAnsi="宋体" w:cs="宋体"/>
                <w:spacing w:val="1"/>
                <w:kern w:val="0"/>
                <w:sz w:val="24"/>
                <w:szCs w:val="24"/>
              </w:rPr>
              <w:t xml:space="preserve"> </w:t>
            </w:r>
          </w:p>
        </w:tc>
      </w:tr>
      <w:tr w14:paraId="520D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tblHeader/>
          <w:jc w:val="center"/>
        </w:trPr>
        <w:tc>
          <w:tcPr>
            <w:tcW w:w="1425" w:type="dxa"/>
            <w:vMerge w:val="continue"/>
            <w:noWrap w:val="0"/>
            <w:vAlign w:val="center"/>
          </w:tcPr>
          <w:p w14:paraId="63A43307">
            <w:pPr>
              <w:wordWrap w:val="0"/>
              <w:spacing w:line="460" w:lineRule="exact"/>
              <w:ind w:firstLine="480" w:firstLineChars="200"/>
              <w:rPr>
                <w:rFonts w:hint="eastAsia" w:ascii="宋体" w:hAnsi="宋体" w:eastAsia="宋体" w:cs="宋体"/>
                <w:b w:val="0"/>
                <w:bCs w:val="0"/>
                <w:color w:val="auto"/>
                <w:sz w:val="24"/>
                <w:highlight w:val="none"/>
              </w:rPr>
            </w:pPr>
          </w:p>
        </w:tc>
        <w:tc>
          <w:tcPr>
            <w:tcW w:w="2586" w:type="dxa"/>
            <w:noWrap w:val="0"/>
            <w:vAlign w:val="center"/>
          </w:tcPr>
          <w:p w14:paraId="16C0DF19">
            <w:pPr>
              <w:keepNext w:val="0"/>
              <w:keepLines w:val="0"/>
              <w:pageBreakBefore w:val="0"/>
              <w:widowControl/>
              <w:kinsoku/>
              <w:wordWrap w:val="0"/>
              <w:overflowPunct/>
              <w:topLinePunct w:val="0"/>
              <w:autoSpaceDE/>
              <w:autoSpaceDN/>
              <w:bidi w:val="0"/>
              <w:adjustRightInd w:val="0"/>
              <w:snapToGrid/>
              <w:spacing w:line="360" w:lineRule="exact"/>
              <w:ind w:right="96"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安装调试</w:t>
            </w:r>
          </w:p>
          <w:p w14:paraId="26B06BEB">
            <w:pPr>
              <w:keepNext w:val="0"/>
              <w:keepLines w:val="0"/>
              <w:pageBreakBefore w:val="0"/>
              <w:widowControl/>
              <w:kinsoku/>
              <w:wordWrap w:val="0"/>
              <w:overflowPunct/>
              <w:topLinePunct w:val="0"/>
              <w:autoSpaceDE/>
              <w:autoSpaceDN/>
              <w:bidi w:val="0"/>
              <w:adjustRightInd w:val="0"/>
              <w:snapToGrid/>
              <w:spacing w:line="360" w:lineRule="exact"/>
              <w:ind w:right="96" w:rightChars="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方案</w:t>
            </w:r>
          </w:p>
        </w:tc>
        <w:tc>
          <w:tcPr>
            <w:tcW w:w="4130" w:type="dxa"/>
            <w:noWrap w:val="0"/>
            <w:vAlign w:val="center"/>
          </w:tcPr>
          <w:p w14:paraId="30B6EF77">
            <w:pPr>
              <w:keepNext w:val="0"/>
              <w:keepLines w:val="0"/>
              <w:pageBreakBefore w:val="0"/>
              <w:widowControl/>
              <w:kinsoku/>
              <w:wordWrap w:val="0"/>
              <w:overflowPunct/>
              <w:topLinePunct w:val="0"/>
              <w:autoSpaceDE/>
              <w:autoSpaceDN/>
              <w:bidi w:val="0"/>
              <w:adjustRightInd w:val="0"/>
              <w:snapToGrid/>
              <w:spacing w:line="360" w:lineRule="exact"/>
              <w:ind w:right="96" w:rightChars="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安装调试方案符合项目实际，具有针对性、先进性、方法科学合理可行能真正指导具体实施，对安装调试难点有先进和合理的建议得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分；方案符合项目实际，具有针对性、方法科学合理可行能真正指导具体实施，对安装调试难点有合理的建议得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分；没有不得分。</w:t>
            </w:r>
          </w:p>
        </w:tc>
        <w:tc>
          <w:tcPr>
            <w:tcW w:w="1615" w:type="dxa"/>
            <w:noWrap w:val="0"/>
            <w:vAlign w:val="center"/>
          </w:tcPr>
          <w:p w14:paraId="29E70E39">
            <w:pPr>
              <w:keepNext w:val="0"/>
              <w:keepLines w:val="0"/>
              <w:pageBreakBefore w:val="0"/>
              <w:kinsoku/>
              <w:wordWrap w:val="0"/>
              <w:overflowPunct/>
              <w:topLinePunct w:val="0"/>
              <w:bidi w:val="0"/>
              <w:snapToGrid/>
              <w:spacing w:line="400" w:lineRule="exact"/>
              <w:jc w:val="center"/>
              <w:rPr>
                <w:rFonts w:hint="eastAsia" w:ascii="宋体" w:hAnsi="宋体" w:eastAsia="宋体" w:cs="宋体"/>
                <w:b w:val="0"/>
                <w:bCs w:val="0"/>
                <w:color w:val="auto"/>
                <w:sz w:val="24"/>
                <w:szCs w:val="24"/>
                <w:highlight w:val="none"/>
              </w:rPr>
            </w:pPr>
            <w:r>
              <w:rPr>
                <w:rFonts w:hint="eastAsia"/>
                <w:sz w:val="24"/>
                <w:szCs w:val="24"/>
              </w:rPr>
              <w:t>0≤得分≤</w:t>
            </w:r>
            <w:r>
              <w:rPr>
                <w:rFonts w:hint="eastAsia" w:ascii="宋体" w:hAnsi="宋体" w:cs="宋体"/>
                <w:spacing w:val="1"/>
                <w:kern w:val="0"/>
                <w:sz w:val="24"/>
                <w:szCs w:val="24"/>
                <w:lang w:val="en-US" w:eastAsia="zh-CN"/>
              </w:rPr>
              <w:t>5分</w:t>
            </w:r>
            <w:r>
              <w:rPr>
                <w:rFonts w:hint="eastAsia" w:ascii="宋体" w:hAnsi="宋体" w:cs="宋体"/>
                <w:spacing w:val="1"/>
                <w:kern w:val="0"/>
                <w:sz w:val="24"/>
                <w:szCs w:val="24"/>
              </w:rPr>
              <w:t xml:space="preserve"> </w:t>
            </w:r>
          </w:p>
        </w:tc>
      </w:tr>
      <w:tr w14:paraId="4853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tblHeader/>
          <w:jc w:val="center"/>
        </w:trPr>
        <w:tc>
          <w:tcPr>
            <w:tcW w:w="1425" w:type="dxa"/>
            <w:vMerge w:val="continue"/>
            <w:noWrap w:val="0"/>
            <w:vAlign w:val="center"/>
          </w:tcPr>
          <w:p w14:paraId="7F197EAA">
            <w:pPr>
              <w:wordWrap w:val="0"/>
              <w:spacing w:line="460" w:lineRule="exact"/>
              <w:ind w:firstLine="480" w:firstLineChars="200"/>
              <w:rPr>
                <w:rFonts w:hint="eastAsia" w:ascii="宋体" w:hAnsi="宋体" w:eastAsia="宋体" w:cs="宋体"/>
                <w:b w:val="0"/>
                <w:bCs w:val="0"/>
                <w:color w:val="auto"/>
                <w:sz w:val="24"/>
                <w:highlight w:val="none"/>
              </w:rPr>
            </w:pPr>
          </w:p>
        </w:tc>
        <w:tc>
          <w:tcPr>
            <w:tcW w:w="2586" w:type="dxa"/>
            <w:noWrap w:val="0"/>
            <w:vAlign w:val="center"/>
          </w:tcPr>
          <w:p w14:paraId="0197F5A8">
            <w:pPr>
              <w:keepNext w:val="0"/>
              <w:keepLines w:val="0"/>
              <w:pageBreakBefore w:val="0"/>
              <w:widowControl/>
              <w:kinsoku/>
              <w:wordWrap w:val="0"/>
              <w:overflowPunct/>
              <w:topLinePunct w:val="0"/>
              <w:autoSpaceDE/>
              <w:autoSpaceDN/>
              <w:bidi w:val="0"/>
              <w:adjustRightInd w:val="0"/>
              <w:snapToGrid/>
              <w:spacing w:line="360" w:lineRule="exact"/>
              <w:ind w:right="96" w:rightChars="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工期保证（含交货期、安装期）与控制措施</w:t>
            </w:r>
          </w:p>
        </w:tc>
        <w:tc>
          <w:tcPr>
            <w:tcW w:w="4130" w:type="dxa"/>
            <w:noWrap w:val="0"/>
            <w:vAlign w:val="center"/>
          </w:tcPr>
          <w:p w14:paraId="1DF2E106">
            <w:pPr>
              <w:keepNext w:val="0"/>
              <w:keepLines w:val="0"/>
              <w:pageBreakBefore w:val="0"/>
              <w:widowControl/>
              <w:kinsoku/>
              <w:wordWrap w:val="0"/>
              <w:overflowPunct/>
              <w:topLinePunct w:val="0"/>
              <w:autoSpaceDE/>
              <w:autoSpaceDN/>
              <w:bidi w:val="0"/>
              <w:adjustRightInd w:val="0"/>
              <w:snapToGrid/>
              <w:spacing w:line="360" w:lineRule="exact"/>
              <w:ind w:right="96" w:rightChars="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工期承诺满足招标文件要求，工期保证与控制措施合理且有针对性，有具体的违约责任承诺得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分；工期承诺满足招标文件要求，工期保证与控制措施基本合理，有具体的违约责任承诺得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分；没有不得分。</w:t>
            </w:r>
          </w:p>
        </w:tc>
        <w:tc>
          <w:tcPr>
            <w:tcW w:w="1615" w:type="dxa"/>
            <w:noWrap w:val="0"/>
            <w:vAlign w:val="center"/>
          </w:tcPr>
          <w:p w14:paraId="6AF75684">
            <w:pPr>
              <w:keepNext w:val="0"/>
              <w:keepLines w:val="0"/>
              <w:pageBreakBefore w:val="0"/>
              <w:kinsoku/>
              <w:wordWrap w:val="0"/>
              <w:overflowPunct/>
              <w:topLinePunct w:val="0"/>
              <w:bidi w:val="0"/>
              <w:snapToGrid/>
              <w:spacing w:line="400" w:lineRule="exact"/>
              <w:jc w:val="center"/>
              <w:rPr>
                <w:rFonts w:hint="eastAsia" w:ascii="宋体" w:hAnsi="宋体" w:eastAsia="宋体" w:cs="宋体"/>
                <w:b w:val="0"/>
                <w:bCs w:val="0"/>
                <w:color w:val="auto"/>
                <w:sz w:val="24"/>
                <w:szCs w:val="24"/>
                <w:highlight w:val="none"/>
              </w:rPr>
            </w:pPr>
            <w:r>
              <w:rPr>
                <w:rFonts w:hint="eastAsia"/>
                <w:sz w:val="24"/>
                <w:szCs w:val="24"/>
              </w:rPr>
              <w:t>0≤得分≤</w:t>
            </w:r>
            <w:r>
              <w:rPr>
                <w:rFonts w:hint="eastAsia" w:ascii="宋体" w:hAnsi="宋体" w:cs="宋体"/>
                <w:spacing w:val="1"/>
                <w:kern w:val="0"/>
                <w:sz w:val="24"/>
                <w:szCs w:val="24"/>
                <w:lang w:val="en-US" w:eastAsia="zh-CN"/>
              </w:rPr>
              <w:t>5分</w:t>
            </w:r>
            <w:r>
              <w:rPr>
                <w:rFonts w:hint="eastAsia" w:ascii="宋体" w:hAnsi="宋体" w:cs="宋体"/>
                <w:spacing w:val="1"/>
                <w:kern w:val="0"/>
                <w:sz w:val="24"/>
                <w:szCs w:val="24"/>
              </w:rPr>
              <w:t xml:space="preserve"> </w:t>
            </w:r>
          </w:p>
        </w:tc>
      </w:tr>
      <w:tr w14:paraId="4C31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tblHeader/>
          <w:jc w:val="center"/>
        </w:trPr>
        <w:tc>
          <w:tcPr>
            <w:tcW w:w="1425" w:type="dxa"/>
            <w:vMerge w:val="continue"/>
            <w:noWrap w:val="0"/>
            <w:vAlign w:val="center"/>
          </w:tcPr>
          <w:p w14:paraId="5F4FB35F">
            <w:pPr>
              <w:wordWrap w:val="0"/>
              <w:spacing w:line="460" w:lineRule="exact"/>
              <w:ind w:firstLine="480" w:firstLineChars="200"/>
              <w:rPr>
                <w:rFonts w:hint="eastAsia" w:ascii="宋体" w:hAnsi="宋体" w:eastAsia="宋体" w:cs="宋体"/>
                <w:b w:val="0"/>
                <w:bCs w:val="0"/>
                <w:color w:val="auto"/>
                <w:sz w:val="24"/>
                <w:highlight w:val="none"/>
              </w:rPr>
            </w:pPr>
          </w:p>
        </w:tc>
        <w:tc>
          <w:tcPr>
            <w:tcW w:w="2586" w:type="dxa"/>
            <w:noWrap w:val="0"/>
            <w:vAlign w:val="center"/>
          </w:tcPr>
          <w:p w14:paraId="09723126">
            <w:pPr>
              <w:keepNext w:val="0"/>
              <w:keepLines w:val="0"/>
              <w:pageBreakBefore w:val="0"/>
              <w:widowControl/>
              <w:kinsoku/>
              <w:wordWrap w:val="0"/>
              <w:overflowPunct/>
              <w:topLinePunct w:val="0"/>
              <w:autoSpaceDE/>
              <w:autoSpaceDN/>
              <w:bidi w:val="0"/>
              <w:adjustRightInd w:val="0"/>
              <w:snapToGrid/>
              <w:spacing w:line="360" w:lineRule="exact"/>
              <w:ind w:right="96" w:rightChars="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质量保证与控制措施</w:t>
            </w:r>
          </w:p>
        </w:tc>
        <w:tc>
          <w:tcPr>
            <w:tcW w:w="4130" w:type="dxa"/>
            <w:noWrap w:val="0"/>
            <w:vAlign w:val="center"/>
          </w:tcPr>
          <w:p w14:paraId="5C67B244">
            <w:pPr>
              <w:keepNext w:val="0"/>
              <w:keepLines w:val="0"/>
              <w:pageBreakBefore w:val="0"/>
              <w:widowControl/>
              <w:kinsoku/>
              <w:wordWrap w:val="0"/>
              <w:overflowPunct/>
              <w:topLinePunct w:val="0"/>
              <w:autoSpaceDE/>
              <w:autoSpaceDN/>
              <w:bidi w:val="0"/>
              <w:snapToGrid/>
              <w:spacing w:line="360" w:lineRule="exact"/>
              <w:ind w:right="96" w:rightChars="0"/>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建立完善的项目管理队伍，有完善的指挥系统、质量监控系统、联络协调系统，对项目提出先进、可行、具体的保证与控制措施的得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分；建立完善的项目管理队伍，有指挥系统、质量监控系统、联络协调系统，具体保证与控制可行的得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分；没有不得分。</w:t>
            </w:r>
          </w:p>
        </w:tc>
        <w:tc>
          <w:tcPr>
            <w:tcW w:w="1615" w:type="dxa"/>
            <w:noWrap w:val="0"/>
            <w:vAlign w:val="center"/>
          </w:tcPr>
          <w:p w14:paraId="401A2FE4">
            <w:pPr>
              <w:keepNext w:val="0"/>
              <w:keepLines w:val="0"/>
              <w:pageBreakBefore w:val="0"/>
              <w:kinsoku/>
              <w:wordWrap w:val="0"/>
              <w:overflowPunct/>
              <w:topLinePunct w:val="0"/>
              <w:bidi w:val="0"/>
              <w:snapToGrid/>
              <w:spacing w:line="400" w:lineRule="exact"/>
              <w:jc w:val="center"/>
              <w:rPr>
                <w:rFonts w:hint="eastAsia" w:ascii="宋体" w:hAnsi="宋体" w:eastAsia="宋体" w:cs="宋体"/>
                <w:b w:val="0"/>
                <w:bCs w:val="0"/>
                <w:color w:val="auto"/>
                <w:sz w:val="24"/>
                <w:szCs w:val="24"/>
                <w:highlight w:val="none"/>
              </w:rPr>
            </w:pPr>
            <w:r>
              <w:rPr>
                <w:rFonts w:hint="eastAsia"/>
                <w:sz w:val="24"/>
                <w:szCs w:val="24"/>
              </w:rPr>
              <w:t>0≤得分≤</w:t>
            </w:r>
            <w:r>
              <w:rPr>
                <w:rFonts w:hint="eastAsia" w:ascii="宋体" w:hAnsi="宋体" w:cs="宋体"/>
                <w:spacing w:val="1"/>
                <w:kern w:val="0"/>
                <w:sz w:val="24"/>
                <w:szCs w:val="24"/>
                <w:lang w:val="en-US" w:eastAsia="zh-CN"/>
              </w:rPr>
              <w:t>5分</w:t>
            </w:r>
            <w:r>
              <w:rPr>
                <w:rFonts w:hint="eastAsia" w:ascii="宋体" w:hAnsi="宋体" w:cs="宋体"/>
                <w:spacing w:val="1"/>
                <w:kern w:val="0"/>
                <w:sz w:val="24"/>
                <w:szCs w:val="24"/>
              </w:rPr>
              <w:t xml:space="preserve"> </w:t>
            </w:r>
          </w:p>
        </w:tc>
      </w:tr>
      <w:tr w14:paraId="4149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tblHeader/>
          <w:jc w:val="center"/>
        </w:trPr>
        <w:tc>
          <w:tcPr>
            <w:tcW w:w="1425" w:type="dxa"/>
            <w:vMerge w:val="continue"/>
            <w:noWrap w:val="0"/>
            <w:vAlign w:val="center"/>
          </w:tcPr>
          <w:p w14:paraId="0F756179">
            <w:pPr>
              <w:wordWrap w:val="0"/>
              <w:spacing w:line="460" w:lineRule="exact"/>
              <w:ind w:firstLine="480" w:firstLineChars="200"/>
              <w:rPr>
                <w:rFonts w:hint="eastAsia" w:ascii="宋体" w:hAnsi="宋体" w:eastAsia="宋体" w:cs="宋体"/>
                <w:b w:val="0"/>
                <w:bCs w:val="0"/>
                <w:color w:val="auto"/>
                <w:sz w:val="24"/>
                <w:highlight w:val="none"/>
              </w:rPr>
            </w:pPr>
          </w:p>
        </w:tc>
        <w:tc>
          <w:tcPr>
            <w:tcW w:w="2586" w:type="dxa"/>
            <w:noWrap w:val="0"/>
            <w:vAlign w:val="center"/>
          </w:tcPr>
          <w:p w14:paraId="420FCB4F">
            <w:pPr>
              <w:keepNext w:val="0"/>
              <w:keepLines w:val="0"/>
              <w:pageBreakBefore w:val="0"/>
              <w:widowControl/>
              <w:kinsoku/>
              <w:wordWrap w:val="0"/>
              <w:overflowPunct/>
              <w:topLinePunct w:val="0"/>
              <w:autoSpaceDE/>
              <w:autoSpaceDN/>
              <w:bidi w:val="0"/>
              <w:adjustRightInd w:val="0"/>
              <w:snapToGrid/>
              <w:spacing w:line="360" w:lineRule="exact"/>
              <w:ind w:right="96" w:rightChars="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现场安装的安全措施</w:t>
            </w:r>
          </w:p>
        </w:tc>
        <w:tc>
          <w:tcPr>
            <w:tcW w:w="4130" w:type="dxa"/>
            <w:noWrap w:val="0"/>
            <w:vAlign w:val="center"/>
          </w:tcPr>
          <w:p w14:paraId="06FC871D">
            <w:pPr>
              <w:keepNext w:val="0"/>
              <w:keepLines w:val="0"/>
              <w:pageBreakBefore w:val="0"/>
              <w:widowControl/>
              <w:kinsoku/>
              <w:wordWrap w:val="0"/>
              <w:overflowPunct/>
              <w:topLinePunct w:val="0"/>
              <w:autoSpaceDE/>
              <w:autoSpaceDN/>
              <w:bidi w:val="0"/>
              <w:adjustRightInd w:val="0"/>
              <w:snapToGrid/>
              <w:spacing w:line="360" w:lineRule="exact"/>
              <w:ind w:right="96" w:rightChars="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安全保障体系健全，安全管理制度完善，安全管理目标具体，全员安全责任制明确，现场安全管理和人员配备满足国家规定要求。根据安装特点、周边环境制定可行的安全管理措施的得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分；安全保障体系健全，安全管理制度完善，安全管理目标具体，全员安全责任制明确，现场安全管理和人员配备满足国家规定要求。根据安装特点、周边环境制定基本可行安全管理措施的得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分；没有不得分。</w:t>
            </w:r>
          </w:p>
        </w:tc>
        <w:tc>
          <w:tcPr>
            <w:tcW w:w="1615" w:type="dxa"/>
            <w:noWrap w:val="0"/>
            <w:vAlign w:val="center"/>
          </w:tcPr>
          <w:p w14:paraId="08C199EB">
            <w:pPr>
              <w:keepNext w:val="0"/>
              <w:keepLines w:val="0"/>
              <w:pageBreakBefore w:val="0"/>
              <w:kinsoku/>
              <w:wordWrap w:val="0"/>
              <w:overflowPunct/>
              <w:topLinePunct w:val="0"/>
              <w:bidi w:val="0"/>
              <w:snapToGrid/>
              <w:spacing w:line="400" w:lineRule="exact"/>
              <w:jc w:val="center"/>
              <w:rPr>
                <w:rFonts w:hint="eastAsia" w:ascii="宋体" w:hAnsi="宋体" w:eastAsia="宋体" w:cs="宋体"/>
                <w:b w:val="0"/>
                <w:bCs w:val="0"/>
                <w:color w:val="auto"/>
                <w:sz w:val="24"/>
                <w:szCs w:val="24"/>
                <w:highlight w:val="none"/>
              </w:rPr>
            </w:pPr>
            <w:r>
              <w:rPr>
                <w:rFonts w:hint="eastAsia"/>
                <w:sz w:val="24"/>
                <w:szCs w:val="24"/>
              </w:rPr>
              <w:t>0≤得分≤</w:t>
            </w:r>
            <w:r>
              <w:rPr>
                <w:rFonts w:hint="eastAsia" w:ascii="宋体" w:hAnsi="宋体" w:cs="宋体"/>
                <w:spacing w:val="1"/>
                <w:kern w:val="0"/>
                <w:sz w:val="24"/>
                <w:szCs w:val="24"/>
                <w:lang w:val="en-US" w:eastAsia="zh-CN"/>
              </w:rPr>
              <w:t>5分</w:t>
            </w:r>
            <w:r>
              <w:rPr>
                <w:rFonts w:hint="eastAsia" w:ascii="宋体" w:hAnsi="宋体" w:cs="宋体"/>
                <w:spacing w:val="1"/>
                <w:kern w:val="0"/>
                <w:sz w:val="24"/>
                <w:szCs w:val="24"/>
              </w:rPr>
              <w:t xml:space="preserve"> </w:t>
            </w:r>
          </w:p>
        </w:tc>
      </w:tr>
      <w:tr w14:paraId="34702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tblHeader/>
          <w:jc w:val="center"/>
        </w:trPr>
        <w:tc>
          <w:tcPr>
            <w:tcW w:w="1425" w:type="dxa"/>
            <w:vMerge w:val="continue"/>
            <w:noWrap w:val="0"/>
            <w:vAlign w:val="center"/>
          </w:tcPr>
          <w:p w14:paraId="7896E7A5">
            <w:pPr>
              <w:wordWrap w:val="0"/>
              <w:spacing w:line="460" w:lineRule="exact"/>
              <w:ind w:firstLine="480" w:firstLineChars="200"/>
              <w:rPr>
                <w:rFonts w:hint="eastAsia" w:ascii="宋体" w:hAnsi="宋体" w:eastAsia="宋体" w:cs="宋体"/>
                <w:b w:val="0"/>
                <w:bCs w:val="0"/>
                <w:color w:val="auto"/>
                <w:sz w:val="24"/>
                <w:highlight w:val="none"/>
              </w:rPr>
            </w:pPr>
          </w:p>
        </w:tc>
        <w:tc>
          <w:tcPr>
            <w:tcW w:w="2586" w:type="dxa"/>
            <w:noWrap w:val="0"/>
            <w:vAlign w:val="center"/>
          </w:tcPr>
          <w:p w14:paraId="2A7C53F2">
            <w:pPr>
              <w:keepNext w:val="0"/>
              <w:keepLines w:val="0"/>
              <w:pageBreakBefore w:val="0"/>
              <w:widowControl/>
              <w:kinsoku/>
              <w:wordWrap w:val="0"/>
              <w:overflowPunct/>
              <w:topLinePunct w:val="0"/>
              <w:autoSpaceDE/>
              <w:autoSpaceDN/>
              <w:bidi w:val="0"/>
              <w:adjustRightInd w:val="0"/>
              <w:snapToGrid/>
              <w:spacing w:line="360" w:lineRule="exact"/>
              <w:ind w:right="96" w:rightChars="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和主体施工单位的配合措施</w:t>
            </w:r>
          </w:p>
        </w:tc>
        <w:tc>
          <w:tcPr>
            <w:tcW w:w="4130" w:type="dxa"/>
            <w:noWrap w:val="0"/>
            <w:vAlign w:val="center"/>
          </w:tcPr>
          <w:p w14:paraId="6FA6EDCA">
            <w:pPr>
              <w:keepNext w:val="0"/>
              <w:keepLines w:val="0"/>
              <w:pageBreakBefore w:val="0"/>
              <w:widowControl/>
              <w:kinsoku/>
              <w:wordWrap w:val="0"/>
              <w:overflowPunct/>
              <w:topLinePunct w:val="0"/>
              <w:autoSpaceDE/>
              <w:autoSpaceDN/>
              <w:bidi w:val="0"/>
              <w:adjustRightInd w:val="0"/>
              <w:snapToGrid/>
              <w:spacing w:line="360" w:lineRule="exact"/>
              <w:ind w:right="96" w:rightChars="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积极配合施工单位工作，有合理可行的配合措施方案得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分；积极配合施工单位工作，有可行的配合措施方案得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分；没有不得分。</w:t>
            </w:r>
          </w:p>
        </w:tc>
        <w:tc>
          <w:tcPr>
            <w:tcW w:w="1615" w:type="dxa"/>
            <w:noWrap w:val="0"/>
            <w:vAlign w:val="center"/>
          </w:tcPr>
          <w:p w14:paraId="30E00E90">
            <w:pPr>
              <w:keepNext w:val="0"/>
              <w:keepLines w:val="0"/>
              <w:pageBreakBefore w:val="0"/>
              <w:kinsoku/>
              <w:wordWrap w:val="0"/>
              <w:overflowPunct/>
              <w:topLinePunct w:val="0"/>
              <w:bidi w:val="0"/>
              <w:snapToGrid/>
              <w:spacing w:line="400" w:lineRule="exact"/>
              <w:jc w:val="center"/>
              <w:rPr>
                <w:rFonts w:hint="eastAsia" w:ascii="宋体" w:hAnsi="宋体" w:eastAsia="宋体" w:cs="宋体"/>
                <w:b w:val="0"/>
                <w:bCs w:val="0"/>
                <w:color w:val="auto"/>
                <w:sz w:val="24"/>
                <w:szCs w:val="24"/>
                <w:highlight w:val="none"/>
              </w:rPr>
            </w:pPr>
            <w:r>
              <w:rPr>
                <w:rFonts w:hint="eastAsia"/>
                <w:sz w:val="24"/>
                <w:szCs w:val="24"/>
              </w:rPr>
              <w:t>0≤得分≤</w:t>
            </w:r>
            <w:r>
              <w:rPr>
                <w:rFonts w:hint="eastAsia" w:ascii="宋体" w:hAnsi="宋体" w:cs="宋体"/>
                <w:spacing w:val="1"/>
                <w:kern w:val="0"/>
                <w:sz w:val="24"/>
                <w:szCs w:val="24"/>
                <w:lang w:val="en-US" w:eastAsia="zh-CN"/>
              </w:rPr>
              <w:t>5分</w:t>
            </w:r>
          </w:p>
        </w:tc>
      </w:tr>
      <w:tr w14:paraId="49DB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4" w:hRule="atLeast"/>
          <w:tblHeader/>
          <w:jc w:val="center"/>
        </w:trPr>
        <w:tc>
          <w:tcPr>
            <w:tcW w:w="9756" w:type="dxa"/>
            <w:gridSpan w:val="4"/>
            <w:noWrap w:val="0"/>
            <w:vAlign w:val="center"/>
          </w:tcPr>
          <w:p w14:paraId="6B369D83">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注：1、分项评审：以上内容缺项或经评委会认定投标人未实质响应量化因素为0分；</w:t>
            </w:r>
          </w:p>
          <w:p w14:paraId="49A244B3">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2、综合评审：评委根据各投标企业编制技术标内容是否反映招标项目的技术特点和技术要求，各项措施是否科学、合理等情况对技术标内容进行综合评价，并在分值范围内打分。</w:t>
            </w:r>
          </w:p>
          <w:p w14:paraId="0676F205">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3、单个评审因素确定为不合格的，该项按0分计取，评委应由注明理由和依据，并由评标委员会讨论通过。</w:t>
            </w:r>
          </w:p>
          <w:p w14:paraId="1586825F">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4、投标人技术标综合评价得分计算方法：所有评委赋分的算术平均值。</w:t>
            </w:r>
          </w:p>
        </w:tc>
      </w:tr>
      <w:tr w14:paraId="226A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0" w:hRule="atLeast"/>
          <w:tblHeader/>
          <w:jc w:val="center"/>
        </w:trPr>
        <w:tc>
          <w:tcPr>
            <w:tcW w:w="1425" w:type="dxa"/>
            <w:noWrap w:val="0"/>
            <w:vAlign w:val="center"/>
          </w:tcPr>
          <w:p w14:paraId="0F7D1A30">
            <w:pPr>
              <w:keepNext w:val="0"/>
              <w:keepLines w:val="0"/>
              <w:pageBreakBefore w:val="0"/>
              <w:kinsoku/>
              <w:wordWrap w:val="0"/>
              <w:overflowPunct/>
              <w:topLinePunct w:val="0"/>
              <w:bidi w:val="0"/>
              <w:snapToGrid/>
              <w:spacing w:line="360" w:lineRule="exact"/>
              <w:jc w:val="center"/>
              <w:rPr>
                <w:rFonts w:hint="eastAsia" w:ascii="宋体" w:hAnsi="宋体" w:eastAsia="宋体" w:cs="宋体"/>
                <w:b w:val="0"/>
                <w:bCs w:val="0"/>
                <w:color w:val="auto"/>
                <w:sz w:val="24"/>
                <w:szCs w:val="24"/>
                <w:highlight w:val="none"/>
              </w:rPr>
            </w:pPr>
            <w:r>
              <w:rPr>
                <w:rFonts w:hint="eastAsia" w:ascii="宋体" w:hAnsi="宋体" w:cs="宋体"/>
                <w:sz w:val="24"/>
                <w:szCs w:val="24"/>
              </w:rPr>
              <w:t>投标报价评审</w:t>
            </w:r>
          </w:p>
        </w:tc>
        <w:tc>
          <w:tcPr>
            <w:tcW w:w="8331" w:type="dxa"/>
            <w:gridSpan w:val="3"/>
            <w:noWrap w:val="0"/>
            <w:vAlign w:val="center"/>
          </w:tcPr>
          <w:p w14:paraId="318B5D6A">
            <w:pPr>
              <w:keepNext w:val="0"/>
              <w:keepLines w:val="0"/>
              <w:pageBreakBefore w:val="0"/>
              <w:kinsoku/>
              <w:wordWrap w:val="0"/>
              <w:overflowPunct/>
              <w:topLinePunct w:val="0"/>
              <w:bidi w:val="0"/>
              <w:snapToGrid/>
              <w:spacing w:line="360" w:lineRule="exact"/>
              <w:jc w:val="left"/>
              <w:rPr>
                <w:rFonts w:hint="eastAsia" w:ascii="宋体" w:hAnsi="宋体" w:cs="宋体"/>
                <w:sz w:val="24"/>
                <w:szCs w:val="24"/>
              </w:rPr>
            </w:pPr>
            <w:r>
              <w:rPr>
                <w:rFonts w:hint="eastAsia" w:ascii="宋体" w:hAnsi="宋体" w:cs="宋体"/>
                <w:sz w:val="24"/>
                <w:szCs w:val="24"/>
              </w:rPr>
              <w:t>1、本项目设招标控制价，投标人投标报价高于招标控制价时，其投标作无效标处理。评标委员会发现投标人的报价明显低于其他投标报价，可能低于成本价的，由评标委员会启动成本评审程序，并对投标人进行质询，投标人不进行澄清，说明或其澄清、说明不被评标委员会认可的，认定该投标人以低于成本报价竞标，其投标将作为无效标处理。</w:t>
            </w:r>
          </w:p>
          <w:p w14:paraId="1988EFC5">
            <w:pPr>
              <w:keepNext w:val="0"/>
              <w:keepLines w:val="0"/>
              <w:pageBreakBefore w:val="0"/>
              <w:kinsoku/>
              <w:wordWrap w:val="0"/>
              <w:overflowPunct/>
              <w:topLinePunct w:val="0"/>
              <w:bidi w:val="0"/>
              <w:snapToGrid/>
              <w:spacing w:line="360" w:lineRule="exact"/>
              <w:jc w:val="left"/>
              <w:rPr>
                <w:rFonts w:hint="eastAsia" w:ascii="宋体" w:hAnsi="宋体" w:cs="宋体"/>
                <w:sz w:val="24"/>
                <w:szCs w:val="24"/>
              </w:rPr>
            </w:pPr>
            <w:r>
              <w:rPr>
                <w:rFonts w:hint="eastAsia" w:ascii="宋体" w:hAnsi="宋体" w:cs="宋体"/>
                <w:sz w:val="24"/>
                <w:szCs w:val="24"/>
              </w:rPr>
              <w:t>2、评标基准价计算方法：C=60%×A+40%×B；</w:t>
            </w:r>
          </w:p>
          <w:p w14:paraId="5DEEB92D">
            <w:pPr>
              <w:keepNext w:val="0"/>
              <w:keepLines w:val="0"/>
              <w:pageBreakBefore w:val="0"/>
              <w:kinsoku/>
              <w:wordWrap w:val="0"/>
              <w:overflowPunct/>
              <w:topLinePunct w:val="0"/>
              <w:bidi w:val="0"/>
              <w:snapToGrid/>
              <w:spacing w:line="360" w:lineRule="exact"/>
              <w:jc w:val="left"/>
              <w:rPr>
                <w:rFonts w:hint="eastAsia" w:ascii="宋体" w:hAnsi="宋体" w:cs="宋体"/>
                <w:sz w:val="24"/>
                <w:szCs w:val="24"/>
              </w:rPr>
            </w:pPr>
            <w:r>
              <w:rPr>
                <w:rFonts w:hint="eastAsia" w:ascii="宋体" w:hAnsi="宋体" w:cs="宋体"/>
                <w:sz w:val="24"/>
                <w:szCs w:val="24"/>
              </w:rPr>
              <w:t>①：A=招标控制价；B=有效投标报价的算术平均值；C=评标基准价。</w:t>
            </w:r>
          </w:p>
          <w:p w14:paraId="6A9F6743">
            <w:pPr>
              <w:keepNext w:val="0"/>
              <w:keepLines w:val="0"/>
              <w:pageBreakBefore w:val="0"/>
              <w:kinsoku/>
              <w:wordWrap w:val="0"/>
              <w:overflowPunct/>
              <w:topLinePunct w:val="0"/>
              <w:bidi w:val="0"/>
              <w:snapToGrid/>
              <w:spacing w:line="360" w:lineRule="exact"/>
              <w:jc w:val="left"/>
              <w:rPr>
                <w:rFonts w:hint="eastAsia" w:ascii="宋体" w:hAnsi="宋体" w:cs="宋体"/>
                <w:sz w:val="24"/>
                <w:szCs w:val="24"/>
              </w:rPr>
            </w:pPr>
            <w:r>
              <w:rPr>
                <w:rFonts w:hint="eastAsia" w:ascii="宋体" w:hAnsi="宋体" w:cs="宋体"/>
                <w:sz w:val="24"/>
                <w:szCs w:val="24"/>
              </w:rPr>
              <w:t>②：B=有效投标报价的算术平均值为所有通过初步评审的有效投标人在招标控制价95%（含95%）-100%（含100%）之间的投标报价的算术平均值，当参与计算的投标人家数大于5家时（含5家）去掉一个最高价和一个最低报价后计算算术平均值；</w:t>
            </w:r>
          </w:p>
          <w:p w14:paraId="07BCBBC5">
            <w:pPr>
              <w:keepNext w:val="0"/>
              <w:keepLines w:val="0"/>
              <w:pageBreakBefore w:val="0"/>
              <w:kinsoku/>
              <w:wordWrap w:val="0"/>
              <w:overflowPunct/>
              <w:topLinePunct w:val="0"/>
              <w:bidi w:val="0"/>
              <w:snapToGrid/>
              <w:spacing w:line="360" w:lineRule="exact"/>
              <w:jc w:val="left"/>
              <w:rPr>
                <w:rFonts w:hint="eastAsia" w:ascii="宋体" w:hAnsi="宋体" w:cs="宋体"/>
                <w:sz w:val="24"/>
                <w:szCs w:val="24"/>
              </w:rPr>
            </w:pPr>
            <w:r>
              <w:rPr>
                <w:rFonts w:hint="eastAsia" w:ascii="宋体" w:hAnsi="宋体" w:cs="宋体"/>
                <w:sz w:val="24"/>
                <w:szCs w:val="24"/>
              </w:rPr>
              <w:t>③：当所有投标人的投标报价均不在招标控制价95%（含95%）-100%（含100%）之间时，评标基准价C=招标控制价×95%。</w:t>
            </w:r>
          </w:p>
          <w:p w14:paraId="17B44E4D">
            <w:pPr>
              <w:keepNext w:val="0"/>
              <w:keepLines w:val="0"/>
              <w:pageBreakBefore w:val="0"/>
              <w:kinsoku/>
              <w:wordWrap w:val="0"/>
              <w:overflowPunct/>
              <w:topLinePunct w:val="0"/>
              <w:bidi w:val="0"/>
              <w:snapToGrid/>
              <w:spacing w:line="360" w:lineRule="exact"/>
              <w:jc w:val="left"/>
              <w:rPr>
                <w:rFonts w:hint="eastAsia" w:ascii="宋体" w:hAnsi="宋体" w:cs="宋体"/>
                <w:sz w:val="24"/>
                <w:szCs w:val="24"/>
              </w:rPr>
            </w:pPr>
            <w:r>
              <w:rPr>
                <w:rFonts w:hint="eastAsia" w:ascii="宋体" w:hAnsi="宋体" w:cs="宋体"/>
                <w:sz w:val="24"/>
                <w:szCs w:val="24"/>
              </w:rPr>
              <w:t>3、投标报价（基本分45分，满分50分）</w:t>
            </w:r>
            <w:bookmarkStart w:id="129" w:name="_GoBack"/>
            <w:bookmarkEnd w:id="129"/>
          </w:p>
          <w:p w14:paraId="2C87C040">
            <w:pPr>
              <w:keepNext w:val="0"/>
              <w:keepLines w:val="0"/>
              <w:pageBreakBefore w:val="0"/>
              <w:kinsoku/>
              <w:wordWrap w:val="0"/>
              <w:overflowPunct/>
              <w:topLinePunct w:val="0"/>
              <w:bidi w:val="0"/>
              <w:snapToGrid/>
              <w:spacing w:line="360" w:lineRule="exact"/>
              <w:jc w:val="left"/>
              <w:rPr>
                <w:rFonts w:hint="eastAsia" w:ascii="宋体" w:hAnsi="宋体" w:cs="宋体"/>
                <w:sz w:val="24"/>
                <w:szCs w:val="24"/>
              </w:rPr>
            </w:pPr>
            <w:r>
              <w:rPr>
                <w:rFonts w:hint="eastAsia" w:ascii="宋体" w:hAnsi="宋体" w:cs="宋体"/>
                <w:sz w:val="24"/>
                <w:szCs w:val="24"/>
              </w:rPr>
              <w:t>①：当投标报价＞C，投标报价与C相比，每高1%在基本分的基础上扣1分，此项得分扣完为止。（不足1%的按相应比例进行折算）</w:t>
            </w:r>
          </w:p>
          <w:p w14:paraId="0099EEF7">
            <w:pPr>
              <w:keepNext w:val="0"/>
              <w:keepLines w:val="0"/>
              <w:pageBreakBefore w:val="0"/>
              <w:kinsoku/>
              <w:wordWrap w:val="0"/>
              <w:overflowPunct/>
              <w:topLinePunct w:val="0"/>
              <w:bidi w:val="0"/>
              <w:snapToGrid/>
              <w:spacing w:line="360" w:lineRule="exact"/>
              <w:jc w:val="left"/>
              <w:rPr>
                <w:rFonts w:hint="eastAsia" w:ascii="宋体" w:hAnsi="宋体" w:cs="宋体"/>
                <w:sz w:val="24"/>
                <w:szCs w:val="24"/>
              </w:rPr>
            </w:pPr>
            <w:r>
              <w:rPr>
                <w:rFonts w:hint="eastAsia" w:ascii="宋体" w:hAnsi="宋体" w:cs="宋体"/>
                <w:sz w:val="24"/>
                <w:szCs w:val="24"/>
              </w:rPr>
              <w:t>②：当投标报价=C时，得基本分45分。</w:t>
            </w:r>
          </w:p>
          <w:p w14:paraId="195D7271">
            <w:pPr>
              <w:keepNext w:val="0"/>
              <w:keepLines w:val="0"/>
              <w:pageBreakBefore w:val="0"/>
              <w:kinsoku/>
              <w:wordWrap w:val="0"/>
              <w:overflowPunct/>
              <w:topLinePunct w:val="0"/>
              <w:bidi w:val="0"/>
              <w:snapToGrid/>
              <w:spacing w:line="360" w:lineRule="exact"/>
              <w:jc w:val="left"/>
              <w:rPr>
                <w:rFonts w:hint="eastAsia" w:ascii="宋体" w:hAnsi="宋体" w:cs="宋体"/>
                <w:sz w:val="24"/>
                <w:szCs w:val="24"/>
              </w:rPr>
            </w:pPr>
            <w:r>
              <w:rPr>
                <w:rFonts w:hint="eastAsia" w:ascii="宋体" w:hAnsi="宋体" w:cs="宋体"/>
                <w:sz w:val="24"/>
                <w:szCs w:val="24"/>
              </w:rPr>
              <w:t>③：当95%C≤投标报价＜C，投标报价与C相比，每低1%在基本分的基础上加1分，最多加5分。（不足1%的按相应比例进行折算）</w:t>
            </w:r>
          </w:p>
          <w:p w14:paraId="2CECD2E1">
            <w:pPr>
              <w:pStyle w:val="71"/>
              <w:keepNext w:val="0"/>
              <w:keepLines w:val="0"/>
              <w:pageBreakBefore w:val="0"/>
              <w:kinsoku/>
              <w:wordWrap w:val="0"/>
              <w:overflowPunct/>
              <w:topLinePunct w:val="0"/>
              <w:bidi w:val="0"/>
              <w:snapToGrid/>
              <w:rPr>
                <w:rFonts w:hint="eastAsia" w:ascii="宋体" w:hAnsi="宋体" w:eastAsia="宋体" w:cs="宋体"/>
                <w:b w:val="0"/>
                <w:bCs w:val="0"/>
                <w:color w:val="auto"/>
                <w:sz w:val="24"/>
                <w:szCs w:val="24"/>
                <w:highlight w:val="none"/>
              </w:rPr>
            </w:pPr>
            <w:r>
              <w:rPr>
                <w:rFonts w:hint="eastAsia" w:ascii="宋体" w:hAnsi="宋体" w:eastAsia="宋体" w:cs="宋体"/>
                <w:b w:val="0"/>
                <w:sz w:val="24"/>
                <w:szCs w:val="24"/>
              </w:rPr>
              <w:t>④：当投标报价＜95%C，投标报价与95%C的差值与评标基准价相比，每再低1%在满分基础上扣1分，此项得分扣完为止。（不足1%的按相应比例进行折算）</w:t>
            </w:r>
          </w:p>
        </w:tc>
      </w:tr>
      <w:tr w14:paraId="4A4C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9756" w:type="dxa"/>
            <w:gridSpan w:val="4"/>
            <w:noWrap w:val="0"/>
            <w:vAlign w:val="center"/>
          </w:tcPr>
          <w:p w14:paraId="408F43D2">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注：1、投标人综合得分＝技术标得分+综合标得分＋商务标得分</w:t>
            </w:r>
          </w:p>
          <w:p w14:paraId="2708FAA0">
            <w:pPr>
              <w:wordWrap w:val="0"/>
              <w:spacing w:line="46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投标人的最终得分：（1）评标委员会严格按本办法对投标人的技术标、综合标和商务标评审汇总后，即为该投标人的最终得分。（2）本办法计算过程中分值按四舍五入均保留两位小数，结果按四舍五入保留两位小数。</w:t>
            </w:r>
          </w:p>
        </w:tc>
      </w:tr>
    </w:tbl>
    <w:p w14:paraId="1AE34656">
      <w:pPr>
        <w:wordWrap w:val="0"/>
        <w:spacing w:line="460" w:lineRule="exact"/>
        <w:ind w:firstLine="480" w:firstLineChars="200"/>
        <w:rPr>
          <w:rFonts w:hint="eastAsia" w:ascii="宋体" w:hAnsi="宋体" w:eastAsia="宋体" w:cs="宋体"/>
          <w:b/>
          <w:bCs/>
          <w:color w:val="auto"/>
          <w:sz w:val="24"/>
          <w:highlight w:val="none"/>
        </w:rPr>
      </w:pPr>
      <w:r>
        <w:rPr>
          <w:rFonts w:hint="eastAsia" w:ascii="宋体" w:hAnsi="宋体" w:eastAsia="宋体" w:cs="宋体"/>
          <w:b w:val="0"/>
          <w:bCs w:val="0"/>
          <w:color w:val="auto"/>
          <w:sz w:val="24"/>
          <w:highlight w:val="none"/>
        </w:rPr>
        <w:t>本次评标采用综合评估法。评标委员会对满足招标文件实质性要求的投标文件，并从初步评审和详细评审（综合标、技术标、商务标评审）全部通过的投标人中，按照投标人最终得分，由大到小的排序，推荐3名中标候选人，如合格投标人不足3家，据实推荐。若最终得分也相等的，招标人从最终得分相等的投标企业中现场确定中标候选人。</w:t>
      </w:r>
    </w:p>
    <w:p w14:paraId="4A0B4286">
      <w:pPr>
        <w:wordWrap w:val="0"/>
        <w:spacing w:line="46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2.得分的计算</w:t>
      </w:r>
    </w:p>
    <w:p w14:paraId="64BE3354">
      <w:pPr>
        <w:wordWrap w:val="0"/>
        <w:spacing w:line="46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highlight w:val="none"/>
        </w:rPr>
        <w:t>评标委员会成员评分</w:t>
      </w:r>
      <w:r>
        <w:rPr>
          <w:rFonts w:hint="eastAsia" w:ascii="宋体" w:hAnsi="宋体" w:eastAsia="宋体" w:cs="宋体"/>
          <w:bCs/>
          <w:color w:val="auto"/>
          <w:sz w:val="24"/>
          <w:highlight w:val="none"/>
        </w:rPr>
        <w:t>=</w:t>
      </w:r>
      <w:r>
        <w:rPr>
          <w:rFonts w:hint="eastAsia" w:ascii="宋体" w:hAnsi="宋体" w:eastAsia="宋体" w:cs="宋体"/>
          <w:color w:val="auto"/>
          <w:sz w:val="24"/>
          <w:szCs w:val="24"/>
          <w:highlight w:val="none"/>
          <w:lang w:eastAsia="zh-CN"/>
        </w:rPr>
        <w:t>综合标</w:t>
      </w:r>
      <w:r>
        <w:rPr>
          <w:rFonts w:hint="eastAsia" w:ascii="宋体" w:hAnsi="宋体" w:eastAsia="宋体" w:cs="宋体"/>
          <w:bCs/>
          <w:color w:val="auto"/>
          <w:sz w:val="24"/>
          <w:highlight w:val="none"/>
        </w:rPr>
        <w:t>+</w:t>
      </w:r>
      <w:r>
        <w:rPr>
          <w:rFonts w:hint="eastAsia" w:ascii="宋体" w:hAnsi="宋体" w:eastAsia="宋体" w:cs="宋体"/>
          <w:color w:val="auto"/>
          <w:sz w:val="24"/>
          <w:szCs w:val="24"/>
          <w:highlight w:val="none"/>
        </w:rPr>
        <w:t>技术</w:t>
      </w:r>
      <w:r>
        <w:rPr>
          <w:rFonts w:hint="eastAsia" w:ascii="宋体" w:hAnsi="宋体" w:eastAsia="宋体" w:cs="宋体"/>
          <w:color w:val="auto"/>
          <w:sz w:val="24"/>
          <w:szCs w:val="24"/>
          <w:highlight w:val="none"/>
          <w:lang w:eastAsia="zh-CN"/>
        </w:rPr>
        <w:t>标</w:t>
      </w:r>
      <w:r>
        <w:rPr>
          <w:rFonts w:hint="eastAsia" w:ascii="宋体" w:hAnsi="宋体" w:eastAsia="宋体" w:cs="宋体"/>
          <w:bCs/>
          <w:color w:val="auto"/>
          <w:sz w:val="24"/>
          <w:highlight w:val="none"/>
        </w:rPr>
        <w:t>+</w:t>
      </w:r>
      <w:r>
        <w:rPr>
          <w:rFonts w:hint="eastAsia" w:ascii="宋体" w:hAnsi="宋体" w:eastAsia="宋体" w:cs="宋体"/>
          <w:color w:val="auto"/>
          <w:sz w:val="24"/>
          <w:szCs w:val="24"/>
          <w:highlight w:val="none"/>
        </w:rPr>
        <w:t>商务</w:t>
      </w:r>
      <w:r>
        <w:rPr>
          <w:rFonts w:hint="eastAsia" w:ascii="宋体" w:hAnsi="宋体" w:eastAsia="宋体" w:cs="宋体"/>
          <w:color w:val="auto"/>
          <w:sz w:val="24"/>
          <w:szCs w:val="24"/>
          <w:highlight w:val="none"/>
          <w:lang w:eastAsia="zh-CN"/>
        </w:rPr>
        <w:t>标</w:t>
      </w:r>
    </w:p>
    <w:p w14:paraId="203EFF2E">
      <w:pPr>
        <w:wordWrap w:val="0"/>
        <w:spacing w:line="460" w:lineRule="exact"/>
        <w:ind w:firstLine="480" w:firstLineChars="200"/>
        <w:rPr>
          <w:rFonts w:hint="eastAsia" w:ascii="宋体" w:hAnsi="宋体" w:eastAsia="宋体" w:cs="宋体"/>
          <w:b/>
          <w:color w:val="auto"/>
          <w:kern w:val="0"/>
          <w:sz w:val="32"/>
          <w:szCs w:val="32"/>
          <w:highlight w:val="none"/>
        </w:rPr>
      </w:pPr>
      <w:r>
        <w:rPr>
          <w:rFonts w:hint="eastAsia" w:ascii="宋体" w:hAnsi="宋体" w:eastAsia="宋体" w:cs="宋体"/>
          <w:color w:val="auto"/>
          <w:sz w:val="24"/>
          <w:highlight w:val="none"/>
        </w:rPr>
        <w:t>评标总得分=评标委员会所有成员合计总分/评标委员会组成人员数</w:t>
      </w:r>
    </w:p>
    <w:p w14:paraId="158C5A2A">
      <w:pPr>
        <w:widowControl/>
        <w:jc w:val="center"/>
        <w:rPr>
          <w:rFonts w:hint="eastAsia" w:ascii="宋体" w:hAnsi="宋体" w:eastAsia="宋体" w:cs="宋体"/>
          <w:b/>
          <w:color w:val="auto"/>
          <w:kern w:val="0"/>
          <w:sz w:val="32"/>
          <w:szCs w:val="32"/>
          <w:highlight w:val="none"/>
        </w:rPr>
      </w:pPr>
    </w:p>
    <w:p w14:paraId="77E66304">
      <w:pPr>
        <w:widowControl/>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0898EFDD">
      <w:pPr>
        <w:widowControl/>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第五章  </w:t>
      </w:r>
    </w:p>
    <w:p w14:paraId="39AAE6FE">
      <w:pPr>
        <w:widowControl/>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合同（主要条款）</w:t>
      </w:r>
    </w:p>
    <w:p w14:paraId="25E571DA">
      <w:pPr>
        <w:wordWrap w:val="0"/>
        <w:adjustRightInd w:val="0"/>
        <w:snapToGrid w:val="0"/>
        <w:spacing w:line="360" w:lineRule="auto"/>
        <w:ind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（注：可结合具体招标项目进行更明确的约定）</w:t>
      </w:r>
    </w:p>
    <w:p w14:paraId="1B926D77">
      <w:pPr>
        <w:wordWrap w:val="0"/>
        <w:adjustRightInd w:val="0"/>
        <w:snapToGrid w:val="0"/>
        <w:spacing w:line="360" w:lineRule="auto"/>
        <w:ind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项目名称：                   项目编号：</w:t>
      </w:r>
    </w:p>
    <w:p w14:paraId="32C7979F">
      <w:pPr>
        <w:wordWrap w:val="0"/>
        <w:adjustRightInd w:val="0"/>
        <w:snapToGrid w:val="0"/>
        <w:spacing w:line="360" w:lineRule="auto"/>
        <w:ind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甲方：（</w:t>
      </w:r>
      <w:r>
        <w:rPr>
          <w:rFonts w:hint="eastAsia" w:ascii="宋体" w:hAnsi="宋体" w:eastAsia="宋体" w:cs="宋体"/>
          <w:snapToGrid w:val="0"/>
          <w:color w:val="auto"/>
          <w:sz w:val="24"/>
          <w:szCs w:val="24"/>
          <w:highlight w:val="none"/>
          <w:lang w:eastAsia="zh-CN"/>
        </w:rPr>
        <w:t>招标人</w:t>
      </w:r>
      <w:r>
        <w:rPr>
          <w:rFonts w:hint="eastAsia" w:ascii="宋体" w:hAnsi="宋体" w:eastAsia="宋体" w:cs="宋体"/>
          <w:snapToGrid w:val="0"/>
          <w:color w:val="auto"/>
          <w:sz w:val="24"/>
          <w:szCs w:val="24"/>
          <w:highlight w:val="none"/>
        </w:rPr>
        <w:t>）             乙方：（中标人）</w:t>
      </w:r>
    </w:p>
    <w:p w14:paraId="6B44563B">
      <w:pPr>
        <w:wordWrap w:val="0"/>
        <w:adjustRightInd w:val="0"/>
        <w:snapToGrid w:val="0"/>
        <w:spacing w:line="360" w:lineRule="auto"/>
        <w:ind w:firstLine="480" w:firstLineChars="2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甲、乙双方根据《中华人民共和国政府采购法》、《中华人民共和国民法典》等法律法规的规定，按照      （招标编号）的招标结果签订本合同。</w:t>
      </w:r>
    </w:p>
    <w:p w14:paraId="0203D32E">
      <w:pPr>
        <w:wordWrap w:val="0"/>
        <w:adjustRightInd w:val="0"/>
        <w:snapToGrid w:val="0"/>
        <w:spacing w:line="360" w:lineRule="auto"/>
        <w:ind w:firstLine="482" w:firstLineChars="200"/>
        <w:rPr>
          <w:rFonts w:hint="eastAsia" w:ascii="宋体" w:hAnsi="宋体" w:eastAsia="宋体" w:cs="宋体"/>
          <w:b/>
          <w:bCs/>
          <w:snapToGrid w:val="0"/>
          <w:color w:val="auto"/>
          <w:sz w:val="24"/>
          <w:szCs w:val="24"/>
          <w:highlight w:val="none"/>
        </w:rPr>
      </w:pPr>
      <w:bookmarkStart w:id="27" w:name="_Toc17120"/>
      <w:bookmarkStart w:id="28" w:name="_Toc19104"/>
      <w:bookmarkStart w:id="29" w:name="_Toc29441"/>
      <w:bookmarkStart w:id="30" w:name="_Toc8736"/>
      <w:bookmarkStart w:id="31" w:name="_Toc24920"/>
      <w:r>
        <w:rPr>
          <w:rFonts w:hint="eastAsia" w:ascii="宋体" w:hAnsi="宋体" w:eastAsia="宋体" w:cs="宋体"/>
          <w:b/>
          <w:bCs/>
          <w:snapToGrid w:val="0"/>
          <w:color w:val="auto"/>
          <w:sz w:val="24"/>
          <w:szCs w:val="24"/>
          <w:highlight w:val="none"/>
        </w:rPr>
        <w:t>1.货物内容</w:t>
      </w:r>
      <w:bookmarkEnd w:id="27"/>
      <w:bookmarkEnd w:id="28"/>
      <w:bookmarkEnd w:id="29"/>
      <w:bookmarkEnd w:id="30"/>
      <w:bookmarkEnd w:id="31"/>
    </w:p>
    <w:p w14:paraId="0ADF660D">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1.1 货物名称：</w:t>
      </w:r>
    </w:p>
    <w:p w14:paraId="7E6CE62E">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1.2 型号规格：</w:t>
      </w:r>
    </w:p>
    <w:p w14:paraId="3CBDCEE8">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1.3 技术参数：</w:t>
      </w:r>
    </w:p>
    <w:p w14:paraId="04E7234F">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1.4 数量（单位）：</w:t>
      </w:r>
    </w:p>
    <w:p w14:paraId="1736B05B">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32" w:name="_Toc18360"/>
      <w:bookmarkStart w:id="33" w:name="_Toc18470"/>
      <w:bookmarkStart w:id="34" w:name="_Toc5845"/>
      <w:bookmarkStart w:id="35" w:name="_Toc28434"/>
      <w:bookmarkStart w:id="36" w:name="_Toc9091"/>
      <w:r>
        <w:rPr>
          <w:rFonts w:hint="eastAsia" w:ascii="宋体" w:hAnsi="宋体" w:eastAsia="宋体" w:cs="宋体"/>
          <w:b/>
          <w:snapToGrid w:val="0"/>
          <w:color w:val="auto"/>
          <w:sz w:val="24"/>
          <w:szCs w:val="24"/>
          <w:highlight w:val="none"/>
        </w:rPr>
        <w:t>2.合同金额</w:t>
      </w:r>
      <w:bookmarkEnd w:id="32"/>
      <w:bookmarkEnd w:id="33"/>
      <w:bookmarkEnd w:id="34"/>
      <w:bookmarkEnd w:id="35"/>
      <w:bookmarkEnd w:id="36"/>
    </w:p>
    <w:p w14:paraId="1EB2A1B8">
      <w:pPr>
        <w:wordWrap w:val="0"/>
        <w:adjustRightInd w:val="0"/>
        <w:snapToGrid w:val="0"/>
        <w:spacing w:line="360" w:lineRule="auto"/>
        <w:ind w:firstLine="480" w:firstLineChars="200"/>
        <w:rPr>
          <w:rFonts w:hint="eastAsia" w:ascii="宋体" w:hAnsi="宋体" w:eastAsia="宋体" w:cs="宋体"/>
          <w:b/>
          <w:snapToGrid w:val="0"/>
          <w:color w:val="auto"/>
          <w:sz w:val="24"/>
          <w:szCs w:val="24"/>
          <w:highlight w:val="none"/>
        </w:rPr>
      </w:pPr>
      <w:r>
        <w:rPr>
          <w:rFonts w:hint="eastAsia" w:ascii="宋体" w:hAnsi="宋体" w:eastAsia="宋体" w:cs="宋体"/>
          <w:snapToGrid w:val="0"/>
          <w:color w:val="auto"/>
          <w:sz w:val="24"/>
          <w:szCs w:val="24"/>
          <w:highlight w:val="none"/>
        </w:rPr>
        <w:t>本合同金额为人民币（大写）：_________元（￥________元</w:t>
      </w:r>
      <w:r>
        <w:rPr>
          <w:rFonts w:hint="eastAsia" w:ascii="宋体" w:hAnsi="宋体" w:eastAsia="宋体" w:cs="宋体"/>
          <w:b/>
          <w:snapToGrid w:val="0"/>
          <w:color w:val="auto"/>
          <w:sz w:val="24"/>
          <w:szCs w:val="24"/>
          <w:highlight w:val="none"/>
        </w:rPr>
        <w:t>）。</w:t>
      </w:r>
    </w:p>
    <w:p w14:paraId="7A4F67DB">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37" w:name="_Toc7941"/>
      <w:bookmarkStart w:id="38" w:name="_Toc5747"/>
      <w:bookmarkStart w:id="39" w:name="_Toc9220"/>
      <w:bookmarkStart w:id="40" w:name="_Toc2753"/>
      <w:bookmarkStart w:id="41" w:name="_Toc20476"/>
      <w:r>
        <w:rPr>
          <w:rFonts w:hint="eastAsia" w:ascii="宋体" w:hAnsi="宋体" w:eastAsia="宋体" w:cs="宋体"/>
          <w:b/>
          <w:snapToGrid w:val="0"/>
          <w:color w:val="auto"/>
          <w:sz w:val="24"/>
          <w:szCs w:val="24"/>
          <w:highlight w:val="none"/>
        </w:rPr>
        <w:t>3.技术资料</w:t>
      </w:r>
      <w:bookmarkEnd w:id="37"/>
      <w:bookmarkEnd w:id="38"/>
      <w:bookmarkEnd w:id="39"/>
      <w:bookmarkEnd w:id="40"/>
      <w:bookmarkEnd w:id="41"/>
    </w:p>
    <w:p w14:paraId="36F3E172">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3.1乙方按招标文件规定的时间向甲方提供使用货物的有关技术资料。</w:t>
      </w:r>
    </w:p>
    <w:p w14:paraId="09118BEA">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3.2 没有甲方事先书面同意，乙方不得将由甲方提供的有关合同或任何合同条文、规格、计划、图纸、样品或资料提供给与履行本合同无关的任何其他人。</w:t>
      </w:r>
    </w:p>
    <w:p w14:paraId="28288EC5">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42" w:name="_Toc27344"/>
      <w:bookmarkStart w:id="43" w:name="_Toc637"/>
      <w:bookmarkStart w:id="44" w:name="_Toc17970"/>
      <w:bookmarkStart w:id="45" w:name="_Toc30854"/>
      <w:bookmarkStart w:id="46" w:name="_Toc1978"/>
      <w:r>
        <w:rPr>
          <w:rFonts w:hint="eastAsia" w:ascii="宋体" w:hAnsi="宋体" w:eastAsia="宋体" w:cs="宋体"/>
          <w:b/>
          <w:snapToGrid w:val="0"/>
          <w:color w:val="auto"/>
          <w:sz w:val="24"/>
          <w:szCs w:val="24"/>
          <w:highlight w:val="none"/>
        </w:rPr>
        <w:t>4.知识产权</w:t>
      </w:r>
      <w:bookmarkEnd w:id="42"/>
      <w:bookmarkEnd w:id="43"/>
      <w:bookmarkEnd w:id="44"/>
      <w:bookmarkEnd w:id="45"/>
      <w:bookmarkEnd w:id="46"/>
    </w:p>
    <w:p w14:paraId="20AF665F">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乙方保证所提供的货物或其任何一部分均不会侵犯任何第三方的知识产权。</w:t>
      </w:r>
    </w:p>
    <w:p w14:paraId="39ED31BA">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47" w:name="_Toc30331"/>
      <w:bookmarkStart w:id="48" w:name="_Toc2079"/>
      <w:bookmarkStart w:id="49" w:name="_Toc12987"/>
      <w:bookmarkStart w:id="50" w:name="_Toc282"/>
      <w:bookmarkStart w:id="51" w:name="_Toc11990"/>
      <w:r>
        <w:rPr>
          <w:rFonts w:hint="eastAsia" w:ascii="宋体" w:hAnsi="宋体" w:eastAsia="宋体" w:cs="宋体"/>
          <w:b/>
          <w:snapToGrid w:val="0"/>
          <w:color w:val="auto"/>
          <w:sz w:val="24"/>
          <w:szCs w:val="24"/>
          <w:highlight w:val="none"/>
        </w:rPr>
        <w:t>5.产权担保</w:t>
      </w:r>
      <w:bookmarkEnd w:id="47"/>
      <w:bookmarkEnd w:id="48"/>
      <w:bookmarkEnd w:id="49"/>
      <w:bookmarkEnd w:id="50"/>
      <w:bookmarkEnd w:id="51"/>
    </w:p>
    <w:p w14:paraId="7D3CCE73">
      <w:pPr>
        <w:wordWrap w:val="0"/>
        <w:adjustRightInd w:val="0"/>
        <w:snapToGrid w:val="0"/>
        <w:spacing w:line="360" w:lineRule="auto"/>
        <w:ind w:firstLine="480" w:firstLineChars="200"/>
        <w:rPr>
          <w:rFonts w:hint="eastAsia" w:ascii="宋体" w:hAnsi="宋体" w:eastAsia="宋体" w:cs="宋体"/>
          <w:b/>
          <w:snapToGrid w:val="0"/>
          <w:color w:val="auto"/>
          <w:sz w:val="24"/>
          <w:szCs w:val="24"/>
          <w:highlight w:val="none"/>
        </w:rPr>
      </w:pPr>
      <w:r>
        <w:rPr>
          <w:rFonts w:hint="eastAsia" w:ascii="宋体" w:hAnsi="宋体" w:eastAsia="宋体" w:cs="宋体"/>
          <w:snapToGrid w:val="0"/>
          <w:color w:val="auto"/>
          <w:sz w:val="24"/>
          <w:szCs w:val="24"/>
          <w:highlight w:val="none"/>
        </w:rPr>
        <w:t>乙方保证所交付的货物的所有权完全属于乙方且无任何抵押、查封等产权瑕</w:t>
      </w:r>
      <w:r>
        <w:rPr>
          <w:rFonts w:hint="eastAsia" w:ascii="宋体" w:hAnsi="宋体" w:eastAsia="宋体" w:cs="宋体"/>
          <w:bCs/>
          <w:snapToGrid w:val="0"/>
          <w:color w:val="auto"/>
          <w:sz w:val="24"/>
          <w:szCs w:val="24"/>
          <w:highlight w:val="none"/>
        </w:rPr>
        <w:t>疵。</w:t>
      </w:r>
    </w:p>
    <w:p w14:paraId="74521619">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52" w:name="_Toc18464"/>
      <w:bookmarkStart w:id="53" w:name="_Toc12728"/>
      <w:bookmarkStart w:id="54" w:name="_Toc24587"/>
      <w:bookmarkStart w:id="55" w:name="_Toc24441"/>
      <w:bookmarkStart w:id="56" w:name="_Toc21012"/>
      <w:r>
        <w:rPr>
          <w:rFonts w:hint="eastAsia" w:ascii="宋体" w:hAnsi="宋体" w:eastAsia="宋体" w:cs="宋体"/>
          <w:b/>
          <w:snapToGrid w:val="0"/>
          <w:color w:val="auto"/>
          <w:sz w:val="24"/>
          <w:szCs w:val="24"/>
          <w:highlight w:val="none"/>
        </w:rPr>
        <w:t>6.交货期、交货方式及交货地点</w:t>
      </w:r>
      <w:bookmarkEnd w:id="52"/>
      <w:bookmarkEnd w:id="53"/>
      <w:bookmarkEnd w:id="54"/>
      <w:bookmarkEnd w:id="55"/>
      <w:bookmarkEnd w:id="56"/>
    </w:p>
    <w:p w14:paraId="4CBD970B">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6.1 交货期：</w:t>
      </w:r>
    </w:p>
    <w:p w14:paraId="072D3A48">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6.2 交货方式：</w:t>
      </w:r>
    </w:p>
    <w:p w14:paraId="630E0E14">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6.3 交货地点：</w:t>
      </w:r>
    </w:p>
    <w:p w14:paraId="2EA62ED6">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57" w:name="_Toc26317"/>
      <w:bookmarkStart w:id="58" w:name="_Toc7006"/>
      <w:bookmarkStart w:id="59" w:name="_Toc24099"/>
      <w:bookmarkStart w:id="60" w:name="_Toc10873"/>
      <w:bookmarkStart w:id="61" w:name="_Toc20294"/>
      <w:r>
        <w:rPr>
          <w:rFonts w:hint="eastAsia" w:ascii="宋体" w:hAnsi="宋体" w:eastAsia="宋体" w:cs="宋体"/>
          <w:b/>
          <w:snapToGrid w:val="0"/>
          <w:color w:val="auto"/>
          <w:sz w:val="24"/>
          <w:szCs w:val="24"/>
          <w:highlight w:val="none"/>
        </w:rPr>
        <w:t>7.货款支付</w:t>
      </w:r>
      <w:bookmarkEnd w:id="57"/>
      <w:bookmarkEnd w:id="58"/>
      <w:bookmarkEnd w:id="59"/>
      <w:bookmarkEnd w:id="60"/>
      <w:bookmarkEnd w:id="61"/>
    </w:p>
    <w:p w14:paraId="3E3E3D34">
      <w:pPr>
        <w:wordWrap w:val="0"/>
        <w:adjustRightInd w:val="0"/>
        <w:snapToGrid w:val="0"/>
        <w:spacing w:line="360" w:lineRule="auto"/>
        <w:ind w:firstLine="480" w:firstLineChars="200"/>
        <w:outlineLvl w:val="2"/>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付款方式：</w:t>
      </w:r>
      <w:bookmarkStart w:id="62" w:name="_Toc5808"/>
      <w:bookmarkStart w:id="63" w:name="_Toc30718"/>
      <w:bookmarkStart w:id="64" w:name="_Toc17094"/>
      <w:bookmarkStart w:id="65" w:name="_Toc29107"/>
      <w:bookmarkStart w:id="66" w:name="_Toc28994"/>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b w:val="0"/>
          <w:bCs w:val="0"/>
          <w:color w:val="auto"/>
          <w:sz w:val="24"/>
          <w:highlight w:val="none"/>
          <w:lang w:eastAsia="zh-CN"/>
        </w:rPr>
        <w:t>安装调试完毕并经河南省特种设备安全检测研究院出具电梯监督检验报告和业主验收合格后</w:t>
      </w:r>
      <w:r>
        <w:rPr>
          <w:rFonts w:hint="eastAsia" w:ascii="宋体" w:hAnsi="宋体" w:eastAsia="宋体" w:cs="宋体"/>
          <w:b w:val="0"/>
          <w:bCs w:val="0"/>
          <w:color w:val="auto"/>
          <w:sz w:val="24"/>
          <w:highlight w:val="none"/>
        </w:rPr>
        <w:t>付合同总价款的</w:t>
      </w:r>
      <w:r>
        <w:rPr>
          <w:rFonts w:hint="eastAsia" w:ascii="宋体" w:hAnsi="宋体" w:eastAsia="宋体" w:cs="宋体"/>
          <w:b w:val="0"/>
          <w:bCs w:val="0"/>
          <w:color w:val="auto"/>
          <w:sz w:val="24"/>
          <w:highlight w:val="none"/>
          <w:lang w:val="en-US" w:eastAsia="zh-CN"/>
        </w:rPr>
        <w:t>30</w:t>
      </w:r>
      <w:r>
        <w:rPr>
          <w:rFonts w:hint="eastAsia" w:ascii="宋体" w:hAnsi="宋体" w:eastAsia="宋体" w:cs="宋体"/>
          <w:b w:val="0"/>
          <w:bCs w:val="0"/>
          <w:color w:val="auto"/>
          <w:sz w:val="24"/>
          <w:highlight w:val="none"/>
        </w:rPr>
        <w:t>%，第二年付合同总价款的30%，第三年付</w:t>
      </w:r>
      <w:r>
        <w:rPr>
          <w:rFonts w:hint="eastAsia" w:ascii="宋体" w:hAnsi="宋体" w:eastAsia="宋体" w:cs="宋体"/>
          <w:b w:val="0"/>
          <w:bCs w:val="0"/>
          <w:color w:val="auto"/>
          <w:sz w:val="24"/>
          <w:highlight w:val="none"/>
          <w:lang w:eastAsia="zh-CN"/>
        </w:rPr>
        <w:t>至</w:t>
      </w:r>
      <w:r>
        <w:rPr>
          <w:rFonts w:hint="eastAsia" w:ascii="宋体" w:hAnsi="宋体" w:eastAsia="宋体" w:cs="宋体"/>
          <w:b w:val="0"/>
          <w:bCs w:val="0"/>
          <w:color w:val="auto"/>
          <w:sz w:val="24"/>
          <w:highlight w:val="none"/>
        </w:rPr>
        <w:t>合同总价款的</w:t>
      </w:r>
      <w:r>
        <w:rPr>
          <w:rFonts w:hint="eastAsia" w:ascii="宋体" w:hAnsi="宋体" w:eastAsia="宋体" w:cs="宋体"/>
          <w:b w:val="0"/>
          <w:bCs w:val="0"/>
          <w:color w:val="auto"/>
          <w:sz w:val="24"/>
          <w:highlight w:val="none"/>
          <w:lang w:val="en-US" w:eastAsia="zh-CN"/>
        </w:rPr>
        <w:t>97</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eastAsia="zh-CN"/>
        </w:rPr>
        <w:t>，余款待质保期满后一次性付清</w:t>
      </w:r>
      <w:r>
        <w:rPr>
          <w:rFonts w:hint="eastAsia" w:ascii="宋体" w:hAnsi="宋体" w:eastAsia="宋体" w:cs="宋体"/>
          <w:b w:val="0"/>
          <w:bCs w:val="0"/>
          <w:color w:val="auto"/>
          <w:sz w:val="24"/>
          <w:highlight w:val="none"/>
        </w:rPr>
        <w:t>。</w:t>
      </w:r>
    </w:p>
    <w:p w14:paraId="28CC0CB3">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r>
        <w:rPr>
          <w:rFonts w:hint="eastAsia" w:ascii="宋体" w:hAnsi="宋体" w:eastAsia="宋体" w:cs="宋体"/>
          <w:b/>
          <w:snapToGrid w:val="0"/>
          <w:color w:val="auto"/>
          <w:sz w:val="24"/>
          <w:szCs w:val="24"/>
          <w:highlight w:val="none"/>
        </w:rPr>
        <w:t>8.税费</w:t>
      </w:r>
      <w:bookmarkEnd w:id="62"/>
      <w:bookmarkEnd w:id="63"/>
      <w:bookmarkEnd w:id="64"/>
      <w:bookmarkEnd w:id="65"/>
      <w:bookmarkEnd w:id="66"/>
    </w:p>
    <w:p w14:paraId="5D1BC42C">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本合同执行中相关的一切税费均由乙方负担</w:t>
      </w:r>
      <w:r>
        <w:rPr>
          <w:rFonts w:hint="eastAsia" w:ascii="宋体" w:hAnsi="宋体" w:eastAsia="宋体" w:cs="宋体"/>
          <w:snapToGrid w:val="0"/>
          <w:color w:val="auto"/>
          <w:sz w:val="24"/>
          <w:szCs w:val="24"/>
          <w:highlight w:val="none"/>
          <w:lang w:eastAsia="zh-CN"/>
        </w:rPr>
        <w:t>。</w:t>
      </w:r>
    </w:p>
    <w:p w14:paraId="48B74839">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67" w:name="_Toc7802"/>
      <w:bookmarkStart w:id="68" w:name="_Toc27100"/>
      <w:bookmarkStart w:id="69" w:name="_Toc5254"/>
      <w:bookmarkStart w:id="70" w:name="_Toc31488"/>
      <w:bookmarkStart w:id="71" w:name="_Toc23120"/>
      <w:r>
        <w:rPr>
          <w:rFonts w:hint="eastAsia" w:ascii="宋体" w:hAnsi="宋体" w:eastAsia="宋体" w:cs="宋体"/>
          <w:b/>
          <w:snapToGrid w:val="0"/>
          <w:color w:val="auto"/>
          <w:sz w:val="24"/>
          <w:szCs w:val="24"/>
          <w:highlight w:val="none"/>
        </w:rPr>
        <w:t>9.货物包装、发运及运输</w:t>
      </w:r>
      <w:bookmarkEnd w:id="67"/>
      <w:bookmarkEnd w:id="68"/>
      <w:bookmarkEnd w:id="69"/>
      <w:bookmarkEnd w:id="70"/>
      <w:bookmarkEnd w:id="71"/>
    </w:p>
    <w:p w14:paraId="66B70035">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9.1 使用说明书、质量检验证明书、随配附件以及清单一并附于货物内。</w:t>
      </w:r>
    </w:p>
    <w:p w14:paraId="4A76F9D9">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9.2 乙方在货物发运手续办理完毕后24小时内或货到甲方48小时前通知甲方，以准备接货。</w:t>
      </w:r>
    </w:p>
    <w:p w14:paraId="6D842D2A">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9.3 货物在交付甲方前发生的风险均由乙方负责。</w:t>
      </w:r>
    </w:p>
    <w:p w14:paraId="29EA05FE">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9.4 货物在规定的交付期限内由乙方送达甲方指定的地点视为交付，乙方同时需通知甲方货物已送达。</w:t>
      </w:r>
    </w:p>
    <w:p w14:paraId="12A0EEC4">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72" w:name="_Toc10193"/>
      <w:bookmarkStart w:id="73" w:name="_Toc22273"/>
      <w:bookmarkStart w:id="74" w:name="_Toc26441"/>
      <w:bookmarkStart w:id="75" w:name="_Toc26189"/>
      <w:bookmarkStart w:id="76" w:name="_Toc10594"/>
      <w:r>
        <w:rPr>
          <w:rFonts w:hint="eastAsia" w:ascii="宋体" w:hAnsi="宋体" w:eastAsia="宋体" w:cs="宋体"/>
          <w:b/>
          <w:snapToGrid w:val="0"/>
          <w:color w:val="auto"/>
          <w:sz w:val="24"/>
          <w:szCs w:val="24"/>
          <w:highlight w:val="none"/>
        </w:rPr>
        <w:t>10.质量保证及售后服务</w:t>
      </w:r>
      <w:bookmarkEnd w:id="72"/>
      <w:bookmarkEnd w:id="73"/>
      <w:bookmarkEnd w:id="74"/>
      <w:bookmarkEnd w:id="75"/>
      <w:bookmarkEnd w:id="76"/>
    </w:p>
    <w:p w14:paraId="753CA272">
      <w:pPr>
        <w:wordWrap w:val="0"/>
        <w:adjustRightInd w:val="0"/>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10.1 </w:t>
      </w:r>
      <w:r>
        <w:rPr>
          <w:rFonts w:hint="eastAsia" w:ascii="宋体" w:hAnsi="宋体" w:eastAsia="宋体" w:cs="宋体"/>
          <w:color w:val="auto"/>
          <w:kern w:val="0"/>
          <w:sz w:val="24"/>
          <w:highlight w:val="none"/>
          <w:lang w:eastAsia="zh-CN"/>
        </w:rPr>
        <w:t>投标人</w:t>
      </w:r>
      <w:r>
        <w:rPr>
          <w:rFonts w:hint="eastAsia" w:ascii="宋体" w:hAnsi="宋体" w:eastAsia="宋体" w:cs="宋体"/>
          <w:color w:val="auto"/>
          <w:kern w:val="0"/>
          <w:sz w:val="24"/>
          <w:highlight w:val="none"/>
        </w:rPr>
        <w:t>应承诺提供的货物是全新、未使用过的，并完全符合强制性的国家技术质量规范和招标文件规定的质量、规格、性能和技术规范等的要求，否则视为未响应招标文件。</w:t>
      </w:r>
    </w:p>
    <w:p w14:paraId="36EB4EE9">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10.2合同项下货物的质量保证期为自货物通过最终验收起</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u w:val="single"/>
          <w:lang w:val="en-US" w:eastAsia="zh-CN"/>
        </w:rPr>
        <w:t>12</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个月，在质保期内，因人为因素出现故障外，乙方对货物出现的质量及安全问题负责处理解决并承担一切费用。</w:t>
      </w:r>
    </w:p>
    <w:p w14:paraId="2DB35B0B">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10.</w:t>
      </w:r>
      <w:r>
        <w:rPr>
          <w:rFonts w:hint="eastAsia" w:ascii="宋体" w:hAnsi="宋体" w:eastAsia="宋体" w:cs="宋体"/>
          <w:snapToGrid w:val="0"/>
          <w:color w:val="auto"/>
          <w:sz w:val="24"/>
          <w:szCs w:val="24"/>
          <w:highlight w:val="none"/>
          <w:lang w:val="en-US" w:eastAsia="zh-CN"/>
        </w:rPr>
        <w:t>3</w:t>
      </w:r>
      <w:r>
        <w:rPr>
          <w:rFonts w:hint="eastAsia" w:ascii="宋体" w:hAnsi="宋体" w:eastAsia="宋体" w:cs="宋体"/>
          <w:snapToGrid w:val="0"/>
          <w:color w:val="auto"/>
          <w:sz w:val="24"/>
          <w:szCs w:val="24"/>
          <w:highlight w:val="none"/>
        </w:rPr>
        <w:t>在使用过程中发生故障，乙方在接到甲方通知后在</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u w:val="single"/>
          <w:lang w:val="en-US" w:eastAsia="zh-CN"/>
        </w:rPr>
        <w:t>24</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小时内到达甲方现场，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u w:val="single"/>
          <w:lang w:val="en-US" w:eastAsia="zh-CN"/>
        </w:rPr>
        <w:t>8</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小时内解除故障。</w:t>
      </w:r>
    </w:p>
    <w:p w14:paraId="7038D9A8">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77" w:name="_Toc16081"/>
      <w:bookmarkStart w:id="78" w:name="_Toc24537"/>
      <w:bookmarkStart w:id="79" w:name="_Toc23532"/>
      <w:bookmarkStart w:id="80" w:name="_Toc18727"/>
      <w:bookmarkStart w:id="81" w:name="_Toc1522"/>
      <w:r>
        <w:rPr>
          <w:rFonts w:hint="eastAsia" w:ascii="宋体" w:hAnsi="宋体" w:eastAsia="宋体" w:cs="宋体"/>
          <w:b/>
          <w:snapToGrid w:val="0"/>
          <w:color w:val="auto"/>
          <w:sz w:val="24"/>
          <w:szCs w:val="24"/>
          <w:highlight w:val="none"/>
        </w:rPr>
        <w:t>11.调试和验收</w:t>
      </w:r>
      <w:bookmarkEnd w:id="77"/>
      <w:bookmarkEnd w:id="78"/>
      <w:bookmarkEnd w:id="79"/>
      <w:bookmarkEnd w:id="80"/>
      <w:bookmarkEnd w:id="81"/>
    </w:p>
    <w:p w14:paraId="1254EBCF">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11.1乙方交货前对产品作出全面检查和对验收文件进行整理，并列出清单，作为甲方收货验收和使用的技术条件依据，检验的结果应随货物交甲方。</w:t>
      </w:r>
    </w:p>
    <w:p w14:paraId="3CD0ED0B">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11.2货物运抵现场后，甲方依据招标文件上的技术规格要求和国家有关质量标准在3个工作日内组织初步验收，并制作验收备忘录，签署验收意见。</w:t>
      </w:r>
    </w:p>
    <w:p w14:paraId="0C943677">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11.3 甲方对乙方提供的货物在使用前进行调试时，乙方负责安装并培训甲方的使用操作人员。</w:t>
      </w:r>
    </w:p>
    <w:p w14:paraId="70B80693">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11.4 对大型或技术复杂的货物，甲方可邀请国家认可的专业检测机构参与初步验收及最终验收，并由其出具质量检测报告。</w:t>
      </w:r>
    </w:p>
    <w:p w14:paraId="439C4A28">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11.5 验收时乙方必须在现场，验收完毕后作出验收结果报告。</w:t>
      </w:r>
    </w:p>
    <w:p w14:paraId="3F4A55C7">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82" w:name="_Toc10"/>
      <w:bookmarkStart w:id="83" w:name="_Toc32068"/>
      <w:bookmarkStart w:id="84" w:name="_Toc21615"/>
      <w:bookmarkStart w:id="85" w:name="_Toc31917"/>
      <w:bookmarkStart w:id="86" w:name="_Toc3970"/>
      <w:r>
        <w:rPr>
          <w:rFonts w:hint="eastAsia" w:ascii="宋体" w:hAnsi="宋体" w:eastAsia="宋体" w:cs="宋体"/>
          <w:b/>
          <w:snapToGrid w:val="0"/>
          <w:color w:val="auto"/>
          <w:sz w:val="24"/>
          <w:szCs w:val="24"/>
          <w:highlight w:val="none"/>
        </w:rPr>
        <w:t>12.索赔</w:t>
      </w:r>
      <w:bookmarkEnd w:id="82"/>
      <w:bookmarkEnd w:id="83"/>
      <w:bookmarkEnd w:id="84"/>
      <w:bookmarkEnd w:id="85"/>
      <w:bookmarkEnd w:id="86"/>
    </w:p>
    <w:p w14:paraId="3173B3E8">
      <w:pPr>
        <w:wordWrap w:val="0"/>
        <w:adjustRightInd w:val="0"/>
        <w:snapToGrid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xml:space="preserve"> 12.1 如果货物的质量、规格、数量、重量等与合同不符，或在质量保证期内证实货物存有质量问题或使用不符合要求的材料等，甲方有权根据有资质的权威质检机构的检验结果向乙方提出索赔(但责任应由保险公司或运输部门承担的除外)。</w:t>
      </w:r>
    </w:p>
    <w:p w14:paraId="53E52A1D">
      <w:pPr>
        <w:wordWrap w:val="0"/>
        <w:adjustRightInd w:val="0"/>
        <w:snapToGrid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xml:space="preserve"> 12.2 在根据合同第10条规定的质量保证期内，如果乙方对甲方提出的索赔负有责任，乙方应按照甲方同意的下列一种或多种方式解决索赔事宜：</w:t>
      </w:r>
    </w:p>
    <w:p w14:paraId="52E15E9C">
      <w:pPr>
        <w:wordWrap w:val="0"/>
        <w:adjustRightInd w:val="0"/>
        <w:snapToGrid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xml:space="preserve"> 12.2.1 在法定的退货期内，甲方将货物款退还给乙方，乙方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2FDDAC9A">
      <w:pPr>
        <w:wordWrap w:val="0"/>
        <w:adjustRightInd w:val="0"/>
        <w:snapToGrid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xml:space="preserve"> 12.2.2 用符合规格、质量和性能要求的新零件、部件或货物来更换有缺陷的部分或/和修补缺陷部分，乙方承担一切费用和风险并负担甲方所发生的一切直接费用。同时，乙方方应按合同第12条规定，相应延长修补或更换件的质量保证期。</w:t>
      </w:r>
    </w:p>
    <w:p w14:paraId="11634589">
      <w:pPr>
        <w:wordWrap w:val="0"/>
        <w:adjustRightInd w:val="0"/>
        <w:snapToGrid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xml:space="preserve"> 12.2.3 如果在甲方发出索赔通知后</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日内，乙方未作答复，上述索赔应视为已被乙方接受。如乙方未能在甲方提出索赔通知后</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日内或买方同意的更长时间内，按照本合同第12.2条规定的任何一种方法解决索赔事宜，甲方将从合同款中扣回索赔金额。如果这些金额不足以补偿索赔金额，甲方有权向乙方提出不足部分的补偿。</w:t>
      </w:r>
    </w:p>
    <w:p w14:paraId="6132D036">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87" w:name="_Toc32753"/>
      <w:bookmarkStart w:id="88" w:name="_Toc6671"/>
      <w:bookmarkStart w:id="89" w:name="_Toc11434"/>
      <w:bookmarkStart w:id="90" w:name="_Toc1072"/>
      <w:bookmarkStart w:id="91" w:name="_Toc29003"/>
      <w:r>
        <w:rPr>
          <w:rFonts w:hint="eastAsia" w:ascii="宋体" w:hAnsi="宋体" w:eastAsia="宋体" w:cs="宋体"/>
          <w:b/>
          <w:snapToGrid w:val="0"/>
          <w:color w:val="auto"/>
          <w:sz w:val="24"/>
          <w:szCs w:val="24"/>
          <w:highlight w:val="none"/>
        </w:rPr>
        <w:t>13.违约责任</w:t>
      </w:r>
      <w:bookmarkEnd w:id="87"/>
      <w:bookmarkEnd w:id="88"/>
      <w:bookmarkEnd w:id="89"/>
      <w:bookmarkEnd w:id="90"/>
      <w:bookmarkEnd w:id="91"/>
    </w:p>
    <w:p w14:paraId="1E2CA003">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13.1 甲方无正当理由拒收货物的，甲方向乙方偿付拒收货款总值的5%违约金。</w:t>
      </w:r>
    </w:p>
    <w:p w14:paraId="185BE83A">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13.2 甲方无故逾期验收和办理货款支付手续的,甲方按逾期付款总额每日万分之五向乙方支付违约金。</w:t>
      </w:r>
    </w:p>
    <w:p w14:paraId="075DF5C2">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13.3 乙方逾期交付货物的，乙方按逾期交货总额每日万分之五向甲方支付违约金。逾期超过约定日期10个工作日不能交货的，甲方有权选择同意延长交货期或解除本合同。甲方同意延长交货期的，延期交货的时间由双方别行确定。乙方仍按上述规定向甲方支付延期交货违约金。违约金由甲方从待付货款中扣除。乙方因逾期交货或因其他违约行为导致甲方解除合同的，乙方向甲方支付合同总值5%的违约金，如造成甲方损失超过违约金的，超出部分由乙方继续承担赔偿责任。</w:t>
      </w:r>
    </w:p>
    <w:p w14:paraId="0D4DD947">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92" w:name="_Toc14185"/>
      <w:bookmarkStart w:id="93" w:name="_Toc27655"/>
      <w:bookmarkStart w:id="94" w:name="_Toc30078"/>
      <w:bookmarkStart w:id="95" w:name="_Toc5108"/>
      <w:bookmarkStart w:id="96" w:name="_Toc1972"/>
      <w:r>
        <w:rPr>
          <w:rFonts w:hint="eastAsia" w:ascii="宋体" w:hAnsi="宋体" w:eastAsia="宋体" w:cs="宋体"/>
          <w:b/>
          <w:snapToGrid w:val="0"/>
          <w:color w:val="auto"/>
          <w:sz w:val="24"/>
          <w:szCs w:val="24"/>
          <w:highlight w:val="none"/>
        </w:rPr>
        <w:t>14.不可抗力事件处理</w:t>
      </w:r>
      <w:bookmarkEnd w:id="92"/>
      <w:bookmarkEnd w:id="93"/>
      <w:bookmarkEnd w:id="94"/>
      <w:bookmarkEnd w:id="95"/>
      <w:bookmarkEnd w:id="96"/>
    </w:p>
    <w:p w14:paraId="2C54892B">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14.1因不可抗力造成违约的，遭受不可抗力一方应及时向对方通报不能履行或不能完全履行的理由，并在随后取得有关权威机构出具的证明后的15日内向另一方提供不可抗力发生以及持续期间的充分证据。基本于以上行为，允许遭受不可抗力一方延期履行、部分履行或者不履行合同，并根据情况可部分或全部免于承担违约责任。</w:t>
      </w:r>
    </w:p>
    <w:p w14:paraId="1029DF97">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14.2 本合同中的不可抗力指不能预见、不能避免并不能克服的客观情况。包括但不限于：自然灾害如地震、台风、洪水、火灾；政府行为、法律规定或其适用的变化或者其他任何无法预见、避免或者控制的事件。</w:t>
      </w:r>
    </w:p>
    <w:p w14:paraId="6ED043AE">
      <w:pPr>
        <w:wordWrap w:val="0"/>
        <w:adjustRightInd w:val="0"/>
        <w:snapToGrid w:val="0"/>
        <w:spacing w:line="360" w:lineRule="auto"/>
        <w:ind w:firstLine="482" w:firstLineChars="200"/>
        <w:outlineLvl w:val="2"/>
        <w:rPr>
          <w:rFonts w:hint="eastAsia" w:ascii="宋体" w:hAnsi="宋体" w:eastAsia="宋体" w:cs="宋体"/>
          <w:b/>
          <w:snapToGrid w:val="0"/>
          <w:color w:val="auto"/>
          <w:sz w:val="24"/>
          <w:szCs w:val="24"/>
          <w:highlight w:val="none"/>
        </w:rPr>
      </w:pPr>
      <w:bookmarkStart w:id="97" w:name="_Toc31934"/>
      <w:bookmarkStart w:id="98" w:name="_Toc24350"/>
      <w:bookmarkStart w:id="99" w:name="_Toc17996"/>
      <w:bookmarkStart w:id="100" w:name="_Toc15043"/>
      <w:bookmarkStart w:id="101" w:name="_Toc18862"/>
      <w:r>
        <w:rPr>
          <w:rFonts w:hint="eastAsia" w:ascii="宋体" w:hAnsi="宋体" w:eastAsia="宋体" w:cs="宋体"/>
          <w:b/>
          <w:snapToGrid w:val="0"/>
          <w:color w:val="auto"/>
          <w:sz w:val="24"/>
          <w:szCs w:val="24"/>
          <w:highlight w:val="none"/>
        </w:rPr>
        <w:t>15.合同纠纷处理</w:t>
      </w:r>
      <w:bookmarkEnd w:id="97"/>
      <w:bookmarkEnd w:id="98"/>
      <w:bookmarkEnd w:id="99"/>
      <w:bookmarkEnd w:id="100"/>
      <w:bookmarkEnd w:id="101"/>
    </w:p>
    <w:p w14:paraId="424EB6FB">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因本合同或与本合同有关的一切事项发生争议，由双方友好协商解决。协商不成的，任何一方均可选择以下方式解决：</w:t>
      </w:r>
    </w:p>
    <w:p w14:paraId="2FC373AD">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15.1 向甲方所在地仲裁委员会申请仲裁。</w:t>
      </w:r>
    </w:p>
    <w:p w14:paraId="5EB36900">
      <w:pPr>
        <w:wordWrap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15.2 向合同签订地人民法院提起诉讼。</w:t>
      </w:r>
    </w:p>
    <w:p w14:paraId="413B7365">
      <w:pPr>
        <w:keepNext w:val="0"/>
        <w:keepLines w:val="0"/>
        <w:pageBreakBefore w:val="0"/>
        <w:widowControl w:val="0"/>
        <w:kinsoku/>
        <w:wordWrap w:val="0"/>
        <w:overflowPunct/>
        <w:topLinePunct w:val="0"/>
        <w:autoSpaceDE/>
        <w:autoSpaceDN/>
        <w:bidi w:val="0"/>
        <w:adjustRightInd w:val="0"/>
        <w:snapToGrid w:val="0"/>
        <w:spacing w:line="420" w:lineRule="exact"/>
        <w:ind w:firstLine="482" w:firstLineChars="200"/>
        <w:textAlignment w:val="auto"/>
        <w:outlineLvl w:val="2"/>
        <w:rPr>
          <w:rFonts w:hint="eastAsia" w:ascii="宋体" w:hAnsi="宋体" w:eastAsia="宋体" w:cs="宋体"/>
          <w:b/>
          <w:snapToGrid w:val="0"/>
          <w:color w:val="auto"/>
          <w:sz w:val="24"/>
          <w:szCs w:val="24"/>
          <w:highlight w:val="none"/>
        </w:rPr>
      </w:pPr>
      <w:bookmarkStart w:id="102" w:name="_Toc18179"/>
      <w:bookmarkStart w:id="103" w:name="_Toc30134"/>
      <w:bookmarkStart w:id="104" w:name="_Toc10851"/>
      <w:bookmarkStart w:id="105" w:name="_Toc6095"/>
      <w:bookmarkStart w:id="106" w:name="_Toc16779"/>
      <w:r>
        <w:rPr>
          <w:rFonts w:hint="eastAsia" w:ascii="宋体" w:hAnsi="宋体" w:eastAsia="宋体" w:cs="宋体"/>
          <w:b/>
          <w:snapToGrid w:val="0"/>
          <w:color w:val="auto"/>
          <w:sz w:val="24"/>
          <w:szCs w:val="24"/>
          <w:highlight w:val="none"/>
        </w:rPr>
        <w:t>16.违约解除合同</w:t>
      </w:r>
      <w:bookmarkEnd w:id="102"/>
      <w:bookmarkEnd w:id="103"/>
      <w:bookmarkEnd w:id="104"/>
      <w:bookmarkEnd w:id="105"/>
      <w:bookmarkEnd w:id="106"/>
    </w:p>
    <w:p w14:paraId="38FC3140">
      <w:pPr>
        <w:keepNext w:val="0"/>
        <w:keepLines w:val="0"/>
        <w:pageBreakBefore w:val="0"/>
        <w:widowControl w:val="0"/>
        <w:kinsoku/>
        <w:wordWrap w:val="0"/>
        <w:overflowPunct/>
        <w:topLinePunct w:val="0"/>
        <w:autoSpaceDE/>
        <w:autoSpaceDN/>
        <w:bidi w:val="0"/>
        <w:adjustRightInd w:val="0"/>
        <w:snapToGrid w:val="0"/>
        <w:spacing w:line="42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xml:space="preserve"> 16.1在乙方违约的情况下，甲方可向乙方发出书面通知，部分或全部终止合同，同时保留向对方追诉的权利。</w:t>
      </w:r>
    </w:p>
    <w:p w14:paraId="518FEE60">
      <w:pPr>
        <w:keepNext w:val="0"/>
        <w:keepLines w:val="0"/>
        <w:pageBreakBefore w:val="0"/>
        <w:widowControl w:val="0"/>
        <w:kinsoku/>
        <w:wordWrap w:val="0"/>
        <w:overflowPunct/>
        <w:topLinePunct w:val="0"/>
        <w:autoSpaceDE/>
        <w:autoSpaceDN/>
        <w:bidi w:val="0"/>
        <w:adjustRightInd w:val="0"/>
        <w:snapToGrid w:val="0"/>
        <w:spacing w:line="42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xml:space="preserve"> 16.1.1 乙方未能在合同规定的限期或甲方同意延长的限期内提供全部或部分货物，按合同规定可以解除合同的。</w:t>
      </w:r>
    </w:p>
    <w:p w14:paraId="06EF5A1E">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16.1.2 乙方未能履行合同规定的其它主要义务的。</w:t>
      </w:r>
    </w:p>
    <w:p w14:paraId="5D04F317">
      <w:pPr>
        <w:keepNext w:val="0"/>
        <w:keepLines w:val="0"/>
        <w:pageBreakBefore w:val="0"/>
        <w:widowControl w:val="0"/>
        <w:kinsoku/>
        <w:wordWrap w:val="0"/>
        <w:overflowPunct/>
        <w:topLinePunct w:val="0"/>
        <w:autoSpaceDE/>
        <w:autoSpaceDN/>
        <w:bidi w:val="0"/>
        <w:adjustRightInd w:val="0"/>
        <w:snapToGrid w:val="0"/>
        <w:spacing w:line="42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xml:space="preserve"> 16.1.3 在本合同履行过程中有腐败和欺诈行为的。</w:t>
      </w:r>
    </w:p>
    <w:p w14:paraId="00FE6616">
      <w:pPr>
        <w:keepNext w:val="0"/>
        <w:keepLines w:val="0"/>
        <w:pageBreakBefore w:val="0"/>
        <w:widowControl w:val="0"/>
        <w:kinsoku/>
        <w:wordWrap w:val="0"/>
        <w:overflowPunct/>
        <w:topLinePunct w:val="0"/>
        <w:autoSpaceDE/>
        <w:autoSpaceDN/>
        <w:bidi w:val="0"/>
        <w:adjustRightInd w:val="0"/>
        <w:snapToGrid w:val="0"/>
        <w:spacing w:line="42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xml:space="preserve"> 16.2 在甲方根据上述笫16.1条规定，全部或部分解除合同之后，应当遵循诚实信用原则，全部或部分购买与未交付的货物类似的货物或服务，乙方应承担甲方购买类似货物或服务而产生的额外支出。部分解除合同的，乙方应继续履行合同中未解除的部分。</w:t>
      </w:r>
    </w:p>
    <w:p w14:paraId="64E8E6F9">
      <w:pPr>
        <w:keepNext w:val="0"/>
        <w:keepLines w:val="0"/>
        <w:pageBreakBefore w:val="0"/>
        <w:widowControl w:val="0"/>
        <w:kinsoku/>
        <w:wordWrap w:val="0"/>
        <w:overflowPunct/>
        <w:topLinePunct w:val="0"/>
        <w:autoSpaceDE/>
        <w:autoSpaceDN/>
        <w:bidi w:val="0"/>
        <w:adjustRightInd w:val="0"/>
        <w:snapToGrid w:val="0"/>
        <w:spacing w:line="420" w:lineRule="exact"/>
        <w:ind w:firstLine="482" w:firstLineChars="200"/>
        <w:textAlignment w:val="auto"/>
        <w:outlineLvl w:val="2"/>
        <w:rPr>
          <w:rFonts w:hint="eastAsia" w:ascii="宋体" w:hAnsi="宋体" w:eastAsia="宋体" w:cs="宋体"/>
          <w:color w:val="auto"/>
          <w:sz w:val="24"/>
          <w:szCs w:val="24"/>
          <w:highlight w:val="none"/>
        </w:rPr>
      </w:pPr>
      <w:bookmarkStart w:id="107" w:name="_Toc31830"/>
      <w:bookmarkStart w:id="108" w:name="_Toc319"/>
      <w:bookmarkStart w:id="109" w:name="_Toc30786"/>
      <w:bookmarkStart w:id="110" w:name="_Toc727"/>
      <w:bookmarkStart w:id="111" w:name="_Toc25771"/>
      <w:r>
        <w:rPr>
          <w:rFonts w:hint="eastAsia" w:ascii="宋体" w:hAnsi="宋体" w:eastAsia="宋体" w:cs="宋体"/>
          <w:b/>
          <w:snapToGrid w:val="0"/>
          <w:color w:val="auto"/>
          <w:sz w:val="24"/>
          <w:szCs w:val="24"/>
          <w:highlight w:val="none"/>
        </w:rPr>
        <w:t>17.其他约定</w:t>
      </w:r>
      <w:bookmarkEnd w:id="107"/>
      <w:bookmarkEnd w:id="108"/>
      <w:bookmarkEnd w:id="109"/>
      <w:bookmarkEnd w:id="110"/>
      <w:bookmarkEnd w:id="111"/>
    </w:p>
    <w:p w14:paraId="4F333942">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17.1 本采购项目的招标文件、中标</w:t>
      </w:r>
      <w:r>
        <w:rPr>
          <w:rFonts w:hint="eastAsia" w:ascii="宋体" w:hAnsi="宋体" w:eastAsia="宋体" w:cs="宋体"/>
          <w:snapToGrid w:val="0"/>
          <w:color w:val="auto"/>
          <w:sz w:val="24"/>
          <w:szCs w:val="24"/>
          <w:highlight w:val="none"/>
          <w:lang w:eastAsia="zh-CN"/>
        </w:rPr>
        <w:t>投标人</w:t>
      </w:r>
      <w:r>
        <w:rPr>
          <w:rFonts w:hint="eastAsia" w:ascii="宋体" w:hAnsi="宋体" w:eastAsia="宋体" w:cs="宋体"/>
          <w:snapToGrid w:val="0"/>
          <w:color w:val="auto"/>
          <w:sz w:val="24"/>
          <w:szCs w:val="24"/>
          <w:highlight w:val="none"/>
        </w:rPr>
        <w:t>的投标文件以及相关的澄清确认函（如果有的话）均为本合同不可分割的一部分，与本合同具有同等法律效力。</w:t>
      </w:r>
    </w:p>
    <w:p w14:paraId="66F6F4BB">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17.2 本合同未尽事宜，双方另行补充。</w:t>
      </w:r>
    </w:p>
    <w:p w14:paraId="30BF73E7">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17.3本合同正本一式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份，具有同等法律效力，甲、乙双方各执一份。自采购合同签订之日起1个工作日内，甲方按照有关规定将合同副本报同级财政部门备案。</w:t>
      </w:r>
    </w:p>
    <w:p w14:paraId="0A23D83D">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甲    方：                            乙    方：</w:t>
      </w:r>
    </w:p>
    <w:p w14:paraId="1BC3F511">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单位地址：                            单位地址：</w:t>
      </w:r>
    </w:p>
    <w:p w14:paraId="418607A8">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法定代表人：                          法定代表人：</w:t>
      </w:r>
    </w:p>
    <w:p w14:paraId="3489659C">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委托代理人：                          委托代理人：</w:t>
      </w:r>
    </w:p>
    <w:p w14:paraId="0AF29B9C">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电    话：                            电    话：</w:t>
      </w:r>
    </w:p>
    <w:p w14:paraId="46486AB9">
      <w:pPr>
        <w:keepNext w:val="0"/>
        <w:keepLines w:val="0"/>
        <w:pageBreakBefore w:val="0"/>
        <w:widowControl w:val="0"/>
        <w:kinsoku/>
        <w:wordWrap w:val="0"/>
        <w:overflowPunct/>
        <w:topLinePunct w:val="0"/>
        <w:autoSpaceDE/>
        <w:autoSpaceDN/>
        <w:bidi w:val="0"/>
        <w:adjustRightInd w:val="0"/>
        <w:snapToGrid w:val="0"/>
        <w:spacing w:line="420" w:lineRule="exact"/>
        <w:ind w:firstLine="4320" w:firstLineChars="1800"/>
        <w:textAlignment w:val="auto"/>
        <w:rPr>
          <w:rFonts w:hint="eastAsia" w:ascii="宋体" w:hAnsi="宋体" w:eastAsia="宋体" w:cs="宋体"/>
          <w:snapToGrid w:val="0"/>
          <w:color w:val="auto"/>
          <w:sz w:val="24"/>
          <w:szCs w:val="24"/>
          <w:highlight w:val="none"/>
        </w:rPr>
      </w:pPr>
    </w:p>
    <w:p w14:paraId="79DABA7D">
      <w:pPr>
        <w:keepNext w:val="0"/>
        <w:keepLines w:val="0"/>
        <w:pageBreakBefore w:val="0"/>
        <w:widowControl w:val="0"/>
        <w:kinsoku/>
        <w:wordWrap w:val="0"/>
        <w:overflowPunct/>
        <w:topLinePunct w:val="0"/>
        <w:autoSpaceDE/>
        <w:autoSpaceDN/>
        <w:bidi w:val="0"/>
        <w:adjustRightInd w:val="0"/>
        <w:snapToGrid w:val="0"/>
        <w:spacing w:line="420" w:lineRule="exact"/>
        <w:ind w:firstLine="4320" w:firstLineChars="18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签订日期： 年  月  日</w:t>
      </w:r>
    </w:p>
    <w:p w14:paraId="49A1E06A">
      <w:pPr>
        <w:pStyle w:val="5"/>
        <w:rPr>
          <w:rFonts w:hint="eastAsia" w:ascii="宋体" w:hAnsi="宋体" w:eastAsia="宋体" w:cs="宋体"/>
          <w:highlight w:val="none"/>
        </w:rPr>
      </w:pPr>
      <w:r>
        <w:rPr>
          <w:rFonts w:hint="eastAsia" w:ascii="宋体" w:hAnsi="宋体" w:eastAsia="宋体" w:cs="宋体"/>
          <w:highlight w:val="none"/>
        </w:rPr>
        <w:br w:type="column"/>
      </w:r>
    </w:p>
    <w:p w14:paraId="0A8B58E6">
      <w:pPr>
        <w:widowControl/>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第六章  附件--投标文件格式</w:t>
      </w:r>
    </w:p>
    <w:tbl>
      <w:tblPr>
        <w:tblStyle w:val="48"/>
        <w:tblpPr w:leftFromText="180" w:rightFromText="180" w:topFromText="100" w:bottomFromText="100" w:vertAnchor="text" w:horzAnchor="margin" w:tblpY="12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6"/>
      </w:tblGrid>
      <w:tr w14:paraId="2C50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946" w:type="dxa"/>
            <w:tcBorders>
              <w:top w:val="single" w:color="auto" w:sz="4" w:space="0"/>
              <w:left w:val="single" w:color="auto" w:sz="4" w:space="0"/>
              <w:bottom w:val="single" w:color="auto" w:sz="4" w:space="0"/>
              <w:right w:val="single" w:color="auto" w:sz="4" w:space="0"/>
            </w:tcBorders>
          </w:tcPr>
          <w:p w14:paraId="415A60D1">
            <w:pPr>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注释： </w:t>
            </w:r>
          </w:p>
          <w:p w14:paraId="6C49C0C4">
            <w:pPr>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《投标文件格式》是</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的部分投标文件格式和签订合同时所需文件的格式。</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应按照这些格式文件制作投标文件。</w:t>
            </w:r>
          </w:p>
          <w:p w14:paraId="3FF5506A">
            <w:pPr>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tc>
      </w:tr>
    </w:tbl>
    <w:p w14:paraId="6B44D76B">
      <w:pPr>
        <w:widowControl/>
        <w:spacing w:line="360" w:lineRule="auto"/>
        <w:jc w:val="left"/>
        <w:rPr>
          <w:rFonts w:hint="eastAsia" w:ascii="宋体" w:hAnsi="宋体" w:eastAsia="宋体" w:cs="宋体"/>
          <w:color w:val="auto"/>
          <w:kern w:val="0"/>
          <w:sz w:val="24"/>
          <w:szCs w:val="24"/>
          <w:highlight w:val="none"/>
        </w:rPr>
      </w:pPr>
    </w:p>
    <w:p w14:paraId="476B875B">
      <w:pPr>
        <w:widowControl/>
        <w:wordWrap w:val="0"/>
        <w:snapToGrid w:val="0"/>
        <w:spacing w:line="460" w:lineRule="exact"/>
        <w:ind w:firstLine="562" w:firstLineChars="200"/>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目    录</w:t>
      </w:r>
    </w:p>
    <w:p w14:paraId="1D528697">
      <w:pPr>
        <w:widowControl/>
        <w:spacing w:line="360" w:lineRule="auto"/>
        <w:ind w:firstLine="440" w:firstLineChars="20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 </w:t>
      </w:r>
    </w:p>
    <w:p w14:paraId="7B3126E7">
      <w:pPr>
        <w:widowControl/>
        <w:spacing w:line="360" w:lineRule="auto"/>
        <w:ind w:firstLine="480" w:firstLineChars="200"/>
        <w:jc w:val="left"/>
        <w:rPr>
          <w:rFonts w:hint="eastAsia" w:ascii="宋体" w:hAnsi="宋体" w:eastAsia="宋体" w:cs="宋体"/>
          <w:color w:val="auto"/>
          <w:kern w:val="0"/>
          <w:sz w:val="24"/>
          <w:szCs w:val="24"/>
          <w:highlight w:val="none"/>
        </w:rPr>
      </w:pPr>
    </w:p>
    <w:p w14:paraId="1064EC9C">
      <w:pPr>
        <w:widowControl/>
        <w:spacing w:line="360" w:lineRule="auto"/>
        <w:ind w:firstLine="480" w:firstLineChars="200"/>
        <w:jc w:val="left"/>
        <w:rPr>
          <w:rFonts w:hint="eastAsia" w:ascii="宋体" w:hAnsi="宋体" w:eastAsia="宋体" w:cs="宋体"/>
          <w:color w:val="auto"/>
          <w:kern w:val="0"/>
          <w:sz w:val="24"/>
          <w:szCs w:val="24"/>
          <w:highlight w:val="none"/>
        </w:rPr>
      </w:pPr>
    </w:p>
    <w:p w14:paraId="3B43060C">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附件1 投标文件封面（格式）</w:t>
      </w:r>
    </w:p>
    <w:p w14:paraId="4A5BAA87">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附件2 投标书（格式）</w:t>
      </w:r>
    </w:p>
    <w:p w14:paraId="15B2EAD0">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附件3 开标一览表（格式）</w:t>
      </w:r>
    </w:p>
    <w:p w14:paraId="715F72A3">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附件4 投标报价明细表（格式）</w:t>
      </w:r>
    </w:p>
    <w:p w14:paraId="7DE8B626">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szCs w:val="24"/>
          <w:highlight w:val="none"/>
        </w:rPr>
        <w:t xml:space="preserve">附件5 </w:t>
      </w:r>
      <w:r>
        <w:rPr>
          <w:rFonts w:hint="eastAsia" w:ascii="宋体" w:hAnsi="宋体" w:eastAsia="宋体" w:cs="宋体"/>
          <w:color w:val="auto"/>
          <w:kern w:val="0"/>
          <w:sz w:val="24"/>
          <w:highlight w:val="none"/>
        </w:rPr>
        <w:t>供货范围清单（格式自拟）</w:t>
      </w:r>
    </w:p>
    <w:p w14:paraId="531C653A">
      <w:pPr>
        <w:pStyle w:val="2"/>
        <w:ind w:firstLine="480" w:firstLineChars="200"/>
        <w:rPr>
          <w:rFonts w:hint="eastAsia" w:ascii="宋体" w:hAnsi="宋体" w:eastAsia="宋体" w:cs="宋体"/>
          <w:highlight w:val="none"/>
        </w:rPr>
      </w:pPr>
      <w:r>
        <w:rPr>
          <w:rFonts w:hint="eastAsia" w:ascii="宋体" w:hAnsi="宋体" w:eastAsia="宋体" w:cs="宋体"/>
          <w:color w:val="auto"/>
          <w:kern w:val="0"/>
          <w:sz w:val="24"/>
          <w:highlight w:val="none"/>
        </w:rPr>
        <w:t>附件6 技术响应表（格式）</w:t>
      </w:r>
    </w:p>
    <w:p w14:paraId="25F80A2F">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 xml:space="preserve"> 商务响应表（格式）</w:t>
      </w:r>
    </w:p>
    <w:p w14:paraId="670557F6">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w:t>
      </w: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 xml:space="preserve"> 法定代表人身份证明（格式）</w:t>
      </w:r>
    </w:p>
    <w:p w14:paraId="7F67B295">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 xml:space="preserve"> 法定代表人授权书（格式）</w:t>
      </w:r>
    </w:p>
    <w:p w14:paraId="794806B7">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证明文件</w:t>
      </w:r>
    </w:p>
    <w:p w14:paraId="52AB9320">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 xml:space="preserve"> 投标人活动承诺书</w:t>
      </w:r>
    </w:p>
    <w:p w14:paraId="360C2AAC">
      <w:pPr>
        <w:widowControl/>
        <w:spacing w:line="360" w:lineRule="auto"/>
        <w:ind w:firstLine="480" w:firstLineChars="200"/>
        <w:jc w:val="left"/>
        <w:rPr>
          <w:rFonts w:hint="eastAsia" w:ascii="宋体" w:hAnsi="宋体" w:eastAsia="宋体" w:cs="宋体"/>
          <w:color w:val="auto"/>
          <w:kern w:val="0"/>
          <w:sz w:val="24"/>
          <w:szCs w:val="24"/>
          <w:highlight w:val="none"/>
        </w:rPr>
      </w:pPr>
    </w:p>
    <w:p w14:paraId="39E7C301">
      <w:pPr>
        <w:widowControl/>
        <w:spacing w:line="360" w:lineRule="auto"/>
        <w:ind w:left="479" w:leftChars="228"/>
        <w:jc w:val="left"/>
        <w:rPr>
          <w:rFonts w:hint="eastAsia" w:ascii="宋体" w:hAnsi="宋体" w:eastAsia="宋体" w:cs="宋体"/>
          <w:color w:val="auto"/>
          <w:kern w:val="0"/>
          <w:sz w:val="24"/>
          <w:szCs w:val="24"/>
          <w:highlight w:val="none"/>
        </w:rPr>
      </w:pPr>
    </w:p>
    <w:p w14:paraId="609E90F8">
      <w:pPr>
        <w:rPr>
          <w:rFonts w:hint="eastAsia" w:ascii="宋体" w:hAnsi="宋体" w:eastAsia="宋体" w:cs="宋体"/>
          <w:b/>
          <w:bCs/>
          <w:color w:val="auto"/>
          <w:kern w:val="0"/>
          <w:sz w:val="32"/>
          <w:szCs w:val="32"/>
          <w:highlight w:val="none"/>
        </w:rPr>
      </w:pPr>
      <w:r>
        <w:rPr>
          <w:rFonts w:hint="eastAsia" w:ascii="宋体" w:hAnsi="宋体" w:eastAsia="宋体" w:cs="宋体"/>
          <w:color w:val="auto"/>
          <w:kern w:val="0"/>
          <w:sz w:val="24"/>
          <w:highlight w:val="none"/>
        </w:rPr>
        <w:br w:type="column"/>
      </w:r>
      <w:r>
        <w:rPr>
          <w:rFonts w:hint="eastAsia" w:ascii="宋体" w:hAnsi="宋体" w:eastAsia="宋体" w:cs="宋体"/>
          <w:b/>
          <w:bCs/>
          <w:color w:val="auto"/>
          <w:kern w:val="0"/>
          <w:sz w:val="32"/>
          <w:szCs w:val="32"/>
          <w:highlight w:val="none"/>
        </w:rPr>
        <w:t>附件1</w:t>
      </w:r>
      <w:r>
        <w:rPr>
          <w:rFonts w:hint="eastAsia" w:ascii="宋体" w:hAnsi="宋体" w:eastAsia="宋体" w:cs="宋体"/>
          <w:b/>
          <w:bCs/>
          <w:color w:val="auto"/>
          <w:kern w:val="0"/>
          <w:sz w:val="22"/>
          <w:highlight w:val="none"/>
        </w:rPr>
        <w:t xml:space="preserve">                    </w:t>
      </w:r>
      <w:r>
        <w:rPr>
          <w:rFonts w:hint="eastAsia" w:ascii="宋体" w:hAnsi="宋体" w:eastAsia="宋体" w:cs="宋体"/>
          <w:b/>
          <w:bCs/>
          <w:color w:val="auto"/>
          <w:kern w:val="0"/>
          <w:sz w:val="32"/>
          <w:szCs w:val="32"/>
          <w:highlight w:val="none"/>
        </w:rPr>
        <w:t xml:space="preserve">  </w:t>
      </w:r>
    </w:p>
    <w:p w14:paraId="24843033">
      <w:pPr>
        <w:jc w:val="cente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投标文件封面（格式）</w:t>
      </w:r>
    </w:p>
    <w:p w14:paraId="711A69D8">
      <w:pP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 xml:space="preserve"> </w:t>
      </w:r>
    </w:p>
    <w:p w14:paraId="2911288A">
      <w:pPr>
        <w:spacing w:line="360" w:lineRule="auto"/>
        <w:jc w:val="center"/>
        <w:rPr>
          <w:rFonts w:hint="eastAsia" w:ascii="宋体" w:hAnsi="宋体" w:eastAsia="宋体" w:cs="宋体"/>
          <w:b/>
          <w:sz w:val="28"/>
          <w:szCs w:val="28"/>
          <w:highlight w:val="none"/>
          <w:u w:val="single"/>
        </w:rPr>
      </w:pPr>
      <w:r>
        <w:rPr>
          <w:rFonts w:hint="eastAsia" w:ascii="宋体" w:hAnsi="宋体" w:eastAsia="宋体" w:cs="宋体"/>
          <w:b/>
          <w:sz w:val="28"/>
          <w:szCs w:val="28"/>
          <w:highlight w:val="none"/>
          <w:u w:val="single"/>
          <w:lang w:val="en-US" w:eastAsia="zh-CN"/>
        </w:rPr>
        <w:t xml:space="preserve">                         </w:t>
      </w:r>
      <w:r>
        <w:rPr>
          <w:rFonts w:hint="eastAsia" w:ascii="宋体" w:hAnsi="宋体" w:eastAsia="宋体" w:cs="宋体"/>
          <w:b/>
          <w:sz w:val="28"/>
          <w:szCs w:val="28"/>
          <w:highlight w:val="none"/>
          <w:u w:val="single"/>
        </w:rPr>
        <w:t>（项目名称）</w:t>
      </w:r>
    </w:p>
    <w:p w14:paraId="32F1CA6E">
      <w:pPr>
        <w:jc w:val="center"/>
        <w:rPr>
          <w:rFonts w:hint="eastAsia" w:ascii="宋体" w:hAnsi="宋体" w:eastAsia="宋体" w:cs="宋体"/>
          <w:b/>
          <w:color w:val="auto"/>
          <w:kern w:val="0"/>
          <w:sz w:val="22"/>
          <w:highlight w:val="none"/>
        </w:rPr>
      </w:pPr>
      <w:r>
        <w:rPr>
          <w:rFonts w:hint="eastAsia" w:ascii="宋体" w:hAnsi="宋体" w:eastAsia="宋体" w:cs="宋体"/>
          <w:b/>
          <w:bCs/>
          <w:color w:val="auto"/>
          <w:kern w:val="0"/>
          <w:sz w:val="32"/>
          <w:szCs w:val="32"/>
          <w:highlight w:val="none"/>
        </w:rPr>
        <w:t>投 标 文 件</w:t>
      </w:r>
    </w:p>
    <w:p w14:paraId="05AB3E3A">
      <w:pPr>
        <w:widowControl/>
        <w:spacing w:line="360" w:lineRule="auto"/>
        <w:ind w:firstLine="442" w:firstLineChars="200"/>
        <w:jc w:val="center"/>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t xml:space="preserve"> </w:t>
      </w:r>
    </w:p>
    <w:p w14:paraId="7AC8AD30">
      <w:pPr>
        <w:widowControl/>
        <w:spacing w:line="360" w:lineRule="auto"/>
        <w:ind w:firstLine="442" w:firstLineChars="200"/>
        <w:jc w:val="center"/>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t xml:space="preserve"> </w:t>
      </w:r>
    </w:p>
    <w:p w14:paraId="375A4E3F">
      <w:pPr>
        <w:jc w:val="center"/>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t xml:space="preserve"> </w:t>
      </w:r>
    </w:p>
    <w:p w14:paraId="2EF439C7">
      <w:pPr>
        <w:widowControl/>
        <w:spacing w:line="360" w:lineRule="auto"/>
        <w:ind w:firstLine="442" w:firstLineChars="200"/>
        <w:jc w:val="center"/>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t xml:space="preserve"> </w:t>
      </w:r>
    </w:p>
    <w:p w14:paraId="611FA2D5">
      <w:pPr>
        <w:widowControl/>
        <w:spacing w:line="360" w:lineRule="auto"/>
        <w:ind w:firstLine="442" w:firstLineChars="200"/>
        <w:jc w:val="center"/>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t xml:space="preserve"> </w:t>
      </w:r>
    </w:p>
    <w:p w14:paraId="72275BD1">
      <w:pPr>
        <w:widowControl/>
        <w:spacing w:line="360" w:lineRule="auto"/>
        <w:ind w:firstLine="442" w:firstLineChars="200"/>
        <w:jc w:val="center"/>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t xml:space="preserve"> </w:t>
      </w:r>
    </w:p>
    <w:p w14:paraId="07CCDC2A">
      <w:pPr>
        <w:widowControl/>
        <w:spacing w:line="360" w:lineRule="auto"/>
        <w:ind w:firstLine="1587" w:firstLineChars="494"/>
        <w:jc w:val="left"/>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 xml:space="preserve">项 目 名 称：               </w:t>
      </w:r>
    </w:p>
    <w:p w14:paraId="68E5D8B3">
      <w:pPr>
        <w:widowControl/>
        <w:spacing w:line="360" w:lineRule="auto"/>
        <w:ind w:firstLine="1587" w:firstLineChars="494"/>
        <w:jc w:val="left"/>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项 目 编 号：</w:t>
      </w:r>
    </w:p>
    <w:p w14:paraId="6F1DC88E">
      <w:pPr>
        <w:widowControl/>
        <w:spacing w:line="360" w:lineRule="auto"/>
        <w:ind w:firstLine="1587" w:firstLineChars="494"/>
        <w:jc w:val="left"/>
        <w:rPr>
          <w:rFonts w:hint="eastAsia" w:ascii="宋体" w:hAnsi="宋体" w:eastAsia="宋体" w:cs="宋体"/>
          <w:b/>
          <w:bCs/>
          <w:color w:val="auto"/>
          <w:kern w:val="0"/>
          <w:sz w:val="32"/>
          <w:szCs w:val="32"/>
          <w:highlight w:val="none"/>
        </w:rPr>
      </w:pPr>
    </w:p>
    <w:p w14:paraId="76DC99E9">
      <w:pPr>
        <w:widowControl/>
        <w:spacing w:line="360" w:lineRule="auto"/>
        <w:ind w:firstLine="1587" w:firstLineChars="494"/>
        <w:jc w:val="left"/>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 xml:space="preserve">              </w:t>
      </w:r>
    </w:p>
    <w:p w14:paraId="69ECC014">
      <w:pPr>
        <w:widowControl/>
        <w:spacing w:line="360" w:lineRule="auto"/>
        <w:ind w:firstLine="643" w:firstLineChars="200"/>
        <w:jc w:val="left"/>
        <w:rPr>
          <w:rFonts w:hint="eastAsia" w:ascii="宋体" w:hAnsi="宋体" w:eastAsia="宋体" w:cs="宋体"/>
          <w:b/>
          <w:color w:val="auto"/>
          <w:kern w:val="0"/>
          <w:sz w:val="22"/>
          <w:highlight w:val="none"/>
        </w:rPr>
      </w:pPr>
      <w:r>
        <w:rPr>
          <w:rFonts w:hint="eastAsia" w:ascii="宋体" w:hAnsi="宋体" w:eastAsia="宋体" w:cs="宋体"/>
          <w:b/>
          <w:bCs/>
          <w:color w:val="auto"/>
          <w:kern w:val="0"/>
          <w:sz w:val="32"/>
          <w:szCs w:val="32"/>
          <w:highlight w:val="none"/>
        </w:rPr>
        <w:t xml:space="preserve"> </w:t>
      </w:r>
    </w:p>
    <w:p w14:paraId="60440FAF">
      <w:pPr>
        <w:widowControl/>
        <w:spacing w:line="360" w:lineRule="auto"/>
        <w:ind w:firstLine="442" w:firstLineChars="200"/>
        <w:jc w:val="left"/>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t xml:space="preserve"> </w:t>
      </w:r>
    </w:p>
    <w:p w14:paraId="7C971D69">
      <w:pPr>
        <w:widowControl/>
        <w:spacing w:line="360" w:lineRule="auto"/>
        <w:ind w:firstLine="442" w:firstLineChars="200"/>
        <w:jc w:val="left"/>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t xml:space="preserve"> </w:t>
      </w:r>
    </w:p>
    <w:p w14:paraId="1F5BAC93">
      <w:pPr>
        <w:widowControl/>
        <w:spacing w:line="360" w:lineRule="auto"/>
        <w:ind w:firstLine="442" w:firstLineChars="200"/>
        <w:jc w:val="left"/>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t xml:space="preserve"> </w:t>
      </w:r>
    </w:p>
    <w:p w14:paraId="5186E401">
      <w:pPr>
        <w:widowControl/>
        <w:spacing w:line="360" w:lineRule="auto"/>
        <w:ind w:firstLine="442" w:firstLineChars="200"/>
        <w:jc w:val="left"/>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t xml:space="preserve">  </w:t>
      </w:r>
    </w:p>
    <w:p w14:paraId="2DB9B975">
      <w:pPr>
        <w:widowControl/>
        <w:spacing w:line="360" w:lineRule="auto"/>
        <w:ind w:firstLine="2289" w:firstLineChars="95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投标人</w:t>
      </w:r>
      <w:r>
        <w:rPr>
          <w:rFonts w:hint="eastAsia" w:ascii="宋体" w:hAnsi="宋体" w:eastAsia="宋体" w:cs="宋体"/>
          <w:b/>
          <w:bCs/>
          <w:color w:val="auto"/>
          <w:kern w:val="0"/>
          <w:sz w:val="24"/>
          <w:szCs w:val="24"/>
          <w:highlight w:val="none"/>
        </w:rPr>
        <w:t>名称 ：       （全称并加盖公章）</w:t>
      </w:r>
    </w:p>
    <w:p w14:paraId="39156A6F">
      <w:pPr>
        <w:widowControl/>
        <w:spacing w:line="360" w:lineRule="auto"/>
        <w:ind w:firstLine="1190" w:firstLineChars="494"/>
        <w:jc w:val="left"/>
        <w:rPr>
          <w:rFonts w:hint="eastAsia" w:ascii="宋体" w:hAnsi="宋体" w:eastAsia="宋体" w:cs="宋体"/>
          <w:b/>
          <w:color w:val="auto"/>
          <w:kern w:val="0"/>
          <w:sz w:val="22"/>
          <w:highlight w:val="none"/>
        </w:rPr>
      </w:pPr>
      <w:r>
        <w:rPr>
          <w:rFonts w:hint="eastAsia" w:ascii="宋体" w:hAnsi="宋体" w:eastAsia="宋体" w:cs="宋体"/>
          <w:b/>
          <w:bCs/>
          <w:color w:val="auto"/>
          <w:kern w:val="0"/>
          <w:sz w:val="24"/>
          <w:szCs w:val="24"/>
          <w:highlight w:val="none"/>
        </w:rPr>
        <w:t xml:space="preserve">         日      期 ：</w:t>
      </w:r>
      <w:r>
        <w:rPr>
          <w:rFonts w:hint="eastAsia" w:ascii="宋体" w:hAnsi="宋体" w:eastAsia="宋体" w:cs="宋体"/>
          <w:b/>
          <w:bCs/>
          <w:color w:val="auto"/>
          <w:kern w:val="0"/>
          <w:sz w:val="32"/>
          <w:szCs w:val="32"/>
          <w:highlight w:val="none"/>
        </w:rPr>
        <w:t xml:space="preserve">  </w:t>
      </w:r>
      <w:r>
        <w:rPr>
          <w:rFonts w:hint="eastAsia" w:ascii="宋体" w:hAnsi="宋体" w:eastAsia="宋体" w:cs="宋体"/>
          <w:b/>
          <w:color w:val="auto"/>
          <w:kern w:val="0"/>
          <w:sz w:val="22"/>
          <w:highlight w:val="none"/>
          <w:u w:val="single"/>
        </w:rPr>
        <w:t xml:space="preserve">             </w:t>
      </w:r>
    </w:p>
    <w:p w14:paraId="34F6E16A">
      <w:pPr>
        <w:widowControl/>
        <w:spacing w:line="360" w:lineRule="auto"/>
        <w:ind w:firstLine="442" w:firstLineChars="200"/>
        <w:jc w:val="left"/>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t xml:space="preserve"> </w:t>
      </w:r>
    </w:p>
    <w:p w14:paraId="380870E5">
      <w:pPr>
        <w:rPr>
          <w:rFonts w:hint="eastAsia" w:ascii="宋体" w:hAnsi="宋体" w:eastAsia="宋体" w:cs="宋体"/>
          <w:b/>
          <w:bCs/>
          <w:color w:val="auto"/>
          <w:kern w:val="0"/>
          <w:sz w:val="32"/>
          <w:szCs w:val="32"/>
          <w:highlight w:val="none"/>
        </w:rPr>
      </w:pPr>
    </w:p>
    <w:p w14:paraId="4D38866C">
      <w:pPr>
        <w:rPr>
          <w:rFonts w:hint="eastAsia" w:ascii="宋体" w:hAnsi="宋体" w:eastAsia="宋体" w:cs="宋体"/>
          <w:b/>
          <w:bCs/>
          <w:color w:val="auto"/>
          <w:kern w:val="0"/>
          <w:sz w:val="32"/>
          <w:szCs w:val="32"/>
          <w:highlight w:val="none"/>
        </w:rPr>
      </w:pPr>
    </w:p>
    <w:p w14:paraId="3C615431">
      <w:pPr>
        <w:pStyle w:val="69"/>
        <w:ind w:firstLine="480"/>
        <w:rPr>
          <w:rFonts w:hint="eastAsia" w:ascii="宋体" w:hAnsi="宋体" w:eastAsia="宋体" w:cs="宋体"/>
          <w:color w:val="auto"/>
          <w:highlight w:val="none"/>
        </w:rPr>
      </w:pPr>
    </w:p>
    <w:p w14:paraId="1ED28C95">
      <w:pP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 xml:space="preserve">附件2 </w:t>
      </w:r>
    </w:p>
    <w:p w14:paraId="186FBE22">
      <w:pPr>
        <w:jc w:val="cente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投  标  书（格式）</w:t>
      </w:r>
    </w:p>
    <w:p w14:paraId="13E55046">
      <w:pPr>
        <w:widowControl/>
        <w:spacing w:line="360" w:lineRule="auto"/>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 </w:t>
      </w:r>
    </w:p>
    <w:p w14:paraId="2A14D2B8">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招标人</w:t>
      </w:r>
      <w:r>
        <w:rPr>
          <w:rFonts w:hint="eastAsia" w:ascii="宋体" w:hAnsi="宋体" w:eastAsia="宋体" w:cs="宋体"/>
          <w:color w:val="auto"/>
          <w:kern w:val="0"/>
          <w:sz w:val="24"/>
          <w:szCs w:val="24"/>
          <w:highlight w:val="none"/>
        </w:rPr>
        <w:t xml:space="preserve">及代理机构名称）： </w:t>
      </w:r>
    </w:p>
    <w:p w14:paraId="46C16E81">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_________（</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名称）现委托</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（姓名）为我方代理人，参加贵方组织的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项目（项目编号：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）的投标。现正式提交下述文件1份：</w:t>
      </w:r>
    </w:p>
    <w:p w14:paraId="55BFC687">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1、开标一览表。</w:t>
      </w:r>
    </w:p>
    <w:p w14:paraId="1D2A54E8">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2、投标报价明细表。</w:t>
      </w:r>
    </w:p>
    <w:p w14:paraId="38ACCD20">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3、服务技术响应表。</w:t>
      </w:r>
    </w:p>
    <w:p w14:paraId="3825D5B1">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4、商务响应表。</w:t>
      </w:r>
    </w:p>
    <w:p w14:paraId="01BC78D6">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5、证明文件。</w:t>
      </w:r>
    </w:p>
    <w:p w14:paraId="5DC5069B">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6、抵制商业贿赂承诺。</w:t>
      </w:r>
    </w:p>
    <w:p w14:paraId="1974D755">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为便于贵方公正、择优地确定中标人及其投标产品和服务，我方就本次投标有关事项郑重声明并宣布同意如下：</w:t>
      </w:r>
    </w:p>
    <w:p w14:paraId="3A60198A">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1、我方承诺已经具备招标文件中规定的参加政府采购活动的</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应当具备的条件。我方愿意向贵方提供任何与本招标项目投标有关的数据、情况和技术资料，并根据需要提供一切承诺的证明材料，并保证其真实、合法、有效。</w:t>
      </w:r>
    </w:p>
    <w:p w14:paraId="1BA835D6">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2、我方承诺在投标活动中提供的各种材料真实有效。</w:t>
      </w:r>
    </w:p>
    <w:p w14:paraId="627962B9">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3、我方同意在投标文件有效期内遵守本投标文件中的承诺且在此期限期满之前均具有约束力。如果我方中标，投标文件有效期与合同履行期相同。</w:t>
      </w:r>
    </w:p>
    <w:p w14:paraId="75B065D0">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4、我方已详细审查全部招标文件，包括修改文件（如有的话）和有关附件，将自行承担因对全部招标文件理解不正确或误解而产生的相应后果。</w:t>
      </w:r>
    </w:p>
    <w:p w14:paraId="28D357B6">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5、我方保证尊重评标委员会的评标结果，完全理解本招标项目最低投标价不作为中标的保证。</w:t>
      </w:r>
    </w:p>
    <w:p w14:paraId="7CF5F605">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6、我方理解并遵守招标文件的全部规定，接受招标文件中政府采购合同的全部条款且无任何异议。</w:t>
      </w:r>
    </w:p>
    <w:p w14:paraId="5CE75F8D">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7、如果我方代表未按时参加开标的，视同放弃开标监督权利，认可开标结果。</w:t>
      </w:r>
    </w:p>
    <w:p w14:paraId="2E7CCFB6">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8、如果我方存在</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须知第9.3项所述情况，同意被认定为在经营活动中有重大违法记录。</w:t>
      </w:r>
    </w:p>
    <w:p w14:paraId="4EB495E8">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9、如果发生</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须知第19.3项所述情况，同意贵方不予退还我方投标保证金（如有）。</w:t>
      </w:r>
    </w:p>
    <w:p w14:paraId="436407C2">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10、如果发生</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须知第26.4.1、26.4.3项所述情况，同意我方投标被作为无效投标处理。</w:t>
      </w:r>
    </w:p>
    <w:p w14:paraId="08C626EE">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11、如果发生</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须知第26.5项所述情况，同意评标委员会认定我方的行为属于串通投标的行为，并自愿接受监管部门的处罚。</w:t>
      </w:r>
    </w:p>
    <w:p w14:paraId="452139C6">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12、如果现场变更采购方式，我方同意在不改变招标需求、资质条件等情况下，按变更后的采购方式的规定程序进行采购。</w:t>
      </w:r>
    </w:p>
    <w:p w14:paraId="4C9059F9">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13、如果被确定为中标人，我方同意按招标文件的规定领取中标通知书。否则，视为我方中标后自动放弃中标资格，承担由此引起的一切后果。</w:t>
      </w:r>
    </w:p>
    <w:p w14:paraId="6B0F4117">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14、如果被确定为中标人，我方同意在领取中标通知书之日起    日内，按照招标文件的规定与</w:t>
      </w:r>
      <w:r>
        <w:rPr>
          <w:rFonts w:hint="eastAsia" w:ascii="宋体" w:hAnsi="宋体" w:eastAsia="宋体" w:cs="宋体"/>
          <w:color w:val="auto"/>
          <w:kern w:val="0"/>
          <w:sz w:val="24"/>
          <w:szCs w:val="24"/>
          <w:highlight w:val="none"/>
          <w:lang w:eastAsia="zh-CN"/>
        </w:rPr>
        <w:t>招标人</w:t>
      </w:r>
      <w:r>
        <w:rPr>
          <w:rFonts w:hint="eastAsia" w:ascii="宋体" w:hAnsi="宋体" w:eastAsia="宋体" w:cs="宋体"/>
          <w:color w:val="auto"/>
          <w:kern w:val="0"/>
          <w:sz w:val="24"/>
          <w:szCs w:val="24"/>
          <w:highlight w:val="none"/>
        </w:rPr>
        <w:t>签订采购合同。否则，视为我方中标后无正当理由不与</w:t>
      </w:r>
      <w:r>
        <w:rPr>
          <w:rFonts w:hint="eastAsia" w:ascii="宋体" w:hAnsi="宋体" w:eastAsia="宋体" w:cs="宋体"/>
          <w:color w:val="auto"/>
          <w:kern w:val="0"/>
          <w:sz w:val="24"/>
          <w:szCs w:val="24"/>
          <w:highlight w:val="none"/>
          <w:lang w:eastAsia="zh-CN"/>
        </w:rPr>
        <w:t>招标人</w:t>
      </w:r>
      <w:r>
        <w:rPr>
          <w:rFonts w:hint="eastAsia" w:ascii="宋体" w:hAnsi="宋体" w:eastAsia="宋体" w:cs="宋体"/>
          <w:color w:val="auto"/>
          <w:kern w:val="0"/>
          <w:sz w:val="24"/>
          <w:szCs w:val="24"/>
          <w:highlight w:val="none"/>
        </w:rPr>
        <w:t>签订合同并承担相应法律责任。</w:t>
      </w:r>
    </w:p>
    <w:p w14:paraId="3530989F">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15、我方最近3年内的被公开披露或查处的违法违规行为有：</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126A3C36">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16、以上事项如有虚假或隐瞒，我方愿意承担一切后果和责任。</w:t>
      </w:r>
    </w:p>
    <w:p w14:paraId="4A49465D">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17、与本投标有关的一切正式往来通讯请寄（地址电话必须为最新并可以联系到）：</w:t>
      </w:r>
    </w:p>
    <w:p w14:paraId="6FB22DC5">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地址：                  邮编：                  </w:t>
      </w:r>
    </w:p>
    <w:p w14:paraId="65BD9ABB">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电话：                  传真：                  </w:t>
      </w:r>
    </w:p>
    <w:p w14:paraId="5398D7B3">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3999B6B5">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 xml:space="preserve">代表（法定代表人或委托代理人）签字：                 </w:t>
      </w:r>
    </w:p>
    <w:p w14:paraId="141890BA">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（全称并加盖公章）                                 </w:t>
      </w:r>
    </w:p>
    <w:p w14:paraId="1F2A2536">
      <w:pPr>
        <w:spacing w:line="440" w:lineRule="exact"/>
        <w:ind w:firstLine="3960" w:firstLineChars="1650"/>
        <w:rPr>
          <w:rFonts w:hint="eastAsia" w:ascii="宋体" w:hAnsi="宋体" w:eastAsia="宋体" w:cs="宋体"/>
          <w:color w:val="auto"/>
          <w:kern w:val="0"/>
          <w:sz w:val="22"/>
          <w:highlight w:val="none"/>
        </w:rPr>
      </w:pPr>
      <w:r>
        <w:rPr>
          <w:rFonts w:hint="eastAsia" w:ascii="宋体" w:hAnsi="宋体" w:eastAsia="宋体" w:cs="宋体"/>
          <w:color w:val="auto"/>
          <w:kern w:val="0"/>
          <w:sz w:val="24"/>
          <w:szCs w:val="24"/>
          <w:highlight w:val="none"/>
        </w:rPr>
        <w:t>年    月   日</w:t>
      </w:r>
      <w:r>
        <w:rPr>
          <w:rFonts w:hint="eastAsia" w:ascii="宋体" w:hAnsi="宋体" w:eastAsia="宋体" w:cs="宋体"/>
          <w:color w:val="auto"/>
          <w:kern w:val="0"/>
          <w:sz w:val="22"/>
          <w:highlight w:val="none"/>
        </w:rPr>
        <w:t xml:space="preserve">    </w:t>
      </w:r>
    </w:p>
    <w:p w14:paraId="35197123">
      <w:pPr>
        <w:ind w:firstLine="3630" w:firstLineChars="1650"/>
        <w:rPr>
          <w:rFonts w:hint="eastAsia" w:ascii="宋体" w:hAnsi="宋体" w:eastAsia="宋体" w:cs="宋体"/>
          <w:color w:val="auto"/>
          <w:kern w:val="0"/>
          <w:sz w:val="22"/>
          <w:highlight w:val="none"/>
        </w:rPr>
      </w:pPr>
    </w:p>
    <w:p w14:paraId="26A81890">
      <w:pPr>
        <w:ind w:firstLine="3630" w:firstLineChars="1650"/>
        <w:rPr>
          <w:rFonts w:hint="eastAsia" w:ascii="宋体" w:hAnsi="宋体" w:eastAsia="宋体" w:cs="宋体"/>
          <w:color w:val="auto"/>
          <w:kern w:val="0"/>
          <w:sz w:val="22"/>
          <w:highlight w:val="none"/>
        </w:rPr>
      </w:pPr>
    </w:p>
    <w:p w14:paraId="32A5EB4A">
      <w:pPr>
        <w:ind w:firstLine="3630" w:firstLineChars="1650"/>
        <w:rPr>
          <w:rFonts w:hint="eastAsia" w:ascii="宋体" w:hAnsi="宋体" w:eastAsia="宋体" w:cs="宋体"/>
          <w:color w:val="auto"/>
          <w:kern w:val="0"/>
          <w:sz w:val="22"/>
          <w:highlight w:val="none"/>
        </w:rPr>
      </w:pPr>
    </w:p>
    <w:p w14:paraId="2674A729">
      <w:pPr>
        <w:ind w:firstLine="3630" w:firstLineChars="1650"/>
        <w:rPr>
          <w:rFonts w:hint="eastAsia" w:ascii="宋体" w:hAnsi="宋体" w:eastAsia="宋体" w:cs="宋体"/>
          <w:color w:val="auto"/>
          <w:kern w:val="0"/>
          <w:sz w:val="22"/>
          <w:highlight w:val="none"/>
        </w:rPr>
      </w:pPr>
    </w:p>
    <w:p w14:paraId="2A2BCE66">
      <w:pPr>
        <w:ind w:firstLine="3630" w:firstLineChars="1650"/>
        <w:rPr>
          <w:rFonts w:hint="eastAsia" w:ascii="宋体" w:hAnsi="宋体" w:eastAsia="宋体" w:cs="宋体"/>
          <w:color w:val="auto"/>
          <w:kern w:val="0"/>
          <w:sz w:val="22"/>
          <w:highlight w:val="none"/>
        </w:rPr>
      </w:pPr>
    </w:p>
    <w:p w14:paraId="4EDB443D">
      <w:pPr>
        <w:widowControl/>
        <w:snapToGrid w:val="0"/>
        <w:spacing w:before="50" w:after="50" w:line="360" w:lineRule="auto"/>
        <w:jc w:val="left"/>
        <w:rPr>
          <w:rFonts w:hint="eastAsia" w:ascii="宋体" w:hAnsi="宋体" w:eastAsia="宋体" w:cs="宋体"/>
          <w:b/>
          <w:color w:val="auto"/>
          <w:kern w:val="0"/>
          <w:sz w:val="22"/>
          <w:highlight w:val="none"/>
        </w:rPr>
      </w:pPr>
    </w:p>
    <w:p w14:paraId="05AB40AD">
      <w:pPr>
        <w:widowControl/>
        <w:snapToGrid w:val="0"/>
        <w:spacing w:before="50" w:after="50" w:line="360" w:lineRule="auto"/>
        <w:jc w:val="left"/>
        <w:rPr>
          <w:rFonts w:hint="eastAsia" w:ascii="宋体" w:hAnsi="宋体" w:eastAsia="宋体" w:cs="宋体"/>
          <w:b/>
          <w:color w:val="auto"/>
          <w:kern w:val="0"/>
          <w:sz w:val="22"/>
          <w:highlight w:val="none"/>
        </w:rPr>
      </w:pPr>
    </w:p>
    <w:p w14:paraId="41585824">
      <w:pPr>
        <w:widowControl/>
        <w:snapToGrid w:val="0"/>
        <w:spacing w:before="50" w:after="50" w:line="360" w:lineRule="auto"/>
        <w:jc w:val="left"/>
        <w:rPr>
          <w:rFonts w:hint="eastAsia" w:ascii="宋体" w:hAnsi="宋体" w:eastAsia="宋体" w:cs="宋体"/>
          <w:b/>
          <w:color w:val="auto"/>
          <w:kern w:val="0"/>
          <w:sz w:val="22"/>
          <w:highlight w:val="none"/>
        </w:rPr>
      </w:pPr>
    </w:p>
    <w:p w14:paraId="2F9DFB2F">
      <w:pPr>
        <w:widowControl/>
        <w:snapToGrid w:val="0"/>
        <w:spacing w:before="50" w:after="50" w:line="360" w:lineRule="auto"/>
        <w:jc w:val="left"/>
        <w:rPr>
          <w:rFonts w:hint="eastAsia" w:ascii="宋体" w:hAnsi="宋体" w:eastAsia="宋体" w:cs="宋体"/>
          <w:b/>
          <w:color w:val="auto"/>
          <w:kern w:val="0"/>
          <w:sz w:val="22"/>
          <w:highlight w:val="none"/>
        </w:rPr>
      </w:pPr>
    </w:p>
    <w:p w14:paraId="380D713A">
      <w:pPr>
        <w:widowControl/>
        <w:snapToGrid w:val="0"/>
        <w:spacing w:before="50" w:after="50" w:line="360" w:lineRule="auto"/>
        <w:jc w:val="left"/>
        <w:rPr>
          <w:rFonts w:hint="eastAsia" w:ascii="宋体" w:hAnsi="宋体" w:eastAsia="宋体" w:cs="宋体"/>
          <w:b/>
          <w:color w:val="auto"/>
          <w:kern w:val="0"/>
          <w:sz w:val="22"/>
          <w:highlight w:val="none"/>
        </w:rPr>
      </w:pPr>
    </w:p>
    <w:p w14:paraId="18BBEFF4">
      <w:pPr>
        <w:widowControl/>
        <w:snapToGrid w:val="0"/>
        <w:spacing w:before="50" w:after="50" w:line="360" w:lineRule="auto"/>
        <w:jc w:val="left"/>
        <w:rPr>
          <w:rFonts w:hint="eastAsia" w:ascii="宋体" w:hAnsi="宋体" w:eastAsia="宋体" w:cs="宋体"/>
          <w:b/>
          <w:color w:val="auto"/>
          <w:kern w:val="0"/>
          <w:sz w:val="22"/>
          <w:highlight w:val="none"/>
        </w:rPr>
      </w:pPr>
    </w:p>
    <w:p w14:paraId="3B559B6E">
      <w:pPr>
        <w:widowControl/>
        <w:snapToGrid w:val="0"/>
        <w:spacing w:before="50" w:after="50" w:line="360" w:lineRule="auto"/>
        <w:jc w:val="left"/>
        <w:rPr>
          <w:rFonts w:hint="eastAsia" w:ascii="宋体" w:hAnsi="宋体" w:eastAsia="宋体" w:cs="宋体"/>
          <w:b/>
          <w:color w:val="auto"/>
          <w:kern w:val="0"/>
          <w:sz w:val="22"/>
          <w:highlight w:val="none"/>
        </w:rPr>
      </w:pPr>
    </w:p>
    <w:p w14:paraId="2DA1EC51">
      <w:pPr>
        <w:widowControl/>
        <w:snapToGrid w:val="0"/>
        <w:spacing w:before="50" w:after="50"/>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附件3</w:t>
      </w:r>
    </w:p>
    <w:p w14:paraId="3A05A99A">
      <w:pPr>
        <w:widowControl/>
        <w:snapToGrid w:val="0"/>
        <w:spacing w:before="50" w:after="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开标一览表（格式）</w:t>
      </w:r>
    </w:p>
    <w:p w14:paraId="4CA790FD">
      <w:pPr>
        <w:widowControl/>
        <w:snapToGrid w:val="0"/>
        <w:spacing w:before="50" w:after="50" w:line="360" w:lineRule="auto"/>
        <w:jc w:val="left"/>
        <w:rPr>
          <w:rFonts w:hint="eastAsia" w:ascii="宋体" w:hAnsi="宋体" w:eastAsia="宋体" w:cs="宋体"/>
          <w:color w:val="auto"/>
          <w:kern w:val="0"/>
          <w:sz w:val="24"/>
          <w:szCs w:val="24"/>
          <w:highlight w:val="none"/>
        </w:rPr>
      </w:pPr>
    </w:p>
    <w:p w14:paraId="0FDF5EF5">
      <w:pPr>
        <w:widowControl/>
        <w:snapToGrid w:val="0"/>
        <w:spacing w:before="50" w:after="5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项目编号：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货币单位：元</w:t>
      </w:r>
    </w:p>
    <w:tbl>
      <w:tblPr>
        <w:tblStyle w:val="48"/>
        <w:tblW w:w="9070" w:type="dxa"/>
        <w:tblInd w:w="13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480"/>
        <w:gridCol w:w="6590"/>
      </w:tblGrid>
      <w:tr w14:paraId="79A008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21" w:hRule="atLeast"/>
        </w:trPr>
        <w:tc>
          <w:tcPr>
            <w:tcW w:w="2480" w:type="dxa"/>
            <w:vAlign w:val="center"/>
          </w:tcPr>
          <w:p w14:paraId="17DEDCE0">
            <w:pPr>
              <w:pStyle w:val="447"/>
              <w:spacing w:line="440" w:lineRule="exact"/>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6590" w:type="dxa"/>
            <w:vAlign w:val="center"/>
          </w:tcPr>
          <w:p w14:paraId="0EA43DAE">
            <w:pPr>
              <w:pStyle w:val="447"/>
              <w:spacing w:line="440" w:lineRule="exact"/>
              <w:ind w:firstLine="0"/>
              <w:rPr>
                <w:rFonts w:hint="eastAsia" w:ascii="宋体" w:hAnsi="宋体" w:eastAsia="宋体" w:cs="宋体"/>
                <w:color w:val="auto"/>
                <w:sz w:val="24"/>
                <w:szCs w:val="24"/>
                <w:highlight w:val="none"/>
              </w:rPr>
            </w:pPr>
          </w:p>
        </w:tc>
      </w:tr>
      <w:tr w14:paraId="1FD08C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21" w:hRule="atLeast"/>
        </w:trPr>
        <w:tc>
          <w:tcPr>
            <w:tcW w:w="2480" w:type="dxa"/>
            <w:vAlign w:val="center"/>
          </w:tcPr>
          <w:p w14:paraId="4FD29484">
            <w:pPr>
              <w:pStyle w:val="447"/>
              <w:spacing w:line="440" w:lineRule="exact"/>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单位名称</w:t>
            </w:r>
          </w:p>
        </w:tc>
        <w:tc>
          <w:tcPr>
            <w:tcW w:w="6590" w:type="dxa"/>
            <w:vAlign w:val="center"/>
          </w:tcPr>
          <w:p w14:paraId="1818C3F1">
            <w:pPr>
              <w:pStyle w:val="447"/>
              <w:spacing w:line="440" w:lineRule="exact"/>
              <w:ind w:firstLine="0"/>
              <w:rPr>
                <w:rFonts w:hint="eastAsia" w:ascii="宋体" w:hAnsi="宋体" w:eastAsia="宋体" w:cs="宋体"/>
                <w:color w:val="auto"/>
                <w:sz w:val="24"/>
                <w:szCs w:val="24"/>
                <w:highlight w:val="none"/>
              </w:rPr>
            </w:pPr>
          </w:p>
        </w:tc>
      </w:tr>
      <w:tr w14:paraId="198745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21" w:hRule="atLeast"/>
        </w:trPr>
        <w:tc>
          <w:tcPr>
            <w:tcW w:w="2480" w:type="dxa"/>
            <w:tcBorders>
              <w:bottom w:val="single" w:color="auto" w:sz="4" w:space="0"/>
            </w:tcBorders>
            <w:vAlign w:val="center"/>
          </w:tcPr>
          <w:p w14:paraId="541CBF90">
            <w:pPr>
              <w:pStyle w:val="447"/>
              <w:spacing w:line="440" w:lineRule="exact"/>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投标总报价</w:t>
            </w:r>
          </w:p>
        </w:tc>
        <w:tc>
          <w:tcPr>
            <w:tcW w:w="6590" w:type="dxa"/>
            <w:tcBorders>
              <w:bottom w:val="single" w:color="auto" w:sz="4" w:space="0"/>
            </w:tcBorders>
            <w:vAlign w:val="center"/>
          </w:tcPr>
          <w:p w14:paraId="6C2A0DEE">
            <w:pPr>
              <w:pStyle w:val="447"/>
              <w:spacing w:line="440" w:lineRule="exact"/>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77590674">
            <w:pPr>
              <w:pStyle w:val="447"/>
              <w:spacing w:line="440" w:lineRule="exact"/>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c>
      </w:tr>
      <w:tr w14:paraId="700C69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21" w:hRule="atLeast"/>
        </w:trPr>
        <w:tc>
          <w:tcPr>
            <w:tcW w:w="2480" w:type="dxa"/>
            <w:vAlign w:val="center"/>
          </w:tcPr>
          <w:p w14:paraId="5982B8D3">
            <w:pPr>
              <w:pStyle w:val="447"/>
              <w:spacing w:line="440" w:lineRule="exact"/>
              <w:ind w:firstLine="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质量</w:t>
            </w:r>
            <w:r>
              <w:rPr>
                <w:rFonts w:hint="eastAsia" w:ascii="宋体" w:hAnsi="宋体" w:eastAsia="宋体" w:cs="宋体"/>
                <w:color w:val="auto"/>
                <w:sz w:val="24"/>
                <w:szCs w:val="24"/>
                <w:highlight w:val="none"/>
                <w:lang w:eastAsia="zh-CN"/>
              </w:rPr>
              <w:t>要求</w:t>
            </w:r>
          </w:p>
        </w:tc>
        <w:tc>
          <w:tcPr>
            <w:tcW w:w="6590" w:type="dxa"/>
            <w:vAlign w:val="center"/>
          </w:tcPr>
          <w:p w14:paraId="478B3E7A">
            <w:pPr>
              <w:pStyle w:val="447"/>
              <w:spacing w:line="440" w:lineRule="exact"/>
              <w:ind w:firstLine="0"/>
              <w:rPr>
                <w:rFonts w:hint="eastAsia" w:ascii="宋体" w:hAnsi="宋体" w:eastAsia="宋体" w:cs="宋体"/>
                <w:color w:val="auto"/>
                <w:sz w:val="24"/>
                <w:szCs w:val="24"/>
                <w:highlight w:val="none"/>
              </w:rPr>
            </w:pPr>
          </w:p>
        </w:tc>
      </w:tr>
      <w:tr w14:paraId="1197A0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21" w:hRule="atLeast"/>
        </w:trPr>
        <w:tc>
          <w:tcPr>
            <w:tcW w:w="2480" w:type="dxa"/>
            <w:vAlign w:val="center"/>
          </w:tcPr>
          <w:p w14:paraId="08CD3157">
            <w:pPr>
              <w:pStyle w:val="447"/>
              <w:spacing w:line="440" w:lineRule="exact"/>
              <w:ind w:firstLine="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交货期</w:t>
            </w:r>
          </w:p>
        </w:tc>
        <w:tc>
          <w:tcPr>
            <w:tcW w:w="6590" w:type="dxa"/>
            <w:vAlign w:val="center"/>
          </w:tcPr>
          <w:p w14:paraId="26C4FD1C">
            <w:pPr>
              <w:pStyle w:val="447"/>
              <w:spacing w:line="440" w:lineRule="exact"/>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r>
      <w:tr w14:paraId="0BD010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21" w:hRule="atLeast"/>
        </w:trPr>
        <w:tc>
          <w:tcPr>
            <w:tcW w:w="2480" w:type="dxa"/>
            <w:vAlign w:val="center"/>
          </w:tcPr>
          <w:p w14:paraId="7146BD37">
            <w:pPr>
              <w:pStyle w:val="447"/>
              <w:spacing w:line="440" w:lineRule="exact"/>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590" w:type="dxa"/>
            <w:vAlign w:val="center"/>
          </w:tcPr>
          <w:p w14:paraId="3F976338">
            <w:pPr>
              <w:pStyle w:val="447"/>
              <w:spacing w:line="440" w:lineRule="exact"/>
              <w:ind w:firstLine="0"/>
              <w:rPr>
                <w:rFonts w:hint="eastAsia" w:ascii="宋体" w:hAnsi="宋体" w:eastAsia="宋体" w:cs="宋体"/>
                <w:snapToGrid w:val="0"/>
                <w:color w:val="auto"/>
                <w:sz w:val="24"/>
                <w:szCs w:val="24"/>
                <w:highlight w:val="none"/>
                <w:u w:val="single"/>
              </w:rPr>
            </w:pPr>
          </w:p>
        </w:tc>
      </w:tr>
      <w:tr w14:paraId="15531E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21" w:hRule="atLeast"/>
        </w:trPr>
        <w:tc>
          <w:tcPr>
            <w:tcW w:w="2480" w:type="dxa"/>
            <w:vAlign w:val="center"/>
          </w:tcPr>
          <w:p w14:paraId="22606E5D">
            <w:pPr>
              <w:pStyle w:val="447"/>
              <w:spacing w:line="440" w:lineRule="exact"/>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w:t>
            </w:r>
          </w:p>
        </w:tc>
        <w:tc>
          <w:tcPr>
            <w:tcW w:w="6590" w:type="dxa"/>
            <w:vAlign w:val="center"/>
          </w:tcPr>
          <w:p w14:paraId="6047E0B2">
            <w:pPr>
              <w:pStyle w:val="447"/>
              <w:spacing w:line="440" w:lineRule="exact"/>
              <w:ind w:firstLine="0"/>
              <w:rPr>
                <w:rFonts w:hint="eastAsia" w:ascii="宋体" w:hAnsi="宋体" w:eastAsia="宋体" w:cs="宋体"/>
                <w:snapToGrid w:val="0"/>
                <w:color w:val="auto"/>
                <w:sz w:val="24"/>
                <w:szCs w:val="24"/>
                <w:highlight w:val="none"/>
                <w:u w:val="single"/>
              </w:rPr>
            </w:pPr>
          </w:p>
        </w:tc>
      </w:tr>
      <w:tr w14:paraId="7FC5FC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21" w:hRule="atLeast"/>
        </w:trPr>
        <w:tc>
          <w:tcPr>
            <w:tcW w:w="2480" w:type="dxa"/>
            <w:vAlign w:val="center"/>
          </w:tcPr>
          <w:p w14:paraId="28CB3075">
            <w:pPr>
              <w:pStyle w:val="447"/>
              <w:spacing w:line="440" w:lineRule="exact"/>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      注</w:t>
            </w:r>
          </w:p>
        </w:tc>
        <w:tc>
          <w:tcPr>
            <w:tcW w:w="6590" w:type="dxa"/>
            <w:vAlign w:val="center"/>
          </w:tcPr>
          <w:p w14:paraId="4181126D">
            <w:pPr>
              <w:pStyle w:val="447"/>
              <w:spacing w:line="440" w:lineRule="exact"/>
              <w:ind w:firstLine="0"/>
              <w:rPr>
                <w:rFonts w:hint="eastAsia" w:ascii="宋体" w:hAnsi="宋体" w:eastAsia="宋体" w:cs="宋体"/>
                <w:color w:val="auto"/>
                <w:sz w:val="24"/>
                <w:szCs w:val="24"/>
                <w:highlight w:val="none"/>
              </w:rPr>
            </w:pPr>
          </w:p>
        </w:tc>
      </w:tr>
    </w:tbl>
    <w:p w14:paraId="237D2EF6">
      <w:pPr>
        <w:widowControl/>
        <w:snapToGrid w:val="0"/>
        <w:spacing w:before="50" w:after="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0C1B599C">
      <w:pPr>
        <w:widowControl/>
        <w:spacing w:line="360" w:lineRule="auto"/>
        <w:ind w:firstLine="1800" w:firstLineChars="7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7E96C97C">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（全称并加盖公章）                                               </w:t>
      </w:r>
    </w:p>
    <w:p w14:paraId="63AD3151">
      <w:pPr>
        <w:widowControl/>
        <w:spacing w:line="360" w:lineRule="auto"/>
        <w:ind w:firstLine="4080" w:firstLineChars="1700"/>
        <w:jc w:val="left"/>
        <w:rPr>
          <w:rFonts w:hint="eastAsia" w:ascii="宋体" w:hAnsi="宋体" w:eastAsia="宋体" w:cs="宋体"/>
          <w:b/>
          <w:color w:val="auto"/>
          <w:kern w:val="0"/>
          <w:sz w:val="22"/>
          <w:highlight w:val="none"/>
        </w:rPr>
      </w:pPr>
      <w:r>
        <w:rPr>
          <w:rFonts w:hint="eastAsia" w:ascii="宋体" w:hAnsi="宋体" w:eastAsia="宋体" w:cs="宋体"/>
          <w:color w:val="auto"/>
          <w:kern w:val="0"/>
          <w:sz w:val="24"/>
          <w:szCs w:val="24"/>
          <w:highlight w:val="none"/>
        </w:rPr>
        <w:t xml:space="preserve"> 年    月    日</w:t>
      </w:r>
    </w:p>
    <w:p w14:paraId="21FAA5FE">
      <w:pPr>
        <w:widowControl/>
        <w:snapToGrid w:val="0"/>
        <w:spacing w:before="50" w:after="50" w:line="360" w:lineRule="auto"/>
        <w:ind w:left="-14" w:leftChars="-72" w:right="-817" w:rightChars="-389" w:hanging="137" w:hangingChars="62"/>
        <w:jc w:val="left"/>
        <w:rPr>
          <w:rFonts w:hint="eastAsia" w:ascii="宋体" w:hAnsi="宋体" w:eastAsia="宋体" w:cs="宋体"/>
          <w:b/>
          <w:color w:val="auto"/>
          <w:kern w:val="0"/>
          <w:sz w:val="22"/>
          <w:highlight w:val="none"/>
        </w:rPr>
      </w:pPr>
    </w:p>
    <w:p w14:paraId="2694A957">
      <w:pPr>
        <w:widowControl/>
        <w:snapToGrid w:val="0"/>
        <w:spacing w:before="50" w:after="50" w:line="360" w:lineRule="auto"/>
        <w:ind w:left="-14" w:leftChars="-72" w:right="-817" w:rightChars="-389" w:hanging="137" w:hangingChars="62"/>
        <w:jc w:val="left"/>
        <w:rPr>
          <w:rFonts w:hint="eastAsia" w:ascii="宋体" w:hAnsi="宋体" w:eastAsia="宋体" w:cs="宋体"/>
          <w:b/>
          <w:color w:val="auto"/>
          <w:kern w:val="0"/>
          <w:sz w:val="22"/>
          <w:highlight w:val="none"/>
        </w:rPr>
      </w:pPr>
    </w:p>
    <w:p w14:paraId="69FF0962">
      <w:pPr>
        <w:widowControl/>
        <w:snapToGrid w:val="0"/>
        <w:spacing w:before="50" w:after="50" w:line="360" w:lineRule="auto"/>
        <w:ind w:right="-817" w:rightChars="-389"/>
        <w:jc w:val="left"/>
        <w:rPr>
          <w:rFonts w:hint="eastAsia" w:ascii="宋体" w:hAnsi="宋体" w:eastAsia="宋体" w:cs="宋体"/>
          <w:b/>
          <w:color w:val="auto"/>
          <w:kern w:val="0"/>
          <w:sz w:val="22"/>
          <w:highlight w:val="none"/>
        </w:rPr>
      </w:pPr>
    </w:p>
    <w:p w14:paraId="61B7B224">
      <w:pPr>
        <w:widowControl/>
        <w:snapToGrid w:val="0"/>
        <w:spacing w:before="50" w:after="50"/>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附件4 </w:t>
      </w:r>
    </w:p>
    <w:p w14:paraId="6CD2A2C1">
      <w:pPr>
        <w:widowControl/>
        <w:snapToGrid w:val="0"/>
        <w:spacing w:before="50" w:after="50"/>
        <w:jc w:val="center"/>
        <w:rPr>
          <w:rFonts w:hint="eastAsia" w:ascii="宋体" w:hAnsi="宋体" w:eastAsia="宋体" w:cs="宋体"/>
          <w:b/>
          <w:snapToGrid w:val="0"/>
          <w:color w:val="auto"/>
          <w:sz w:val="28"/>
          <w:szCs w:val="28"/>
          <w:highlight w:val="none"/>
        </w:rPr>
      </w:pPr>
      <w:r>
        <w:rPr>
          <w:rFonts w:hint="eastAsia" w:ascii="宋体" w:hAnsi="宋体" w:eastAsia="宋体" w:cs="宋体"/>
          <w:b/>
          <w:snapToGrid w:val="0"/>
          <w:color w:val="auto"/>
          <w:sz w:val="28"/>
          <w:szCs w:val="28"/>
          <w:highlight w:val="none"/>
        </w:rPr>
        <w:t>投标报价明细表</w:t>
      </w:r>
      <w:r>
        <w:rPr>
          <w:rFonts w:hint="eastAsia" w:ascii="宋体" w:hAnsi="宋体" w:eastAsia="宋体" w:cs="宋体"/>
          <w:bCs/>
          <w:snapToGrid w:val="0"/>
          <w:color w:val="auto"/>
          <w:sz w:val="28"/>
          <w:szCs w:val="28"/>
          <w:highlight w:val="none"/>
        </w:rPr>
        <w:t>（格式）</w:t>
      </w:r>
    </w:p>
    <w:p w14:paraId="193F9F3C">
      <w:pPr>
        <w:spacing w:after="120"/>
        <w:jc w:val="center"/>
        <w:rPr>
          <w:rFonts w:hint="eastAsia" w:ascii="宋体" w:hAnsi="宋体" w:eastAsia="宋体" w:cs="宋体"/>
          <w:b/>
          <w:snapToGrid w:val="0"/>
          <w:color w:val="auto"/>
          <w:sz w:val="28"/>
          <w:szCs w:val="28"/>
          <w:highlight w:val="none"/>
        </w:rPr>
      </w:pPr>
    </w:p>
    <w:p w14:paraId="55EF2F43">
      <w:pPr>
        <w:widowControl/>
        <w:tabs>
          <w:tab w:val="left" w:pos="6520"/>
        </w:tabs>
        <w:wordWrap w:val="0"/>
        <w:snapToGrid w:val="0"/>
        <w:ind w:firstLine="240" w:firstLineChars="1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项目编号：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 xml:space="preserve">     货币单位：元</w:t>
      </w:r>
    </w:p>
    <w:p w14:paraId="24951389">
      <w:pPr>
        <w:pStyle w:val="69"/>
        <w:ind w:firstLine="480"/>
        <w:rPr>
          <w:rFonts w:hint="eastAsia" w:ascii="宋体" w:hAnsi="宋体" w:eastAsia="宋体" w:cs="宋体"/>
          <w:color w:val="auto"/>
          <w:highlight w:val="none"/>
        </w:rPr>
      </w:pPr>
    </w:p>
    <w:tbl>
      <w:tblPr>
        <w:tblStyle w:val="48"/>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60"/>
        <w:gridCol w:w="900"/>
        <w:gridCol w:w="1260"/>
        <w:gridCol w:w="1260"/>
        <w:gridCol w:w="1440"/>
        <w:gridCol w:w="1271"/>
        <w:gridCol w:w="1698"/>
      </w:tblGrid>
      <w:tr w14:paraId="16A33D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540" w:type="dxa"/>
            <w:tcBorders>
              <w:top w:val="single" w:color="auto" w:sz="4" w:space="0"/>
              <w:left w:val="single" w:color="auto" w:sz="4" w:space="0"/>
              <w:bottom w:val="nil"/>
              <w:right w:val="single" w:color="auto" w:sz="4" w:space="0"/>
            </w:tcBorders>
            <w:vAlign w:val="center"/>
          </w:tcPr>
          <w:p w14:paraId="5A6D820D">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kern w:val="0"/>
                <w:sz w:val="24"/>
                <w:highlight w:val="none"/>
              </w:rPr>
              <w:t>序号</w:t>
            </w:r>
          </w:p>
        </w:tc>
        <w:tc>
          <w:tcPr>
            <w:tcW w:w="1260" w:type="dxa"/>
            <w:tcBorders>
              <w:top w:val="single" w:color="auto" w:sz="4" w:space="0"/>
              <w:left w:val="single" w:color="auto" w:sz="4" w:space="0"/>
              <w:bottom w:val="nil"/>
              <w:right w:val="single" w:color="auto" w:sz="4" w:space="0"/>
            </w:tcBorders>
            <w:vAlign w:val="center"/>
          </w:tcPr>
          <w:p w14:paraId="6963C394">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kern w:val="0"/>
                <w:sz w:val="24"/>
                <w:highlight w:val="none"/>
              </w:rPr>
              <w:t>货物名称</w:t>
            </w:r>
          </w:p>
        </w:tc>
        <w:tc>
          <w:tcPr>
            <w:tcW w:w="900" w:type="dxa"/>
            <w:tcBorders>
              <w:top w:val="single" w:color="auto" w:sz="4" w:space="0"/>
              <w:left w:val="single" w:color="auto" w:sz="4" w:space="0"/>
              <w:bottom w:val="nil"/>
              <w:right w:val="single" w:color="auto" w:sz="4" w:space="0"/>
            </w:tcBorders>
            <w:vAlign w:val="center"/>
          </w:tcPr>
          <w:p w14:paraId="41D6F268">
            <w:pPr>
              <w:widowControl/>
              <w:snapToGrid w:val="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品牌</w:t>
            </w:r>
          </w:p>
        </w:tc>
        <w:tc>
          <w:tcPr>
            <w:tcW w:w="1260" w:type="dxa"/>
            <w:tcBorders>
              <w:top w:val="single" w:color="auto" w:sz="4" w:space="0"/>
              <w:left w:val="single" w:color="auto" w:sz="4" w:space="0"/>
              <w:bottom w:val="nil"/>
              <w:right w:val="single" w:color="auto" w:sz="4" w:space="0"/>
            </w:tcBorders>
            <w:vAlign w:val="center"/>
          </w:tcPr>
          <w:p w14:paraId="3D24C9A1">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kern w:val="0"/>
                <w:sz w:val="24"/>
                <w:highlight w:val="none"/>
              </w:rPr>
              <w:t>规格型号</w:t>
            </w:r>
          </w:p>
        </w:tc>
        <w:tc>
          <w:tcPr>
            <w:tcW w:w="1260" w:type="dxa"/>
            <w:tcBorders>
              <w:top w:val="single" w:color="auto" w:sz="4" w:space="0"/>
              <w:left w:val="single" w:color="auto" w:sz="4" w:space="0"/>
              <w:bottom w:val="nil"/>
              <w:right w:val="single" w:color="auto" w:sz="4" w:space="0"/>
            </w:tcBorders>
            <w:vAlign w:val="center"/>
          </w:tcPr>
          <w:p w14:paraId="6629FD0E">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z w:val="24"/>
                <w:szCs w:val="24"/>
                <w:highlight w:val="none"/>
              </w:rPr>
              <w:t>货物制 造商</w:t>
            </w:r>
          </w:p>
        </w:tc>
        <w:tc>
          <w:tcPr>
            <w:tcW w:w="1440" w:type="dxa"/>
            <w:tcBorders>
              <w:top w:val="single" w:color="auto" w:sz="4" w:space="0"/>
              <w:left w:val="single" w:color="auto" w:sz="4" w:space="0"/>
              <w:bottom w:val="nil"/>
              <w:right w:val="single" w:color="auto" w:sz="4" w:space="0"/>
            </w:tcBorders>
            <w:vAlign w:val="center"/>
          </w:tcPr>
          <w:p w14:paraId="0383D872">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kern w:val="0"/>
                <w:sz w:val="24"/>
                <w:highlight w:val="none"/>
              </w:rPr>
              <w:t>单位及数量</w:t>
            </w:r>
          </w:p>
        </w:tc>
        <w:tc>
          <w:tcPr>
            <w:tcW w:w="1271" w:type="dxa"/>
            <w:tcBorders>
              <w:top w:val="single" w:color="auto" w:sz="4" w:space="0"/>
              <w:left w:val="single" w:color="auto" w:sz="4" w:space="0"/>
              <w:bottom w:val="nil"/>
              <w:right w:val="single" w:color="auto" w:sz="4" w:space="0"/>
            </w:tcBorders>
            <w:vAlign w:val="center"/>
          </w:tcPr>
          <w:p w14:paraId="54C6D942">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kern w:val="0"/>
                <w:sz w:val="24"/>
                <w:highlight w:val="none"/>
              </w:rPr>
              <w:t>单价</w:t>
            </w:r>
          </w:p>
        </w:tc>
        <w:tc>
          <w:tcPr>
            <w:tcW w:w="1698" w:type="dxa"/>
            <w:tcBorders>
              <w:top w:val="single" w:color="auto" w:sz="4" w:space="0"/>
              <w:left w:val="single" w:color="auto" w:sz="4" w:space="0"/>
              <w:bottom w:val="nil"/>
              <w:right w:val="single" w:color="auto" w:sz="4" w:space="0"/>
            </w:tcBorders>
            <w:vAlign w:val="center"/>
          </w:tcPr>
          <w:p w14:paraId="2DE10BA7">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kern w:val="0"/>
                <w:sz w:val="24"/>
                <w:highlight w:val="none"/>
              </w:rPr>
              <w:t>金额</w:t>
            </w:r>
          </w:p>
        </w:tc>
      </w:tr>
      <w:tr w14:paraId="74A71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tcPr>
          <w:p w14:paraId="65469900">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7CD139AF">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900" w:type="dxa"/>
            <w:tcBorders>
              <w:top w:val="single" w:color="auto" w:sz="4" w:space="0"/>
              <w:left w:val="single" w:color="auto" w:sz="4" w:space="0"/>
              <w:bottom w:val="single" w:color="auto" w:sz="4" w:space="0"/>
              <w:right w:val="single" w:color="auto" w:sz="4" w:space="0"/>
            </w:tcBorders>
          </w:tcPr>
          <w:p w14:paraId="3D1F9305">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54F2740C">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6EDBA5CD">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440" w:type="dxa"/>
            <w:tcBorders>
              <w:top w:val="single" w:color="auto" w:sz="4" w:space="0"/>
              <w:left w:val="single" w:color="auto" w:sz="4" w:space="0"/>
              <w:bottom w:val="single" w:color="auto" w:sz="4" w:space="0"/>
              <w:right w:val="single" w:color="auto" w:sz="4" w:space="0"/>
            </w:tcBorders>
          </w:tcPr>
          <w:p w14:paraId="5A29E533">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71" w:type="dxa"/>
            <w:tcBorders>
              <w:top w:val="single" w:color="auto" w:sz="4" w:space="0"/>
              <w:left w:val="single" w:color="auto" w:sz="4" w:space="0"/>
              <w:bottom w:val="single" w:color="auto" w:sz="4" w:space="0"/>
              <w:right w:val="single" w:color="auto" w:sz="4" w:space="0"/>
            </w:tcBorders>
          </w:tcPr>
          <w:p w14:paraId="24DD5046">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698" w:type="dxa"/>
            <w:tcBorders>
              <w:top w:val="single" w:color="auto" w:sz="4" w:space="0"/>
              <w:left w:val="single" w:color="auto" w:sz="4" w:space="0"/>
              <w:bottom w:val="single" w:color="auto" w:sz="4" w:space="0"/>
              <w:right w:val="single" w:color="auto" w:sz="4" w:space="0"/>
            </w:tcBorders>
          </w:tcPr>
          <w:p w14:paraId="25E727DF">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r>
      <w:tr w14:paraId="163E4B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tcPr>
          <w:p w14:paraId="7971A335">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43BCCF84">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900" w:type="dxa"/>
            <w:tcBorders>
              <w:top w:val="single" w:color="auto" w:sz="4" w:space="0"/>
              <w:left w:val="single" w:color="auto" w:sz="4" w:space="0"/>
              <w:bottom w:val="single" w:color="auto" w:sz="4" w:space="0"/>
              <w:right w:val="single" w:color="auto" w:sz="4" w:space="0"/>
            </w:tcBorders>
          </w:tcPr>
          <w:p w14:paraId="314CA131">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77796F35">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3E515CAB">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440" w:type="dxa"/>
            <w:tcBorders>
              <w:top w:val="single" w:color="auto" w:sz="4" w:space="0"/>
              <w:left w:val="single" w:color="auto" w:sz="4" w:space="0"/>
              <w:bottom w:val="single" w:color="auto" w:sz="4" w:space="0"/>
              <w:right w:val="single" w:color="auto" w:sz="4" w:space="0"/>
            </w:tcBorders>
          </w:tcPr>
          <w:p w14:paraId="233BC6EB">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71" w:type="dxa"/>
            <w:tcBorders>
              <w:top w:val="single" w:color="auto" w:sz="4" w:space="0"/>
              <w:left w:val="single" w:color="auto" w:sz="4" w:space="0"/>
              <w:bottom w:val="single" w:color="auto" w:sz="4" w:space="0"/>
              <w:right w:val="single" w:color="auto" w:sz="4" w:space="0"/>
            </w:tcBorders>
          </w:tcPr>
          <w:p w14:paraId="03B7919D">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698" w:type="dxa"/>
            <w:tcBorders>
              <w:top w:val="single" w:color="auto" w:sz="4" w:space="0"/>
              <w:left w:val="single" w:color="auto" w:sz="4" w:space="0"/>
              <w:bottom w:val="single" w:color="auto" w:sz="4" w:space="0"/>
              <w:right w:val="single" w:color="auto" w:sz="4" w:space="0"/>
            </w:tcBorders>
          </w:tcPr>
          <w:p w14:paraId="38EB7631">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r>
      <w:tr w14:paraId="2B43DB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tcPr>
          <w:p w14:paraId="756CBD3A">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1E974CB3">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900" w:type="dxa"/>
            <w:tcBorders>
              <w:top w:val="single" w:color="auto" w:sz="4" w:space="0"/>
              <w:left w:val="single" w:color="auto" w:sz="4" w:space="0"/>
              <w:bottom w:val="single" w:color="auto" w:sz="4" w:space="0"/>
              <w:right w:val="single" w:color="auto" w:sz="4" w:space="0"/>
            </w:tcBorders>
          </w:tcPr>
          <w:p w14:paraId="5D91FD73">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073C790C">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2CDC4508">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440" w:type="dxa"/>
            <w:tcBorders>
              <w:top w:val="single" w:color="auto" w:sz="4" w:space="0"/>
              <w:left w:val="single" w:color="auto" w:sz="4" w:space="0"/>
              <w:bottom w:val="single" w:color="auto" w:sz="4" w:space="0"/>
              <w:right w:val="single" w:color="auto" w:sz="4" w:space="0"/>
            </w:tcBorders>
          </w:tcPr>
          <w:p w14:paraId="77AE55B6">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71" w:type="dxa"/>
            <w:tcBorders>
              <w:top w:val="single" w:color="auto" w:sz="4" w:space="0"/>
              <w:left w:val="single" w:color="auto" w:sz="4" w:space="0"/>
              <w:bottom w:val="single" w:color="auto" w:sz="4" w:space="0"/>
              <w:right w:val="single" w:color="auto" w:sz="4" w:space="0"/>
            </w:tcBorders>
          </w:tcPr>
          <w:p w14:paraId="25F497F2">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698" w:type="dxa"/>
            <w:tcBorders>
              <w:top w:val="single" w:color="auto" w:sz="4" w:space="0"/>
              <w:left w:val="single" w:color="auto" w:sz="4" w:space="0"/>
              <w:bottom w:val="single" w:color="auto" w:sz="4" w:space="0"/>
              <w:right w:val="single" w:color="auto" w:sz="4" w:space="0"/>
            </w:tcBorders>
          </w:tcPr>
          <w:p w14:paraId="7442B1F9">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r>
      <w:tr w14:paraId="2E55F2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tcPr>
          <w:p w14:paraId="1037A70B">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3DC2C750">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900" w:type="dxa"/>
            <w:tcBorders>
              <w:top w:val="single" w:color="auto" w:sz="4" w:space="0"/>
              <w:left w:val="single" w:color="auto" w:sz="4" w:space="0"/>
              <w:bottom w:val="single" w:color="auto" w:sz="4" w:space="0"/>
              <w:right w:val="single" w:color="auto" w:sz="4" w:space="0"/>
            </w:tcBorders>
          </w:tcPr>
          <w:p w14:paraId="3B852D06">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2E621D32">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2DEDB835">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440" w:type="dxa"/>
            <w:tcBorders>
              <w:top w:val="single" w:color="auto" w:sz="4" w:space="0"/>
              <w:left w:val="single" w:color="auto" w:sz="4" w:space="0"/>
              <w:bottom w:val="single" w:color="auto" w:sz="4" w:space="0"/>
              <w:right w:val="single" w:color="auto" w:sz="4" w:space="0"/>
            </w:tcBorders>
          </w:tcPr>
          <w:p w14:paraId="6D26BBBF">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71" w:type="dxa"/>
            <w:tcBorders>
              <w:top w:val="single" w:color="auto" w:sz="4" w:space="0"/>
              <w:left w:val="single" w:color="auto" w:sz="4" w:space="0"/>
              <w:bottom w:val="single" w:color="auto" w:sz="4" w:space="0"/>
              <w:right w:val="single" w:color="auto" w:sz="4" w:space="0"/>
            </w:tcBorders>
          </w:tcPr>
          <w:p w14:paraId="6141CE73">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698" w:type="dxa"/>
            <w:tcBorders>
              <w:top w:val="single" w:color="auto" w:sz="4" w:space="0"/>
              <w:left w:val="single" w:color="auto" w:sz="4" w:space="0"/>
              <w:bottom w:val="single" w:color="auto" w:sz="4" w:space="0"/>
              <w:right w:val="single" w:color="auto" w:sz="4" w:space="0"/>
            </w:tcBorders>
          </w:tcPr>
          <w:p w14:paraId="38D7E81E">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r>
      <w:tr w14:paraId="17C5D6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tcPr>
          <w:p w14:paraId="2A2CAC4D">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2358ED2D">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900" w:type="dxa"/>
            <w:tcBorders>
              <w:top w:val="single" w:color="auto" w:sz="4" w:space="0"/>
              <w:left w:val="single" w:color="auto" w:sz="4" w:space="0"/>
              <w:bottom w:val="single" w:color="auto" w:sz="4" w:space="0"/>
              <w:right w:val="single" w:color="auto" w:sz="4" w:space="0"/>
            </w:tcBorders>
          </w:tcPr>
          <w:p w14:paraId="349B2BF1">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60909B32">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2469C81B">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440" w:type="dxa"/>
            <w:tcBorders>
              <w:top w:val="single" w:color="auto" w:sz="4" w:space="0"/>
              <w:left w:val="single" w:color="auto" w:sz="4" w:space="0"/>
              <w:bottom w:val="single" w:color="auto" w:sz="4" w:space="0"/>
              <w:right w:val="single" w:color="auto" w:sz="4" w:space="0"/>
            </w:tcBorders>
          </w:tcPr>
          <w:p w14:paraId="0A490719">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71" w:type="dxa"/>
            <w:tcBorders>
              <w:top w:val="single" w:color="auto" w:sz="4" w:space="0"/>
              <w:left w:val="single" w:color="auto" w:sz="4" w:space="0"/>
              <w:bottom w:val="single" w:color="auto" w:sz="4" w:space="0"/>
              <w:right w:val="single" w:color="auto" w:sz="4" w:space="0"/>
            </w:tcBorders>
          </w:tcPr>
          <w:p w14:paraId="2FF085A4">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698" w:type="dxa"/>
            <w:tcBorders>
              <w:top w:val="single" w:color="auto" w:sz="4" w:space="0"/>
              <w:left w:val="single" w:color="auto" w:sz="4" w:space="0"/>
              <w:bottom w:val="single" w:color="auto" w:sz="4" w:space="0"/>
              <w:right w:val="single" w:color="auto" w:sz="4" w:space="0"/>
            </w:tcBorders>
          </w:tcPr>
          <w:p w14:paraId="749E08B8">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r>
      <w:tr w14:paraId="59665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540" w:type="dxa"/>
            <w:tcBorders>
              <w:top w:val="single" w:color="auto" w:sz="4" w:space="0"/>
              <w:left w:val="single" w:color="auto" w:sz="4" w:space="0"/>
              <w:bottom w:val="single" w:color="auto" w:sz="4" w:space="0"/>
              <w:right w:val="single" w:color="auto" w:sz="4" w:space="0"/>
            </w:tcBorders>
          </w:tcPr>
          <w:p w14:paraId="3E57F99D">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33443B71">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w:t>
            </w:r>
          </w:p>
        </w:tc>
        <w:tc>
          <w:tcPr>
            <w:tcW w:w="900" w:type="dxa"/>
            <w:tcBorders>
              <w:top w:val="single" w:color="auto" w:sz="4" w:space="0"/>
              <w:left w:val="single" w:color="auto" w:sz="4" w:space="0"/>
              <w:bottom w:val="single" w:color="auto" w:sz="4" w:space="0"/>
              <w:right w:val="single" w:color="auto" w:sz="4" w:space="0"/>
            </w:tcBorders>
          </w:tcPr>
          <w:p w14:paraId="1134D9CD">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08186290">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60" w:type="dxa"/>
            <w:tcBorders>
              <w:top w:val="single" w:color="auto" w:sz="4" w:space="0"/>
              <w:left w:val="single" w:color="auto" w:sz="4" w:space="0"/>
              <w:bottom w:val="single" w:color="auto" w:sz="4" w:space="0"/>
              <w:right w:val="single" w:color="auto" w:sz="4" w:space="0"/>
            </w:tcBorders>
          </w:tcPr>
          <w:p w14:paraId="65304AB3">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440" w:type="dxa"/>
            <w:tcBorders>
              <w:top w:val="single" w:color="auto" w:sz="4" w:space="0"/>
              <w:left w:val="single" w:color="auto" w:sz="4" w:space="0"/>
              <w:bottom w:val="single" w:color="auto" w:sz="4" w:space="0"/>
              <w:right w:val="single" w:color="auto" w:sz="4" w:space="0"/>
            </w:tcBorders>
          </w:tcPr>
          <w:p w14:paraId="449E1061">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71" w:type="dxa"/>
            <w:tcBorders>
              <w:top w:val="single" w:color="auto" w:sz="4" w:space="0"/>
              <w:left w:val="single" w:color="auto" w:sz="4" w:space="0"/>
              <w:bottom w:val="single" w:color="auto" w:sz="4" w:space="0"/>
              <w:right w:val="single" w:color="auto" w:sz="4" w:space="0"/>
            </w:tcBorders>
          </w:tcPr>
          <w:p w14:paraId="469AA169">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698" w:type="dxa"/>
            <w:tcBorders>
              <w:top w:val="single" w:color="auto" w:sz="4" w:space="0"/>
              <w:left w:val="single" w:color="auto" w:sz="4" w:space="0"/>
              <w:bottom w:val="single" w:color="auto" w:sz="4" w:space="0"/>
              <w:right w:val="single" w:color="auto" w:sz="4" w:space="0"/>
            </w:tcBorders>
          </w:tcPr>
          <w:p w14:paraId="3D3BAC61">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r>
      <w:tr w14:paraId="11BACF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540" w:type="dxa"/>
            <w:tcBorders>
              <w:top w:val="single" w:color="auto" w:sz="4" w:space="0"/>
              <w:left w:val="single" w:color="auto" w:sz="4" w:space="0"/>
              <w:bottom w:val="single" w:color="auto" w:sz="4" w:space="0"/>
              <w:right w:val="single" w:color="auto" w:sz="4" w:space="0"/>
            </w:tcBorders>
          </w:tcPr>
          <w:p w14:paraId="3E298540">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4680" w:type="dxa"/>
            <w:gridSpan w:val="4"/>
            <w:tcBorders>
              <w:top w:val="single" w:color="auto" w:sz="4" w:space="0"/>
              <w:left w:val="single" w:color="auto" w:sz="4" w:space="0"/>
              <w:bottom w:val="single" w:color="auto" w:sz="4" w:space="0"/>
              <w:right w:val="single" w:color="auto" w:sz="4" w:space="0"/>
            </w:tcBorders>
          </w:tcPr>
          <w:p w14:paraId="53590A33">
            <w:pPr>
              <w:widowControl/>
              <w:tabs>
                <w:tab w:val="left" w:pos="1418"/>
              </w:tabs>
              <w:snapToGrid w:val="0"/>
              <w:spacing w:line="360" w:lineRule="exact"/>
              <w:jc w:val="left"/>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运输费、安装调试费、其他</w:t>
            </w:r>
          </w:p>
        </w:tc>
        <w:tc>
          <w:tcPr>
            <w:tcW w:w="1440" w:type="dxa"/>
            <w:tcBorders>
              <w:top w:val="single" w:color="auto" w:sz="4" w:space="0"/>
              <w:left w:val="single" w:color="auto" w:sz="4" w:space="0"/>
              <w:bottom w:val="single" w:color="auto" w:sz="4" w:space="0"/>
              <w:right w:val="single" w:color="auto" w:sz="4" w:space="0"/>
            </w:tcBorders>
          </w:tcPr>
          <w:p w14:paraId="6C0D54BE">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271" w:type="dxa"/>
            <w:tcBorders>
              <w:top w:val="single" w:color="auto" w:sz="4" w:space="0"/>
              <w:left w:val="single" w:color="auto" w:sz="4" w:space="0"/>
              <w:bottom w:val="single" w:color="auto" w:sz="4" w:space="0"/>
              <w:right w:val="single" w:color="auto" w:sz="4" w:space="0"/>
            </w:tcBorders>
          </w:tcPr>
          <w:p w14:paraId="283AAF53">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c>
          <w:tcPr>
            <w:tcW w:w="1698" w:type="dxa"/>
            <w:tcBorders>
              <w:top w:val="single" w:color="auto" w:sz="4" w:space="0"/>
              <w:left w:val="single" w:color="auto" w:sz="4" w:space="0"/>
              <w:bottom w:val="single" w:color="auto" w:sz="4" w:space="0"/>
              <w:right w:val="single" w:color="auto" w:sz="4" w:space="0"/>
            </w:tcBorders>
          </w:tcPr>
          <w:p w14:paraId="6DDA197A">
            <w:pPr>
              <w:widowControl/>
              <w:tabs>
                <w:tab w:val="left" w:pos="1418"/>
              </w:tabs>
              <w:snapToGrid w:val="0"/>
              <w:spacing w:line="360" w:lineRule="exact"/>
              <w:jc w:val="center"/>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 xml:space="preserve"> </w:t>
            </w:r>
          </w:p>
        </w:tc>
      </w:tr>
      <w:tr w14:paraId="000965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7931" w:type="dxa"/>
            <w:gridSpan w:val="7"/>
            <w:tcBorders>
              <w:top w:val="single" w:color="auto" w:sz="4" w:space="0"/>
              <w:left w:val="single" w:color="auto" w:sz="4" w:space="0"/>
              <w:bottom w:val="single" w:color="auto" w:sz="4" w:space="0"/>
              <w:right w:val="single" w:color="auto" w:sz="4" w:space="0"/>
            </w:tcBorders>
          </w:tcPr>
          <w:p w14:paraId="5773C8F8">
            <w:pPr>
              <w:widowControl/>
              <w:tabs>
                <w:tab w:val="left" w:pos="1418"/>
              </w:tabs>
              <w:snapToGrid w:val="0"/>
              <w:spacing w:line="360" w:lineRule="exact"/>
              <w:jc w:val="left"/>
              <w:rPr>
                <w:rFonts w:hint="eastAsia" w:ascii="宋体" w:hAnsi="宋体" w:eastAsia="宋体" w:cs="宋体"/>
                <w:color w:val="auto"/>
                <w:spacing w:val="20"/>
                <w:kern w:val="0"/>
                <w:sz w:val="24"/>
                <w:highlight w:val="none"/>
              </w:rPr>
            </w:pPr>
            <w:r>
              <w:rPr>
                <w:rFonts w:hint="eastAsia" w:ascii="宋体" w:hAnsi="宋体" w:eastAsia="宋体" w:cs="宋体"/>
                <w:color w:val="auto"/>
                <w:spacing w:val="20"/>
                <w:kern w:val="0"/>
                <w:sz w:val="24"/>
                <w:highlight w:val="none"/>
              </w:rPr>
              <w:t>投标总价(</w:t>
            </w:r>
            <w:r>
              <w:rPr>
                <w:rFonts w:hint="eastAsia" w:ascii="宋体" w:hAnsi="宋体" w:eastAsia="宋体" w:cs="宋体"/>
                <w:color w:val="auto"/>
                <w:kern w:val="0"/>
                <w:sz w:val="24"/>
                <w:szCs w:val="21"/>
                <w:highlight w:val="none"/>
              </w:rPr>
              <w:t>大写)：</w:t>
            </w:r>
          </w:p>
        </w:tc>
        <w:tc>
          <w:tcPr>
            <w:tcW w:w="1698" w:type="dxa"/>
            <w:tcBorders>
              <w:top w:val="single" w:color="auto" w:sz="4" w:space="0"/>
              <w:left w:val="single" w:color="auto" w:sz="4" w:space="0"/>
              <w:bottom w:val="single" w:color="auto" w:sz="4" w:space="0"/>
              <w:right w:val="single" w:color="auto" w:sz="4" w:space="0"/>
            </w:tcBorders>
          </w:tcPr>
          <w:p w14:paraId="2B84FC6A">
            <w:pPr>
              <w:widowControl/>
              <w:tabs>
                <w:tab w:val="left" w:pos="1418"/>
              </w:tabs>
              <w:snapToGrid w:val="0"/>
              <w:spacing w:line="360" w:lineRule="exact"/>
              <w:jc w:val="left"/>
              <w:rPr>
                <w:rFonts w:hint="eastAsia" w:ascii="宋体" w:hAnsi="宋体" w:eastAsia="宋体" w:cs="宋体"/>
                <w:color w:val="auto"/>
                <w:spacing w:val="20"/>
                <w:kern w:val="0"/>
                <w:sz w:val="24"/>
                <w:highlight w:val="none"/>
              </w:rPr>
            </w:pPr>
            <w:r>
              <w:rPr>
                <w:rFonts w:hint="eastAsia" w:ascii="宋体" w:hAnsi="宋体" w:eastAsia="宋体" w:cs="宋体"/>
                <w:color w:val="auto"/>
                <w:kern w:val="0"/>
                <w:sz w:val="24"/>
                <w:szCs w:val="21"/>
                <w:highlight w:val="none"/>
              </w:rPr>
              <w:t>￥</w:t>
            </w:r>
            <w:r>
              <w:rPr>
                <w:rFonts w:hint="eastAsia" w:ascii="宋体" w:hAnsi="宋体" w:eastAsia="宋体" w:cs="宋体"/>
                <w:color w:val="auto"/>
                <w:kern w:val="0"/>
                <w:sz w:val="24"/>
                <w:szCs w:val="21"/>
                <w:highlight w:val="none"/>
                <w:u w:val="single"/>
              </w:rPr>
              <w:t xml:space="preserve">            </w:t>
            </w:r>
          </w:p>
        </w:tc>
      </w:tr>
    </w:tbl>
    <w:p w14:paraId="204A937E">
      <w:pPr>
        <w:widowControl/>
        <w:tabs>
          <w:tab w:val="left" w:pos="1418"/>
        </w:tabs>
        <w:wordWrap w:val="0"/>
        <w:snapToGrid w:val="0"/>
        <w:spacing w:line="480" w:lineRule="auto"/>
        <w:ind w:left="1418" w:hanging="567"/>
        <w:jc w:val="center"/>
        <w:rPr>
          <w:rFonts w:hint="eastAsia" w:ascii="宋体" w:hAnsi="宋体" w:eastAsia="宋体" w:cs="宋体"/>
          <w:color w:val="auto"/>
          <w:spacing w:val="20"/>
          <w:kern w:val="0"/>
          <w:sz w:val="24"/>
          <w:highlight w:val="none"/>
          <w:u w:val="single"/>
        </w:rPr>
      </w:pPr>
      <w:r>
        <w:rPr>
          <w:rFonts w:hint="eastAsia" w:ascii="宋体" w:hAnsi="宋体" w:eastAsia="宋体" w:cs="宋体"/>
          <w:color w:val="auto"/>
          <w:spacing w:val="20"/>
          <w:kern w:val="0"/>
          <w:sz w:val="24"/>
          <w:highlight w:val="none"/>
        </w:rPr>
        <w:t xml:space="preserve"> </w:t>
      </w:r>
    </w:p>
    <w:p w14:paraId="27123A65">
      <w:pPr>
        <w:widowControl/>
        <w:tabs>
          <w:tab w:val="left" w:pos="3390"/>
          <w:tab w:val="center" w:pos="4201"/>
        </w:tabs>
        <w:wordWrap w:val="0"/>
        <w:spacing w:line="460" w:lineRule="exact"/>
        <w:ind w:firstLine="2520" w:firstLineChars="1050"/>
        <w:jc w:val="left"/>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lang w:eastAsia="zh-CN"/>
        </w:rPr>
        <w:t>投标人</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（全称并加盖公章）</w:t>
      </w:r>
    </w:p>
    <w:p w14:paraId="7491A8AD">
      <w:pPr>
        <w:widowControl/>
        <w:tabs>
          <w:tab w:val="left" w:pos="3390"/>
          <w:tab w:val="center" w:pos="4201"/>
        </w:tabs>
        <w:wordWrap w:val="0"/>
        <w:spacing w:line="460" w:lineRule="exact"/>
        <w:ind w:right="1039" w:rightChars="495" w:firstLine="482" w:firstLineChars="200"/>
        <w:jc w:val="right"/>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 xml:space="preserve"> </w:t>
      </w:r>
      <w:r>
        <w:rPr>
          <w:rFonts w:hint="eastAsia" w:ascii="宋体" w:hAnsi="宋体" w:eastAsia="宋体" w:cs="宋体"/>
          <w:bCs/>
          <w:color w:val="auto"/>
          <w:kern w:val="0"/>
          <w:sz w:val="24"/>
          <w:highlight w:val="none"/>
        </w:rPr>
        <w:t xml:space="preserve"> </w:t>
      </w:r>
      <w:r>
        <w:rPr>
          <w:rFonts w:hint="eastAsia" w:ascii="宋体" w:hAnsi="宋体" w:eastAsia="宋体" w:cs="宋体"/>
          <w:color w:val="auto"/>
          <w:kern w:val="0"/>
          <w:sz w:val="24"/>
          <w:highlight w:val="none"/>
        </w:rPr>
        <w:t>年   月   日</w:t>
      </w:r>
    </w:p>
    <w:p w14:paraId="0A084465">
      <w:pPr>
        <w:pStyle w:val="71"/>
        <w:rPr>
          <w:rFonts w:hint="eastAsia" w:ascii="宋体" w:hAnsi="宋体" w:eastAsia="宋体" w:cs="宋体"/>
          <w:color w:val="auto"/>
          <w:sz w:val="28"/>
          <w:szCs w:val="28"/>
          <w:highlight w:val="none"/>
        </w:rPr>
      </w:pPr>
    </w:p>
    <w:p w14:paraId="0C9BAB5C">
      <w:pPr>
        <w:widowControl/>
        <w:spacing w:line="360" w:lineRule="auto"/>
        <w:ind w:firstLine="480" w:firstLineChars="200"/>
        <w:jc w:val="left"/>
        <w:rPr>
          <w:rFonts w:hint="eastAsia" w:ascii="宋体" w:hAnsi="宋体" w:eastAsia="宋体" w:cs="宋体"/>
          <w:color w:val="auto"/>
          <w:kern w:val="0"/>
          <w:sz w:val="24"/>
          <w:szCs w:val="24"/>
          <w:highlight w:val="none"/>
        </w:rPr>
      </w:pPr>
    </w:p>
    <w:p w14:paraId="0930914E">
      <w:pPr>
        <w:pStyle w:val="2"/>
        <w:ind w:firstLine="240"/>
        <w:rPr>
          <w:rFonts w:hint="eastAsia" w:ascii="宋体" w:hAnsi="宋体" w:eastAsia="宋体" w:cs="宋体"/>
          <w:color w:val="auto"/>
          <w:kern w:val="0"/>
          <w:sz w:val="24"/>
          <w:highlight w:val="none"/>
        </w:rPr>
      </w:pPr>
    </w:p>
    <w:p w14:paraId="4C45CB30">
      <w:pPr>
        <w:rPr>
          <w:rFonts w:hint="eastAsia" w:ascii="宋体" w:hAnsi="宋体" w:eastAsia="宋体" w:cs="宋体"/>
          <w:color w:val="auto"/>
          <w:kern w:val="0"/>
          <w:sz w:val="24"/>
          <w:szCs w:val="24"/>
          <w:highlight w:val="none"/>
        </w:rPr>
      </w:pPr>
    </w:p>
    <w:p w14:paraId="685DEEE5">
      <w:pPr>
        <w:pStyle w:val="2"/>
        <w:ind w:firstLine="240"/>
        <w:rPr>
          <w:rFonts w:hint="eastAsia" w:ascii="宋体" w:hAnsi="宋体" w:eastAsia="宋体" w:cs="宋体"/>
          <w:color w:val="auto"/>
          <w:kern w:val="0"/>
          <w:sz w:val="24"/>
          <w:highlight w:val="none"/>
        </w:rPr>
      </w:pPr>
    </w:p>
    <w:p w14:paraId="3680727C">
      <w:pPr>
        <w:rPr>
          <w:rFonts w:hint="eastAsia" w:ascii="宋体" w:hAnsi="宋体" w:eastAsia="宋体" w:cs="宋体"/>
          <w:color w:val="auto"/>
          <w:kern w:val="0"/>
          <w:sz w:val="24"/>
          <w:szCs w:val="24"/>
          <w:highlight w:val="none"/>
        </w:rPr>
      </w:pPr>
    </w:p>
    <w:p w14:paraId="6079F4FC">
      <w:pPr>
        <w:widowControl/>
        <w:jc w:val="left"/>
        <w:rPr>
          <w:rFonts w:hint="eastAsia" w:ascii="宋体" w:hAnsi="宋体" w:eastAsia="宋体" w:cs="宋体"/>
          <w:b/>
          <w:color w:val="auto"/>
          <w:kern w:val="0"/>
          <w:sz w:val="32"/>
          <w:szCs w:val="32"/>
          <w:highlight w:val="none"/>
        </w:rPr>
      </w:pPr>
      <w:bookmarkStart w:id="112" w:name="_Toc11825"/>
      <w:bookmarkStart w:id="113" w:name="_Toc14455"/>
      <w:bookmarkStart w:id="114" w:name="_Toc6405"/>
      <w:bookmarkStart w:id="115" w:name="_Toc8427"/>
      <w:bookmarkStart w:id="116" w:name="_Toc31693"/>
      <w:r>
        <w:rPr>
          <w:rFonts w:hint="eastAsia" w:ascii="宋体" w:hAnsi="宋体" w:eastAsia="宋体" w:cs="宋体"/>
          <w:b/>
          <w:color w:val="auto"/>
          <w:kern w:val="0"/>
          <w:sz w:val="32"/>
          <w:szCs w:val="32"/>
          <w:highlight w:val="none"/>
        </w:rPr>
        <w:br w:type="page"/>
      </w:r>
    </w:p>
    <w:p w14:paraId="1519530E">
      <w:pPr>
        <w:wordWrap w:val="0"/>
        <w:adjustRightInd w:val="0"/>
        <w:snapToGrid w:val="0"/>
        <w:spacing w:before="50" w:after="157" w:afterLines="50" w:line="360" w:lineRule="auto"/>
        <w:outlineLvl w:val="1"/>
        <w:rPr>
          <w:rFonts w:hint="eastAsia" w:ascii="宋体" w:hAnsi="宋体" w:eastAsia="宋体" w:cs="宋体"/>
          <w:b/>
          <w:snapToGrid w:val="0"/>
          <w:color w:val="auto"/>
          <w:sz w:val="28"/>
          <w:szCs w:val="28"/>
          <w:highlight w:val="none"/>
        </w:rPr>
      </w:pPr>
      <w:r>
        <w:rPr>
          <w:rFonts w:hint="eastAsia" w:ascii="宋体" w:hAnsi="宋体" w:eastAsia="宋体" w:cs="宋体"/>
          <w:b/>
          <w:snapToGrid w:val="0"/>
          <w:color w:val="auto"/>
          <w:sz w:val="28"/>
          <w:szCs w:val="28"/>
          <w:highlight w:val="none"/>
        </w:rPr>
        <w:t xml:space="preserve">附件5             </w:t>
      </w:r>
    </w:p>
    <w:p w14:paraId="083EC59C">
      <w:pPr>
        <w:widowControl/>
        <w:tabs>
          <w:tab w:val="left" w:pos="3390"/>
          <w:tab w:val="center" w:pos="4201"/>
        </w:tabs>
        <w:spacing w:line="360" w:lineRule="auto"/>
        <w:ind w:firstLine="482" w:firstLineChars="200"/>
        <w:jc w:val="center"/>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供货范围</w:t>
      </w:r>
      <w:r>
        <w:rPr>
          <w:rFonts w:hint="eastAsia" w:ascii="宋体" w:hAnsi="宋体" w:eastAsia="宋体" w:cs="宋体"/>
          <w:b/>
          <w:bCs/>
          <w:color w:val="auto"/>
          <w:kern w:val="0"/>
          <w:sz w:val="24"/>
          <w:highlight w:val="none"/>
        </w:rPr>
        <w:t>清单</w:t>
      </w:r>
      <w:r>
        <w:rPr>
          <w:rFonts w:hint="eastAsia" w:ascii="宋体" w:hAnsi="宋体" w:eastAsia="宋体" w:cs="宋体"/>
          <w:color w:val="auto"/>
          <w:kern w:val="0"/>
          <w:sz w:val="24"/>
          <w:highlight w:val="none"/>
        </w:rPr>
        <w:t>（格式自拟）</w:t>
      </w:r>
    </w:p>
    <w:p w14:paraId="7A390E19">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p w14:paraId="6B50DC2E">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说明：</w:t>
      </w:r>
    </w:p>
    <w:p w14:paraId="2DE69EB9">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本清单应列明组成货物的主要件和关键件的名称、数量、原产地及单价。</w:t>
      </w:r>
    </w:p>
    <w:p w14:paraId="2EE3BF9A">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本清单应列明专用工具的名称、数量、原产地及单价（如果有的话）。</w:t>
      </w:r>
    </w:p>
    <w:p w14:paraId="242F27A2">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本清单应列明备品备件的名称、数量、原产地及单价（如果有的话）。</w:t>
      </w:r>
    </w:p>
    <w:p w14:paraId="5883872E">
      <w:pPr>
        <w:rPr>
          <w:rFonts w:hint="eastAsia" w:ascii="宋体" w:hAnsi="宋体" w:eastAsia="宋体" w:cs="宋体"/>
          <w:b/>
          <w:snapToGrid w:val="0"/>
          <w:color w:val="auto"/>
          <w:sz w:val="28"/>
          <w:szCs w:val="28"/>
          <w:highlight w:val="none"/>
        </w:rPr>
      </w:pPr>
    </w:p>
    <w:p w14:paraId="1C84D578">
      <w:pPr>
        <w:pStyle w:val="2"/>
        <w:rPr>
          <w:rFonts w:hint="eastAsia" w:ascii="宋体" w:hAnsi="宋体" w:eastAsia="宋体" w:cs="宋体"/>
          <w:b/>
          <w:snapToGrid w:val="0"/>
          <w:color w:val="auto"/>
          <w:sz w:val="28"/>
          <w:szCs w:val="28"/>
          <w:highlight w:val="none"/>
        </w:rPr>
      </w:pPr>
    </w:p>
    <w:p w14:paraId="44C98C25">
      <w:pPr>
        <w:pStyle w:val="5"/>
        <w:rPr>
          <w:rFonts w:hint="eastAsia" w:ascii="宋体" w:hAnsi="宋体" w:eastAsia="宋体" w:cs="宋体"/>
          <w:b/>
          <w:snapToGrid w:val="0"/>
          <w:color w:val="auto"/>
          <w:sz w:val="28"/>
          <w:szCs w:val="28"/>
          <w:highlight w:val="none"/>
        </w:rPr>
      </w:pPr>
    </w:p>
    <w:p w14:paraId="1CCA0E0F">
      <w:pPr>
        <w:rPr>
          <w:rFonts w:hint="eastAsia" w:ascii="宋体" w:hAnsi="宋体" w:eastAsia="宋体" w:cs="宋体"/>
          <w:b/>
          <w:snapToGrid w:val="0"/>
          <w:color w:val="auto"/>
          <w:sz w:val="28"/>
          <w:szCs w:val="28"/>
          <w:highlight w:val="none"/>
        </w:rPr>
      </w:pPr>
    </w:p>
    <w:p w14:paraId="7C1EA71D">
      <w:pPr>
        <w:pStyle w:val="2"/>
        <w:rPr>
          <w:rFonts w:hint="eastAsia" w:ascii="宋体" w:hAnsi="宋体" w:eastAsia="宋体" w:cs="宋体"/>
          <w:b/>
          <w:snapToGrid w:val="0"/>
          <w:color w:val="auto"/>
          <w:sz w:val="28"/>
          <w:szCs w:val="28"/>
          <w:highlight w:val="none"/>
        </w:rPr>
      </w:pPr>
    </w:p>
    <w:p w14:paraId="5EF1EF71">
      <w:pPr>
        <w:pStyle w:val="5"/>
        <w:rPr>
          <w:rFonts w:hint="eastAsia" w:ascii="宋体" w:hAnsi="宋体" w:eastAsia="宋体" w:cs="宋体"/>
          <w:b/>
          <w:snapToGrid w:val="0"/>
          <w:color w:val="auto"/>
          <w:sz w:val="28"/>
          <w:szCs w:val="28"/>
          <w:highlight w:val="none"/>
        </w:rPr>
      </w:pPr>
    </w:p>
    <w:p w14:paraId="70BE77AE">
      <w:pPr>
        <w:rPr>
          <w:rFonts w:hint="eastAsia" w:ascii="宋体" w:hAnsi="宋体" w:eastAsia="宋体" w:cs="宋体"/>
          <w:b/>
          <w:snapToGrid w:val="0"/>
          <w:color w:val="auto"/>
          <w:sz w:val="28"/>
          <w:szCs w:val="28"/>
          <w:highlight w:val="none"/>
        </w:rPr>
      </w:pPr>
    </w:p>
    <w:p w14:paraId="347DD34A">
      <w:pPr>
        <w:pStyle w:val="2"/>
        <w:rPr>
          <w:rFonts w:hint="eastAsia" w:ascii="宋体" w:hAnsi="宋体" w:eastAsia="宋体" w:cs="宋体"/>
          <w:b/>
          <w:snapToGrid w:val="0"/>
          <w:color w:val="auto"/>
          <w:sz w:val="28"/>
          <w:szCs w:val="28"/>
          <w:highlight w:val="none"/>
        </w:rPr>
      </w:pPr>
    </w:p>
    <w:p w14:paraId="5124D0E7">
      <w:pPr>
        <w:pStyle w:val="5"/>
        <w:rPr>
          <w:rFonts w:hint="eastAsia" w:ascii="宋体" w:hAnsi="宋体" w:eastAsia="宋体" w:cs="宋体"/>
          <w:b/>
          <w:snapToGrid w:val="0"/>
          <w:color w:val="auto"/>
          <w:sz w:val="28"/>
          <w:szCs w:val="28"/>
          <w:highlight w:val="none"/>
        </w:rPr>
      </w:pPr>
    </w:p>
    <w:p w14:paraId="1D1BE47A">
      <w:pPr>
        <w:rPr>
          <w:rFonts w:hint="eastAsia" w:ascii="宋体" w:hAnsi="宋体" w:eastAsia="宋体" w:cs="宋体"/>
          <w:b/>
          <w:snapToGrid w:val="0"/>
          <w:color w:val="auto"/>
          <w:sz w:val="28"/>
          <w:szCs w:val="28"/>
          <w:highlight w:val="none"/>
        </w:rPr>
      </w:pPr>
    </w:p>
    <w:p w14:paraId="14FD0912">
      <w:pPr>
        <w:pStyle w:val="2"/>
        <w:rPr>
          <w:rFonts w:hint="eastAsia" w:ascii="宋体" w:hAnsi="宋体" w:eastAsia="宋体" w:cs="宋体"/>
          <w:b/>
          <w:snapToGrid w:val="0"/>
          <w:color w:val="auto"/>
          <w:sz w:val="28"/>
          <w:szCs w:val="28"/>
          <w:highlight w:val="none"/>
        </w:rPr>
      </w:pPr>
    </w:p>
    <w:p w14:paraId="0862C87E">
      <w:pPr>
        <w:pStyle w:val="5"/>
        <w:rPr>
          <w:rFonts w:hint="eastAsia" w:ascii="宋体" w:hAnsi="宋体" w:eastAsia="宋体" w:cs="宋体"/>
          <w:b/>
          <w:snapToGrid w:val="0"/>
          <w:color w:val="auto"/>
          <w:sz w:val="28"/>
          <w:szCs w:val="28"/>
          <w:highlight w:val="none"/>
        </w:rPr>
      </w:pPr>
    </w:p>
    <w:p w14:paraId="31505383">
      <w:pPr>
        <w:rPr>
          <w:rFonts w:hint="eastAsia" w:ascii="宋体" w:hAnsi="宋体" w:eastAsia="宋体" w:cs="宋体"/>
          <w:highlight w:val="none"/>
        </w:rPr>
      </w:pPr>
    </w:p>
    <w:p w14:paraId="568A5740">
      <w:pPr>
        <w:pStyle w:val="5"/>
        <w:rPr>
          <w:rFonts w:hint="eastAsia" w:ascii="宋体" w:hAnsi="宋体" w:eastAsia="宋体" w:cs="宋体"/>
          <w:b/>
          <w:snapToGrid w:val="0"/>
          <w:color w:val="auto"/>
          <w:sz w:val="28"/>
          <w:szCs w:val="28"/>
          <w:highlight w:val="none"/>
        </w:rPr>
      </w:pPr>
    </w:p>
    <w:p w14:paraId="412B09C8">
      <w:pPr>
        <w:rPr>
          <w:rFonts w:hint="eastAsia" w:ascii="宋体" w:hAnsi="宋体" w:eastAsia="宋体" w:cs="宋体"/>
          <w:b/>
          <w:snapToGrid w:val="0"/>
          <w:color w:val="auto"/>
          <w:sz w:val="28"/>
          <w:szCs w:val="28"/>
          <w:highlight w:val="none"/>
        </w:rPr>
      </w:pPr>
    </w:p>
    <w:p w14:paraId="28217101">
      <w:pPr>
        <w:widowControl/>
        <w:jc w:val="left"/>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附件6</w:t>
      </w:r>
      <w:r>
        <w:rPr>
          <w:rFonts w:hint="eastAsia" w:ascii="宋体" w:hAnsi="宋体" w:eastAsia="宋体" w:cs="宋体"/>
          <w:color w:val="auto"/>
          <w:kern w:val="0"/>
          <w:sz w:val="24"/>
          <w:highlight w:val="none"/>
        </w:rPr>
        <w:t xml:space="preserve"> </w:t>
      </w:r>
    </w:p>
    <w:p w14:paraId="7962E7FE">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技术响应表</w:t>
      </w:r>
      <w:r>
        <w:rPr>
          <w:rFonts w:hint="eastAsia" w:ascii="宋体" w:hAnsi="宋体" w:eastAsia="宋体" w:cs="宋体"/>
          <w:color w:val="auto"/>
          <w:kern w:val="0"/>
          <w:sz w:val="24"/>
          <w:highlight w:val="none"/>
        </w:rPr>
        <w:t>（格式）</w:t>
      </w:r>
    </w:p>
    <w:p w14:paraId="22B6A2A9">
      <w:pPr>
        <w:widowControl/>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项目编号：</w:t>
      </w:r>
      <w:r>
        <w:rPr>
          <w:rFonts w:hint="eastAsia" w:ascii="宋体" w:hAnsi="宋体" w:eastAsia="宋体" w:cs="宋体"/>
          <w:color w:val="auto"/>
          <w:kern w:val="0"/>
          <w:sz w:val="24"/>
          <w:highlight w:val="none"/>
          <w:u w:val="single"/>
        </w:rPr>
        <w:t xml:space="preserve">              </w:t>
      </w:r>
    </w:p>
    <w:tbl>
      <w:tblPr>
        <w:tblStyle w:val="48"/>
        <w:tblW w:w="93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7"/>
        <w:gridCol w:w="1265"/>
        <w:gridCol w:w="2894"/>
        <w:gridCol w:w="2892"/>
        <w:gridCol w:w="1387"/>
      </w:tblGrid>
      <w:tr w14:paraId="6937B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exact"/>
          <w:jc w:val="center"/>
        </w:trPr>
        <w:tc>
          <w:tcPr>
            <w:tcW w:w="887" w:type="dxa"/>
            <w:noWrap w:val="0"/>
            <w:vAlign w:val="center"/>
          </w:tcPr>
          <w:p w14:paraId="57F6C8B2">
            <w:pPr>
              <w:spacing w:before="72" w:line="360" w:lineRule="auto"/>
              <w:ind w:left="221" w:right="223"/>
              <w:jc w:val="center"/>
              <w:rPr>
                <w:rFonts w:hint="eastAsia" w:ascii="宋体" w:hAnsi="宋体" w:eastAsia="宋体" w:cs="宋体"/>
                <w:b/>
                <w:color w:val="auto"/>
                <w:szCs w:val="22"/>
                <w:highlight w:val="none"/>
                <w:lang w:eastAsia="en-US"/>
              </w:rPr>
            </w:pPr>
            <w:r>
              <w:rPr>
                <w:rFonts w:hint="eastAsia" w:ascii="宋体" w:hAnsi="宋体" w:eastAsia="宋体" w:cs="宋体"/>
                <w:b/>
                <w:color w:val="auto"/>
                <w:szCs w:val="22"/>
                <w:highlight w:val="none"/>
                <w:lang w:eastAsia="en-US"/>
              </w:rPr>
              <w:t>序号</w:t>
            </w:r>
          </w:p>
        </w:tc>
        <w:tc>
          <w:tcPr>
            <w:tcW w:w="1265" w:type="dxa"/>
            <w:noWrap w:val="0"/>
            <w:vAlign w:val="center"/>
          </w:tcPr>
          <w:p w14:paraId="59AD95E1">
            <w:pPr>
              <w:spacing w:before="72" w:line="360" w:lineRule="auto"/>
              <w:jc w:val="center"/>
              <w:rPr>
                <w:rFonts w:hint="eastAsia" w:ascii="宋体" w:hAnsi="宋体" w:eastAsia="宋体" w:cs="宋体"/>
                <w:b/>
                <w:color w:val="auto"/>
                <w:szCs w:val="22"/>
                <w:highlight w:val="none"/>
              </w:rPr>
            </w:pPr>
            <w:r>
              <w:rPr>
                <w:rFonts w:hint="eastAsia" w:ascii="宋体" w:hAnsi="宋体" w:eastAsia="宋体" w:cs="宋体"/>
                <w:b/>
                <w:color w:val="auto"/>
                <w:szCs w:val="22"/>
                <w:highlight w:val="none"/>
              </w:rPr>
              <w:t>名称</w:t>
            </w:r>
          </w:p>
        </w:tc>
        <w:tc>
          <w:tcPr>
            <w:tcW w:w="2894" w:type="dxa"/>
            <w:noWrap w:val="0"/>
            <w:vAlign w:val="center"/>
          </w:tcPr>
          <w:p w14:paraId="6ACA68B3">
            <w:pPr>
              <w:spacing w:before="72" w:line="360" w:lineRule="auto"/>
              <w:jc w:val="center"/>
              <w:rPr>
                <w:rFonts w:hint="eastAsia" w:ascii="宋体" w:hAnsi="宋体" w:eastAsia="宋体" w:cs="宋体"/>
                <w:b/>
                <w:color w:val="auto"/>
                <w:szCs w:val="22"/>
                <w:highlight w:val="none"/>
              </w:rPr>
            </w:pPr>
            <w:r>
              <w:rPr>
                <w:rFonts w:hint="eastAsia" w:ascii="宋体" w:hAnsi="宋体" w:eastAsia="宋体" w:cs="宋体"/>
                <w:b/>
                <w:color w:val="auto"/>
                <w:szCs w:val="22"/>
                <w:highlight w:val="none"/>
              </w:rPr>
              <w:t>招标文件要求</w:t>
            </w:r>
          </w:p>
        </w:tc>
        <w:tc>
          <w:tcPr>
            <w:tcW w:w="2892" w:type="dxa"/>
            <w:noWrap w:val="0"/>
            <w:vAlign w:val="center"/>
          </w:tcPr>
          <w:p w14:paraId="54D9B5CD">
            <w:pPr>
              <w:spacing w:before="72" w:line="360" w:lineRule="auto"/>
              <w:jc w:val="center"/>
              <w:rPr>
                <w:rFonts w:hint="eastAsia" w:ascii="宋体" w:hAnsi="宋体" w:eastAsia="宋体" w:cs="宋体"/>
                <w:b/>
                <w:color w:val="auto"/>
                <w:szCs w:val="22"/>
                <w:highlight w:val="none"/>
              </w:rPr>
            </w:pPr>
            <w:r>
              <w:rPr>
                <w:rFonts w:hint="eastAsia" w:ascii="宋体" w:hAnsi="宋体" w:eastAsia="宋体" w:cs="宋体"/>
                <w:b/>
                <w:color w:val="auto"/>
                <w:szCs w:val="22"/>
                <w:highlight w:val="none"/>
              </w:rPr>
              <w:t>投标文件要求</w:t>
            </w:r>
          </w:p>
        </w:tc>
        <w:tc>
          <w:tcPr>
            <w:tcW w:w="1387" w:type="dxa"/>
            <w:noWrap w:val="0"/>
            <w:vAlign w:val="center"/>
          </w:tcPr>
          <w:p w14:paraId="63A2EA57">
            <w:pPr>
              <w:spacing w:before="72" w:line="360" w:lineRule="auto"/>
              <w:jc w:val="center"/>
              <w:rPr>
                <w:rFonts w:hint="eastAsia" w:ascii="宋体" w:hAnsi="宋体" w:eastAsia="宋体" w:cs="宋体"/>
                <w:b/>
                <w:color w:val="auto"/>
                <w:szCs w:val="22"/>
                <w:highlight w:val="none"/>
                <w:lang w:eastAsia="en-US"/>
              </w:rPr>
            </w:pPr>
            <w:r>
              <w:rPr>
                <w:rFonts w:hint="eastAsia" w:ascii="宋体" w:hAnsi="宋体" w:eastAsia="宋体" w:cs="宋体"/>
                <w:b/>
                <w:color w:val="auto"/>
                <w:szCs w:val="22"/>
                <w:highlight w:val="none"/>
                <w:lang w:eastAsia="en-US"/>
              </w:rPr>
              <w:t>偏差说明</w:t>
            </w:r>
          </w:p>
        </w:tc>
      </w:tr>
      <w:tr w14:paraId="3C67E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exact"/>
          <w:jc w:val="center"/>
        </w:trPr>
        <w:tc>
          <w:tcPr>
            <w:tcW w:w="887" w:type="dxa"/>
            <w:noWrap w:val="0"/>
            <w:vAlign w:val="center"/>
          </w:tcPr>
          <w:p w14:paraId="1896D790">
            <w:pPr>
              <w:spacing w:before="6" w:line="360" w:lineRule="auto"/>
              <w:ind w:firstLine="221" w:firstLineChars="200"/>
              <w:jc w:val="center"/>
              <w:rPr>
                <w:rFonts w:hint="eastAsia" w:ascii="宋体" w:hAnsi="宋体" w:eastAsia="宋体" w:cs="宋体"/>
                <w:b/>
                <w:color w:val="auto"/>
                <w:sz w:val="11"/>
                <w:szCs w:val="22"/>
                <w:highlight w:val="none"/>
                <w:lang w:eastAsia="en-US"/>
              </w:rPr>
            </w:pPr>
          </w:p>
          <w:p w14:paraId="4063710F">
            <w:pPr>
              <w:spacing w:line="360" w:lineRule="auto"/>
              <w:ind w:right="2" w:firstLine="420" w:firstLineChars="200"/>
              <w:jc w:val="center"/>
              <w:rPr>
                <w:rFonts w:hint="eastAsia" w:ascii="宋体" w:hAnsi="宋体" w:eastAsia="宋体" w:cs="宋体"/>
                <w:color w:val="auto"/>
                <w:szCs w:val="22"/>
                <w:highlight w:val="none"/>
                <w:lang w:eastAsia="en-US"/>
              </w:rPr>
            </w:pPr>
            <w:r>
              <w:rPr>
                <w:rFonts w:hint="eastAsia" w:ascii="宋体" w:hAnsi="宋体" w:eastAsia="宋体" w:cs="宋体"/>
                <w:color w:val="auto"/>
                <w:szCs w:val="22"/>
                <w:highlight w:val="none"/>
                <w:lang w:eastAsia="en-US"/>
              </w:rPr>
              <w:t>1</w:t>
            </w:r>
          </w:p>
        </w:tc>
        <w:tc>
          <w:tcPr>
            <w:tcW w:w="1265" w:type="dxa"/>
            <w:noWrap w:val="0"/>
            <w:vAlign w:val="center"/>
          </w:tcPr>
          <w:p w14:paraId="0AEF386D">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2894" w:type="dxa"/>
            <w:noWrap w:val="0"/>
            <w:vAlign w:val="center"/>
          </w:tcPr>
          <w:p w14:paraId="788CDFAC">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2892" w:type="dxa"/>
            <w:noWrap w:val="0"/>
            <w:vAlign w:val="center"/>
          </w:tcPr>
          <w:p w14:paraId="42684F37">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87" w:type="dxa"/>
            <w:noWrap w:val="0"/>
            <w:vAlign w:val="center"/>
          </w:tcPr>
          <w:p w14:paraId="406972BB">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r>
      <w:tr w14:paraId="32F0E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exact"/>
          <w:jc w:val="center"/>
        </w:trPr>
        <w:tc>
          <w:tcPr>
            <w:tcW w:w="887" w:type="dxa"/>
            <w:noWrap w:val="0"/>
            <w:vAlign w:val="center"/>
          </w:tcPr>
          <w:p w14:paraId="65B212C0">
            <w:pPr>
              <w:spacing w:before="3" w:line="360" w:lineRule="auto"/>
              <w:ind w:firstLine="221" w:firstLineChars="200"/>
              <w:jc w:val="center"/>
              <w:rPr>
                <w:rFonts w:hint="eastAsia" w:ascii="宋体" w:hAnsi="宋体" w:eastAsia="宋体" w:cs="宋体"/>
                <w:b/>
                <w:color w:val="auto"/>
                <w:sz w:val="11"/>
                <w:szCs w:val="22"/>
                <w:highlight w:val="none"/>
                <w:lang w:eastAsia="en-US"/>
              </w:rPr>
            </w:pPr>
          </w:p>
          <w:p w14:paraId="0F4B63C9">
            <w:pPr>
              <w:spacing w:line="360" w:lineRule="auto"/>
              <w:ind w:right="2" w:firstLine="420" w:firstLineChars="200"/>
              <w:jc w:val="center"/>
              <w:rPr>
                <w:rFonts w:hint="eastAsia" w:ascii="宋体" w:hAnsi="宋体" w:eastAsia="宋体" w:cs="宋体"/>
                <w:color w:val="auto"/>
                <w:szCs w:val="22"/>
                <w:highlight w:val="none"/>
                <w:lang w:eastAsia="en-US"/>
              </w:rPr>
            </w:pPr>
            <w:r>
              <w:rPr>
                <w:rFonts w:hint="eastAsia" w:ascii="宋体" w:hAnsi="宋体" w:eastAsia="宋体" w:cs="宋体"/>
                <w:color w:val="auto"/>
                <w:szCs w:val="22"/>
                <w:highlight w:val="none"/>
                <w:lang w:eastAsia="en-US"/>
              </w:rPr>
              <w:t>2</w:t>
            </w:r>
          </w:p>
        </w:tc>
        <w:tc>
          <w:tcPr>
            <w:tcW w:w="1265" w:type="dxa"/>
            <w:noWrap w:val="0"/>
            <w:vAlign w:val="center"/>
          </w:tcPr>
          <w:p w14:paraId="1A368B6A">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2894" w:type="dxa"/>
            <w:noWrap w:val="0"/>
            <w:vAlign w:val="center"/>
          </w:tcPr>
          <w:p w14:paraId="7B974DE9">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2892" w:type="dxa"/>
            <w:noWrap w:val="0"/>
            <w:vAlign w:val="center"/>
          </w:tcPr>
          <w:p w14:paraId="7659164E">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87" w:type="dxa"/>
            <w:noWrap w:val="0"/>
            <w:vAlign w:val="center"/>
          </w:tcPr>
          <w:p w14:paraId="61F00644">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r>
      <w:tr w14:paraId="2C74F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exact"/>
          <w:jc w:val="center"/>
        </w:trPr>
        <w:tc>
          <w:tcPr>
            <w:tcW w:w="887" w:type="dxa"/>
            <w:noWrap w:val="0"/>
            <w:vAlign w:val="center"/>
          </w:tcPr>
          <w:p w14:paraId="7C868869">
            <w:pPr>
              <w:spacing w:before="3" w:line="360" w:lineRule="auto"/>
              <w:ind w:firstLine="221" w:firstLineChars="200"/>
              <w:jc w:val="center"/>
              <w:rPr>
                <w:rFonts w:hint="eastAsia" w:ascii="宋体" w:hAnsi="宋体" w:eastAsia="宋体" w:cs="宋体"/>
                <w:b/>
                <w:color w:val="auto"/>
                <w:sz w:val="11"/>
                <w:szCs w:val="22"/>
                <w:highlight w:val="none"/>
                <w:lang w:eastAsia="en-US"/>
              </w:rPr>
            </w:pPr>
          </w:p>
          <w:p w14:paraId="31D09C6F">
            <w:pPr>
              <w:spacing w:line="360" w:lineRule="auto"/>
              <w:ind w:right="2" w:firstLine="420" w:firstLineChars="200"/>
              <w:jc w:val="center"/>
              <w:rPr>
                <w:rFonts w:hint="eastAsia" w:ascii="宋体" w:hAnsi="宋体" w:eastAsia="宋体" w:cs="宋体"/>
                <w:color w:val="auto"/>
                <w:szCs w:val="22"/>
                <w:highlight w:val="none"/>
                <w:lang w:eastAsia="en-US"/>
              </w:rPr>
            </w:pPr>
            <w:r>
              <w:rPr>
                <w:rFonts w:hint="eastAsia" w:ascii="宋体" w:hAnsi="宋体" w:eastAsia="宋体" w:cs="宋体"/>
                <w:color w:val="auto"/>
                <w:szCs w:val="22"/>
                <w:highlight w:val="none"/>
                <w:lang w:eastAsia="en-US"/>
              </w:rPr>
              <w:t>3</w:t>
            </w:r>
          </w:p>
        </w:tc>
        <w:tc>
          <w:tcPr>
            <w:tcW w:w="1265" w:type="dxa"/>
            <w:noWrap w:val="0"/>
            <w:vAlign w:val="center"/>
          </w:tcPr>
          <w:p w14:paraId="73F24AB3">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2894" w:type="dxa"/>
            <w:noWrap w:val="0"/>
            <w:vAlign w:val="center"/>
          </w:tcPr>
          <w:p w14:paraId="75A8F51E">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2892" w:type="dxa"/>
            <w:noWrap w:val="0"/>
            <w:vAlign w:val="center"/>
          </w:tcPr>
          <w:p w14:paraId="4C64E3C0">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87" w:type="dxa"/>
            <w:noWrap w:val="0"/>
            <w:vAlign w:val="center"/>
          </w:tcPr>
          <w:p w14:paraId="6F5ABE96">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r>
      <w:tr w14:paraId="0A195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exact"/>
          <w:jc w:val="center"/>
        </w:trPr>
        <w:tc>
          <w:tcPr>
            <w:tcW w:w="887" w:type="dxa"/>
            <w:noWrap w:val="0"/>
            <w:vAlign w:val="center"/>
          </w:tcPr>
          <w:p w14:paraId="2055E606">
            <w:pPr>
              <w:spacing w:before="6" w:line="360" w:lineRule="auto"/>
              <w:ind w:firstLine="221" w:firstLineChars="200"/>
              <w:jc w:val="both"/>
              <w:rPr>
                <w:rFonts w:hint="eastAsia" w:ascii="宋体" w:hAnsi="宋体" w:eastAsia="宋体" w:cs="宋体"/>
                <w:b/>
                <w:color w:val="auto"/>
                <w:sz w:val="11"/>
                <w:szCs w:val="22"/>
                <w:highlight w:val="none"/>
                <w:lang w:eastAsia="zh-CN"/>
              </w:rPr>
            </w:pPr>
            <w:r>
              <w:rPr>
                <w:rFonts w:hint="eastAsia" w:ascii="宋体" w:hAnsi="宋体" w:eastAsia="宋体" w:cs="宋体"/>
                <w:b/>
                <w:color w:val="auto"/>
                <w:sz w:val="11"/>
                <w:szCs w:val="22"/>
                <w:highlight w:val="none"/>
                <w:lang w:eastAsia="zh-CN"/>
              </w:rPr>
              <w:t>。。。</w:t>
            </w:r>
          </w:p>
          <w:p w14:paraId="0F2D905D">
            <w:pPr>
              <w:spacing w:line="360" w:lineRule="auto"/>
              <w:ind w:left="223" w:right="223" w:firstLine="482" w:firstLineChars="200"/>
              <w:jc w:val="center"/>
              <w:rPr>
                <w:rFonts w:hint="eastAsia" w:ascii="宋体" w:hAnsi="宋体" w:eastAsia="宋体" w:cs="宋体"/>
                <w:i/>
                <w:color w:val="auto"/>
                <w:szCs w:val="22"/>
                <w:highlight w:val="none"/>
                <w:lang w:eastAsia="en-US"/>
              </w:rPr>
            </w:pPr>
            <w:r>
              <w:rPr>
                <w:rFonts w:hint="eastAsia" w:ascii="宋体" w:hAnsi="宋体" w:eastAsia="宋体" w:cs="宋体"/>
                <w:i/>
                <w:color w:val="auto"/>
                <w:w w:val="115"/>
                <w:szCs w:val="22"/>
                <w:highlight w:val="none"/>
                <w:lang w:eastAsia="en-US"/>
              </w:rPr>
              <w:t>……</w:t>
            </w:r>
          </w:p>
        </w:tc>
        <w:tc>
          <w:tcPr>
            <w:tcW w:w="1265" w:type="dxa"/>
            <w:noWrap w:val="0"/>
            <w:vAlign w:val="center"/>
          </w:tcPr>
          <w:p w14:paraId="55C5DD04">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2894" w:type="dxa"/>
            <w:noWrap w:val="0"/>
            <w:vAlign w:val="center"/>
          </w:tcPr>
          <w:p w14:paraId="5EAD7877">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2892" w:type="dxa"/>
            <w:noWrap w:val="0"/>
            <w:vAlign w:val="center"/>
          </w:tcPr>
          <w:p w14:paraId="2890C5BE">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c>
          <w:tcPr>
            <w:tcW w:w="1387" w:type="dxa"/>
            <w:noWrap w:val="0"/>
            <w:vAlign w:val="center"/>
          </w:tcPr>
          <w:p w14:paraId="67BA190C">
            <w:pPr>
              <w:spacing w:line="360" w:lineRule="auto"/>
              <w:ind w:firstLine="440" w:firstLineChars="200"/>
              <w:jc w:val="center"/>
              <w:rPr>
                <w:rFonts w:hint="eastAsia" w:ascii="宋体" w:hAnsi="宋体" w:eastAsia="宋体" w:cs="宋体"/>
                <w:color w:val="auto"/>
                <w:kern w:val="0"/>
                <w:sz w:val="22"/>
                <w:szCs w:val="22"/>
                <w:highlight w:val="none"/>
                <w:lang w:eastAsia="en-US"/>
              </w:rPr>
            </w:pPr>
          </w:p>
        </w:tc>
      </w:tr>
    </w:tbl>
    <w:p w14:paraId="7BC6C0F1">
      <w:pPr>
        <w:widowControl/>
        <w:spacing w:before="50" w:after="50" w:line="360" w:lineRule="auto"/>
        <w:jc w:val="left"/>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注：投标人必须如实完整填写表格， “偏离情况”是指“正偏离”、“负偏离”或“无偏离”。</w:t>
      </w:r>
    </w:p>
    <w:p w14:paraId="19D555CF">
      <w:pPr>
        <w:pStyle w:val="2"/>
        <w:rPr>
          <w:rFonts w:hint="eastAsia" w:ascii="宋体" w:hAnsi="宋体" w:eastAsia="宋体" w:cs="宋体"/>
          <w:color w:val="auto"/>
          <w:highlight w:val="none"/>
          <w:lang w:val="en-US" w:eastAsia="zh-CN"/>
        </w:rPr>
      </w:pPr>
      <w:r>
        <w:rPr>
          <w:rFonts w:hint="eastAsia" w:ascii="宋体" w:hAnsi="宋体" w:eastAsia="宋体" w:cs="宋体"/>
          <w:bCs/>
          <w:color w:val="auto"/>
          <w:kern w:val="0"/>
          <w:sz w:val="24"/>
          <w:highlight w:val="none"/>
          <w:lang w:eastAsia="zh-CN"/>
        </w:rPr>
        <w:t>投标人可按表格格式拓展。</w:t>
      </w:r>
    </w:p>
    <w:p w14:paraId="172B45B5">
      <w:pPr>
        <w:widowControl/>
        <w:snapToGrid w:val="0"/>
        <w:spacing w:before="50" w:after="156" w:afterLines="50" w:line="360" w:lineRule="auto"/>
        <w:ind w:firstLine="482" w:firstLineChars="200"/>
        <w:jc w:val="left"/>
        <w:rPr>
          <w:rFonts w:hint="eastAsia" w:ascii="宋体" w:hAnsi="宋体" w:eastAsia="宋体" w:cs="宋体"/>
          <w:b/>
          <w:color w:val="auto"/>
          <w:kern w:val="0"/>
          <w:sz w:val="24"/>
          <w:highlight w:val="none"/>
        </w:rPr>
      </w:pPr>
    </w:p>
    <w:p w14:paraId="03C855A4">
      <w:pPr>
        <w:widowControl/>
        <w:snapToGrid w:val="0"/>
        <w:spacing w:before="50" w:after="156" w:afterLines="50" w:line="360" w:lineRule="auto"/>
        <w:ind w:firstLine="2280" w:firstLineChars="950"/>
        <w:jc w:val="left"/>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投标人代表签字：</w:t>
      </w:r>
      <w:r>
        <w:rPr>
          <w:rFonts w:hint="eastAsia" w:ascii="宋体" w:hAnsi="宋体" w:eastAsia="宋体" w:cs="宋体"/>
          <w:color w:val="auto"/>
          <w:kern w:val="0"/>
          <w:sz w:val="24"/>
          <w:highlight w:val="none"/>
          <w:u w:val="single"/>
        </w:rPr>
        <w:t xml:space="preserve">               </w:t>
      </w:r>
    </w:p>
    <w:p w14:paraId="2E76EC20">
      <w:pPr>
        <w:widowControl/>
        <w:snapToGrid w:val="0"/>
        <w:spacing w:line="360" w:lineRule="auto"/>
        <w:ind w:firstLine="2280" w:firstLineChars="9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（全称并加盖公章）</w:t>
      </w:r>
    </w:p>
    <w:p w14:paraId="0E626E2B">
      <w:pPr>
        <w:ind w:firstLine="3600" w:firstLineChars="1500"/>
        <w:rPr>
          <w:rFonts w:hint="eastAsia" w:ascii="宋体" w:hAnsi="宋体" w:eastAsia="宋体" w:cs="宋体"/>
          <w:b/>
          <w:snapToGrid w:val="0"/>
          <w:color w:val="auto"/>
          <w:sz w:val="28"/>
          <w:szCs w:val="28"/>
          <w:highlight w:val="none"/>
        </w:rPr>
      </w:pPr>
      <w:r>
        <w:rPr>
          <w:rFonts w:hint="eastAsia" w:ascii="宋体" w:hAnsi="宋体" w:eastAsia="宋体" w:cs="宋体"/>
          <w:color w:val="auto"/>
          <w:kern w:val="0"/>
          <w:sz w:val="24"/>
          <w:highlight w:val="none"/>
          <w:lang w:val="en-US" w:eastAsia="zh-CN"/>
        </w:rPr>
        <w:t>________</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lang w:val="en-US" w:eastAsia="zh-CN"/>
        </w:rPr>
        <w:t>_____</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lang w:val="en-US" w:eastAsia="zh-CN"/>
        </w:rPr>
        <w:t>_____</w:t>
      </w:r>
      <w:r>
        <w:rPr>
          <w:rFonts w:hint="eastAsia" w:ascii="宋体" w:hAnsi="宋体" w:eastAsia="宋体" w:cs="宋体"/>
          <w:color w:val="auto"/>
          <w:kern w:val="0"/>
          <w:sz w:val="24"/>
          <w:highlight w:val="none"/>
        </w:rPr>
        <w:t>日</w:t>
      </w:r>
      <w:r>
        <w:rPr>
          <w:rFonts w:hint="eastAsia" w:ascii="宋体" w:hAnsi="宋体" w:eastAsia="宋体" w:cs="宋体"/>
          <w:b/>
          <w:color w:val="auto"/>
          <w:kern w:val="0"/>
          <w:sz w:val="24"/>
          <w:highlight w:val="none"/>
        </w:rPr>
        <w:br w:type="page"/>
      </w:r>
    </w:p>
    <w:p w14:paraId="36E6766F">
      <w:pPr>
        <w:widowControl/>
        <w:spacing w:line="360" w:lineRule="auto"/>
        <w:jc w:val="left"/>
        <w:rPr>
          <w:rFonts w:hint="eastAsia" w:ascii="宋体" w:hAnsi="宋体" w:eastAsia="宋体" w:cs="宋体"/>
          <w:color w:val="auto"/>
          <w:kern w:val="0"/>
          <w:sz w:val="24"/>
          <w:highlight w:val="none"/>
          <w:lang w:val="en-US" w:eastAsia="zh-CN"/>
        </w:rPr>
      </w:pPr>
      <w:r>
        <w:rPr>
          <w:rFonts w:hint="eastAsia" w:ascii="宋体" w:hAnsi="宋体" w:eastAsia="宋体" w:cs="宋体"/>
          <w:b/>
          <w:snapToGrid w:val="0"/>
          <w:color w:val="auto"/>
          <w:sz w:val="28"/>
          <w:szCs w:val="28"/>
          <w:highlight w:val="none"/>
        </w:rPr>
        <w:t>附件</w:t>
      </w:r>
      <w:r>
        <w:rPr>
          <w:rFonts w:hint="eastAsia" w:ascii="宋体" w:hAnsi="宋体" w:eastAsia="宋体" w:cs="宋体"/>
          <w:b/>
          <w:snapToGrid w:val="0"/>
          <w:color w:val="auto"/>
          <w:sz w:val="28"/>
          <w:szCs w:val="28"/>
          <w:highlight w:val="none"/>
          <w:lang w:val="en-US" w:eastAsia="zh-CN"/>
        </w:rPr>
        <w:t>7</w:t>
      </w:r>
    </w:p>
    <w:p w14:paraId="748E1783">
      <w:pPr>
        <w:rPr>
          <w:rFonts w:hint="eastAsia" w:ascii="宋体" w:hAnsi="宋体" w:eastAsia="宋体" w:cs="宋体"/>
          <w:color w:val="auto"/>
          <w:highlight w:val="none"/>
        </w:rPr>
      </w:pPr>
    </w:p>
    <w:p w14:paraId="61ED6E65">
      <w:pPr>
        <w:wordWrap w:val="0"/>
        <w:adjustRightInd w:val="0"/>
        <w:snapToGrid w:val="0"/>
        <w:spacing w:before="50" w:after="157" w:afterLines="50" w:line="360" w:lineRule="auto"/>
        <w:jc w:val="center"/>
        <w:outlineLvl w:val="1"/>
        <w:rPr>
          <w:rFonts w:hint="eastAsia" w:ascii="宋体" w:hAnsi="宋体" w:eastAsia="宋体" w:cs="宋体"/>
          <w:b/>
          <w:snapToGrid w:val="0"/>
          <w:color w:val="auto"/>
          <w:sz w:val="28"/>
          <w:szCs w:val="28"/>
          <w:highlight w:val="none"/>
        </w:rPr>
      </w:pPr>
      <w:r>
        <w:rPr>
          <w:rFonts w:hint="eastAsia" w:ascii="宋体" w:hAnsi="宋体" w:eastAsia="宋体" w:cs="宋体"/>
          <w:b/>
          <w:snapToGrid w:val="0"/>
          <w:color w:val="auto"/>
          <w:sz w:val="28"/>
          <w:szCs w:val="28"/>
          <w:highlight w:val="none"/>
        </w:rPr>
        <w:t>商务响应表</w:t>
      </w:r>
      <w:r>
        <w:rPr>
          <w:rFonts w:hint="eastAsia" w:ascii="宋体" w:hAnsi="宋体" w:eastAsia="宋体" w:cs="宋体"/>
          <w:bCs/>
          <w:snapToGrid w:val="0"/>
          <w:color w:val="auto"/>
          <w:sz w:val="28"/>
          <w:szCs w:val="28"/>
          <w:highlight w:val="none"/>
        </w:rPr>
        <w:t>（格式）</w:t>
      </w:r>
      <w:bookmarkEnd w:id="112"/>
      <w:bookmarkEnd w:id="113"/>
      <w:bookmarkEnd w:id="114"/>
      <w:bookmarkEnd w:id="115"/>
      <w:bookmarkEnd w:id="116"/>
    </w:p>
    <w:p w14:paraId="27501303">
      <w:pPr>
        <w:wordWrap w:val="0"/>
        <w:adjustRightInd w:val="0"/>
        <w:snapToGrid w:val="0"/>
        <w:spacing w:before="50" w:after="157" w:after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xml:space="preserve">项目编号：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 xml:space="preserve">                               </w:t>
      </w:r>
    </w:p>
    <w:tbl>
      <w:tblPr>
        <w:tblStyle w:val="48"/>
        <w:tblW w:w="0" w:type="auto"/>
        <w:tblInd w:w="0" w:type="dxa"/>
        <w:tblLayout w:type="fixed"/>
        <w:tblCellMar>
          <w:top w:w="0" w:type="dxa"/>
          <w:left w:w="108" w:type="dxa"/>
          <w:bottom w:w="0" w:type="dxa"/>
          <w:right w:w="108" w:type="dxa"/>
        </w:tblCellMar>
      </w:tblPr>
      <w:tblGrid>
        <w:gridCol w:w="1547"/>
        <w:gridCol w:w="2698"/>
        <w:gridCol w:w="1259"/>
        <w:gridCol w:w="3018"/>
      </w:tblGrid>
      <w:tr w14:paraId="5DA20B1D">
        <w:tblPrEx>
          <w:tblCellMar>
            <w:top w:w="0" w:type="dxa"/>
            <w:left w:w="108" w:type="dxa"/>
            <w:bottom w:w="0" w:type="dxa"/>
            <w:right w:w="108" w:type="dxa"/>
          </w:tblCellMar>
        </w:tblPrEx>
        <w:trPr>
          <w:trHeight w:val="642" w:hRule="atLeast"/>
        </w:trPr>
        <w:tc>
          <w:tcPr>
            <w:tcW w:w="1547" w:type="dxa"/>
            <w:tcBorders>
              <w:top w:val="single" w:color="auto" w:sz="4" w:space="0"/>
              <w:left w:val="single" w:color="auto" w:sz="4" w:space="0"/>
              <w:bottom w:val="single" w:color="auto" w:sz="4" w:space="0"/>
              <w:right w:val="single" w:color="auto" w:sz="4" w:space="0"/>
            </w:tcBorders>
          </w:tcPr>
          <w:p w14:paraId="543838E5">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项目</w:t>
            </w:r>
          </w:p>
        </w:tc>
        <w:tc>
          <w:tcPr>
            <w:tcW w:w="2698" w:type="dxa"/>
            <w:tcBorders>
              <w:top w:val="single" w:color="auto" w:sz="4" w:space="0"/>
              <w:left w:val="nil"/>
              <w:bottom w:val="single" w:color="auto" w:sz="4" w:space="0"/>
              <w:right w:val="single" w:color="auto" w:sz="4" w:space="0"/>
            </w:tcBorders>
          </w:tcPr>
          <w:p w14:paraId="0E83A5A9">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招标文件要求</w:t>
            </w:r>
          </w:p>
        </w:tc>
        <w:tc>
          <w:tcPr>
            <w:tcW w:w="1259" w:type="dxa"/>
            <w:tcBorders>
              <w:top w:val="single" w:color="auto" w:sz="4" w:space="0"/>
              <w:left w:val="nil"/>
              <w:bottom w:val="single" w:color="auto" w:sz="4" w:space="0"/>
              <w:right w:val="single" w:color="auto" w:sz="4" w:space="0"/>
            </w:tcBorders>
          </w:tcPr>
          <w:p w14:paraId="1AF7AC65">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是否响应</w:t>
            </w:r>
          </w:p>
        </w:tc>
        <w:tc>
          <w:tcPr>
            <w:tcW w:w="3018" w:type="dxa"/>
            <w:tcBorders>
              <w:top w:val="single" w:color="auto" w:sz="4" w:space="0"/>
              <w:left w:val="nil"/>
              <w:bottom w:val="single" w:color="auto" w:sz="4" w:space="0"/>
              <w:right w:val="single" w:color="auto" w:sz="4" w:space="0"/>
            </w:tcBorders>
          </w:tcPr>
          <w:p w14:paraId="1DAD8411">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eastAsia="zh-CN"/>
              </w:rPr>
              <w:t>投标人</w:t>
            </w:r>
            <w:r>
              <w:rPr>
                <w:rFonts w:hint="eastAsia" w:ascii="宋体" w:hAnsi="宋体" w:eastAsia="宋体" w:cs="宋体"/>
                <w:snapToGrid w:val="0"/>
                <w:color w:val="auto"/>
                <w:sz w:val="24"/>
                <w:szCs w:val="24"/>
                <w:highlight w:val="none"/>
              </w:rPr>
              <w:t>的承诺或说明</w:t>
            </w:r>
          </w:p>
        </w:tc>
      </w:tr>
      <w:tr w14:paraId="05D46BE5">
        <w:tblPrEx>
          <w:tblCellMar>
            <w:top w:w="0" w:type="dxa"/>
            <w:left w:w="108" w:type="dxa"/>
            <w:bottom w:w="0" w:type="dxa"/>
            <w:right w:w="108" w:type="dxa"/>
          </w:tblCellMar>
        </w:tblPrEx>
        <w:trPr>
          <w:trHeight w:val="233" w:hRule="atLeast"/>
        </w:trPr>
        <w:tc>
          <w:tcPr>
            <w:tcW w:w="1547" w:type="dxa"/>
            <w:tcBorders>
              <w:top w:val="single" w:color="auto" w:sz="4" w:space="0"/>
              <w:left w:val="single" w:color="auto" w:sz="4" w:space="0"/>
              <w:bottom w:val="single" w:color="auto" w:sz="4" w:space="0"/>
              <w:right w:val="single" w:color="auto" w:sz="4" w:space="0"/>
            </w:tcBorders>
            <w:vAlign w:val="center"/>
          </w:tcPr>
          <w:p w14:paraId="65AF676F">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 w:val="24"/>
                <w:highlight w:val="none"/>
              </w:rPr>
              <w:t>质保期</w:t>
            </w:r>
          </w:p>
        </w:tc>
        <w:tc>
          <w:tcPr>
            <w:tcW w:w="2698" w:type="dxa"/>
            <w:tcBorders>
              <w:top w:val="single" w:color="auto" w:sz="4" w:space="0"/>
              <w:left w:val="single" w:color="auto" w:sz="4" w:space="0"/>
              <w:bottom w:val="single" w:color="auto" w:sz="4" w:space="0"/>
              <w:right w:val="single" w:color="auto" w:sz="4" w:space="0"/>
            </w:tcBorders>
          </w:tcPr>
          <w:p w14:paraId="6B848E29">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c>
          <w:tcPr>
            <w:tcW w:w="1259" w:type="dxa"/>
            <w:tcBorders>
              <w:top w:val="single" w:color="auto" w:sz="4" w:space="0"/>
              <w:left w:val="single" w:color="auto" w:sz="4" w:space="0"/>
              <w:bottom w:val="single" w:color="auto" w:sz="4" w:space="0"/>
              <w:right w:val="single" w:color="auto" w:sz="4" w:space="0"/>
            </w:tcBorders>
          </w:tcPr>
          <w:p w14:paraId="051DE2D7">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c>
          <w:tcPr>
            <w:tcW w:w="3018" w:type="dxa"/>
            <w:tcBorders>
              <w:top w:val="single" w:color="auto" w:sz="4" w:space="0"/>
              <w:left w:val="single" w:color="auto" w:sz="4" w:space="0"/>
              <w:bottom w:val="single" w:color="auto" w:sz="4" w:space="0"/>
              <w:right w:val="single" w:color="auto" w:sz="4" w:space="0"/>
            </w:tcBorders>
          </w:tcPr>
          <w:p w14:paraId="356BD217">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r>
      <w:tr w14:paraId="6AD27018">
        <w:tblPrEx>
          <w:tblCellMar>
            <w:top w:w="0" w:type="dxa"/>
            <w:left w:w="108" w:type="dxa"/>
            <w:bottom w:w="0" w:type="dxa"/>
            <w:right w:w="108" w:type="dxa"/>
          </w:tblCellMar>
        </w:tblPrEx>
        <w:trPr>
          <w:trHeight w:val="719" w:hRule="atLeast"/>
        </w:trPr>
        <w:tc>
          <w:tcPr>
            <w:tcW w:w="1547" w:type="dxa"/>
            <w:tcBorders>
              <w:top w:val="single" w:color="auto" w:sz="4" w:space="0"/>
              <w:left w:val="single" w:color="auto" w:sz="4" w:space="0"/>
              <w:bottom w:val="single" w:color="auto" w:sz="4" w:space="0"/>
              <w:right w:val="single" w:color="auto" w:sz="4" w:space="0"/>
            </w:tcBorders>
            <w:vAlign w:val="center"/>
          </w:tcPr>
          <w:p w14:paraId="1EABEFD5">
            <w:pPr>
              <w:widowControl/>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 w:val="24"/>
                <w:highlight w:val="none"/>
              </w:rPr>
              <w:t>交货期</w:t>
            </w:r>
          </w:p>
        </w:tc>
        <w:tc>
          <w:tcPr>
            <w:tcW w:w="2698" w:type="dxa"/>
            <w:tcBorders>
              <w:top w:val="single" w:color="auto" w:sz="4" w:space="0"/>
              <w:left w:val="single" w:color="auto" w:sz="4" w:space="0"/>
              <w:bottom w:val="single" w:color="auto" w:sz="4" w:space="0"/>
              <w:right w:val="single" w:color="auto" w:sz="4" w:space="0"/>
            </w:tcBorders>
          </w:tcPr>
          <w:p w14:paraId="156643B4">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c>
          <w:tcPr>
            <w:tcW w:w="1259" w:type="dxa"/>
            <w:tcBorders>
              <w:top w:val="single" w:color="auto" w:sz="4" w:space="0"/>
              <w:left w:val="single" w:color="auto" w:sz="4" w:space="0"/>
              <w:bottom w:val="single" w:color="auto" w:sz="4" w:space="0"/>
              <w:right w:val="single" w:color="auto" w:sz="4" w:space="0"/>
            </w:tcBorders>
          </w:tcPr>
          <w:p w14:paraId="3419606F">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c>
          <w:tcPr>
            <w:tcW w:w="3018" w:type="dxa"/>
            <w:tcBorders>
              <w:top w:val="single" w:color="auto" w:sz="4" w:space="0"/>
              <w:left w:val="single" w:color="auto" w:sz="4" w:space="0"/>
              <w:bottom w:val="single" w:color="auto" w:sz="4" w:space="0"/>
              <w:right w:val="single" w:color="auto" w:sz="4" w:space="0"/>
            </w:tcBorders>
          </w:tcPr>
          <w:p w14:paraId="623AF69A">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r>
      <w:tr w14:paraId="53899CC2">
        <w:tblPrEx>
          <w:tblCellMar>
            <w:top w:w="0" w:type="dxa"/>
            <w:left w:w="108" w:type="dxa"/>
            <w:bottom w:w="0" w:type="dxa"/>
            <w:right w:w="108" w:type="dxa"/>
          </w:tblCellMar>
        </w:tblPrEx>
        <w:trPr>
          <w:trHeight w:val="938" w:hRule="atLeast"/>
        </w:trPr>
        <w:tc>
          <w:tcPr>
            <w:tcW w:w="1547" w:type="dxa"/>
            <w:tcBorders>
              <w:top w:val="single" w:color="auto" w:sz="4" w:space="0"/>
              <w:left w:val="single" w:color="auto" w:sz="4" w:space="0"/>
              <w:bottom w:val="single" w:color="auto" w:sz="4" w:space="0"/>
              <w:right w:val="single" w:color="auto" w:sz="4" w:space="0"/>
            </w:tcBorders>
            <w:vAlign w:val="center"/>
          </w:tcPr>
          <w:p w14:paraId="66B339F6">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交货及</w:t>
            </w:r>
          </w:p>
          <w:p w14:paraId="53C4AF4F">
            <w:pPr>
              <w:widowControl/>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 w:val="24"/>
                <w:highlight w:val="none"/>
              </w:rPr>
              <w:t>安装</w:t>
            </w:r>
            <w:r>
              <w:rPr>
                <w:rFonts w:hint="eastAsia" w:ascii="宋体" w:hAnsi="宋体" w:eastAsia="宋体" w:cs="宋体"/>
                <w:color w:val="auto"/>
                <w:kern w:val="0"/>
                <w:sz w:val="24"/>
                <w:highlight w:val="none"/>
              </w:rPr>
              <w:t>地点</w:t>
            </w:r>
          </w:p>
        </w:tc>
        <w:tc>
          <w:tcPr>
            <w:tcW w:w="2698" w:type="dxa"/>
            <w:tcBorders>
              <w:top w:val="single" w:color="auto" w:sz="4" w:space="0"/>
              <w:left w:val="single" w:color="auto" w:sz="4" w:space="0"/>
              <w:bottom w:val="single" w:color="auto" w:sz="4" w:space="0"/>
              <w:right w:val="single" w:color="auto" w:sz="4" w:space="0"/>
            </w:tcBorders>
          </w:tcPr>
          <w:p w14:paraId="06B77C9A">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c>
          <w:tcPr>
            <w:tcW w:w="1259" w:type="dxa"/>
            <w:tcBorders>
              <w:top w:val="single" w:color="auto" w:sz="4" w:space="0"/>
              <w:left w:val="single" w:color="auto" w:sz="4" w:space="0"/>
              <w:bottom w:val="single" w:color="auto" w:sz="4" w:space="0"/>
              <w:right w:val="single" w:color="auto" w:sz="4" w:space="0"/>
            </w:tcBorders>
          </w:tcPr>
          <w:p w14:paraId="27BA8D31">
            <w:pPr>
              <w:adjustRightInd w:val="0"/>
              <w:snapToGrid w:val="0"/>
              <w:spacing w:before="157" w:beforeLines="50" w:line="360" w:lineRule="auto"/>
              <w:ind w:left="86"/>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c>
          <w:tcPr>
            <w:tcW w:w="3018" w:type="dxa"/>
            <w:tcBorders>
              <w:top w:val="single" w:color="auto" w:sz="4" w:space="0"/>
              <w:left w:val="single" w:color="auto" w:sz="4" w:space="0"/>
              <w:bottom w:val="single" w:color="auto" w:sz="4" w:space="0"/>
              <w:right w:val="single" w:color="auto" w:sz="4" w:space="0"/>
            </w:tcBorders>
          </w:tcPr>
          <w:p w14:paraId="1DB007D4">
            <w:pPr>
              <w:adjustRightInd w:val="0"/>
              <w:snapToGrid w:val="0"/>
              <w:spacing w:before="157" w:beforeLines="50" w:line="360" w:lineRule="auto"/>
              <w:ind w:left="86"/>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r>
      <w:tr w14:paraId="4BA25C38">
        <w:tblPrEx>
          <w:tblCellMar>
            <w:top w:w="0" w:type="dxa"/>
            <w:left w:w="108" w:type="dxa"/>
            <w:bottom w:w="0" w:type="dxa"/>
            <w:right w:w="108" w:type="dxa"/>
          </w:tblCellMar>
        </w:tblPrEx>
        <w:trPr>
          <w:trHeight w:val="820" w:hRule="atLeast"/>
        </w:trPr>
        <w:tc>
          <w:tcPr>
            <w:tcW w:w="1547" w:type="dxa"/>
            <w:tcBorders>
              <w:top w:val="single" w:color="auto" w:sz="4" w:space="0"/>
              <w:left w:val="single" w:color="auto" w:sz="4" w:space="0"/>
              <w:bottom w:val="single" w:color="auto" w:sz="4" w:space="0"/>
              <w:right w:val="single" w:color="auto" w:sz="4" w:space="0"/>
            </w:tcBorders>
            <w:vAlign w:val="center"/>
          </w:tcPr>
          <w:p w14:paraId="19441E1E">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合同签订</w:t>
            </w:r>
          </w:p>
          <w:p w14:paraId="67F0ED18">
            <w:pPr>
              <w:widowControl/>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kern w:val="0"/>
                <w:sz w:val="24"/>
                <w:highlight w:val="none"/>
              </w:rPr>
              <w:t>时间</w:t>
            </w:r>
          </w:p>
        </w:tc>
        <w:tc>
          <w:tcPr>
            <w:tcW w:w="2698" w:type="dxa"/>
            <w:tcBorders>
              <w:top w:val="single" w:color="auto" w:sz="4" w:space="0"/>
              <w:left w:val="single" w:color="auto" w:sz="4" w:space="0"/>
              <w:bottom w:val="single" w:color="auto" w:sz="4" w:space="0"/>
              <w:right w:val="single" w:color="auto" w:sz="4" w:space="0"/>
            </w:tcBorders>
          </w:tcPr>
          <w:p w14:paraId="54000B94">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c>
          <w:tcPr>
            <w:tcW w:w="1259" w:type="dxa"/>
            <w:tcBorders>
              <w:top w:val="single" w:color="auto" w:sz="4" w:space="0"/>
              <w:left w:val="single" w:color="auto" w:sz="4" w:space="0"/>
              <w:bottom w:val="single" w:color="auto" w:sz="4" w:space="0"/>
              <w:right w:val="single" w:color="auto" w:sz="4" w:space="0"/>
            </w:tcBorders>
          </w:tcPr>
          <w:p w14:paraId="6D5324B0">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c>
          <w:tcPr>
            <w:tcW w:w="3018" w:type="dxa"/>
            <w:tcBorders>
              <w:top w:val="single" w:color="auto" w:sz="4" w:space="0"/>
              <w:left w:val="single" w:color="auto" w:sz="4" w:space="0"/>
              <w:bottom w:val="single" w:color="auto" w:sz="4" w:space="0"/>
              <w:right w:val="single" w:color="auto" w:sz="4" w:space="0"/>
            </w:tcBorders>
          </w:tcPr>
          <w:p w14:paraId="2587BDB0">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r>
      <w:tr w14:paraId="7372A236">
        <w:tblPrEx>
          <w:tblCellMar>
            <w:top w:w="0" w:type="dxa"/>
            <w:left w:w="108" w:type="dxa"/>
            <w:bottom w:w="0" w:type="dxa"/>
            <w:right w:w="108" w:type="dxa"/>
          </w:tblCellMar>
        </w:tblPrEx>
        <w:tc>
          <w:tcPr>
            <w:tcW w:w="1547" w:type="dxa"/>
            <w:tcBorders>
              <w:top w:val="single" w:color="auto" w:sz="4" w:space="0"/>
              <w:left w:val="single" w:color="auto" w:sz="4" w:space="0"/>
              <w:bottom w:val="single" w:color="auto" w:sz="4" w:space="0"/>
              <w:right w:val="single" w:color="auto" w:sz="4" w:space="0"/>
            </w:tcBorders>
            <w:vAlign w:val="center"/>
          </w:tcPr>
          <w:p w14:paraId="32A4037E">
            <w:pPr>
              <w:widowControl/>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kern w:val="0"/>
                <w:sz w:val="24"/>
                <w:highlight w:val="none"/>
              </w:rPr>
              <w:t>付款方式</w:t>
            </w:r>
          </w:p>
        </w:tc>
        <w:tc>
          <w:tcPr>
            <w:tcW w:w="2698" w:type="dxa"/>
            <w:tcBorders>
              <w:top w:val="single" w:color="auto" w:sz="4" w:space="0"/>
              <w:left w:val="single" w:color="auto" w:sz="4" w:space="0"/>
              <w:bottom w:val="single" w:color="auto" w:sz="4" w:space="0"/>
              <w:right w:val="single" w:color="auto" w:sz="4" w:space="0"/>
            </w:tcBorders>
          </w:tcPr>
          <w:p w14:paraId="237641E9">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c>
          <w:tcPr>
            <w:tcW w:w="1259" w:type="dxa"/>
            <w:tcBorders>
              <w:top w:val="single" w:color="auto" w:sz="4" w:space="0"/>
              <w:left w:val="single" w:color="auto" w:sz="4" w:space="0"/>
              <w:bottom w:val="single" w:color="auto" w:sz="4" w:space="0"/>
              <w:right w:val="single" w:color="auto" w:sz="4" w:space="0"/>
            </w:tcBorders>
          </w:tcPr>
          <w:p w14:paraId="0EECF82F">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c>
          <w:tcPr>
            <w:tcW w:w="3018" w:type="dxa"/>
            <w:tcBorders>
              <w:top w:val="single" w:color="auto" w:sz="4" w:space="0"/>
              <w:left w:val="single" w:color="auto" w:sz="4" w:space="0"/>
              <w:bottom w:val="single" w:color="auto" w:sz="4" w:space="0"/>
              <w:right w:val="single" w:color="auto" w:sz="4" w:space="0"/>
            </w:tcBorders>
          </w:tcPr>
          <w:p w14:paraId="068D2E7D">
            <w:pPr>
              <w:adjustRightInd w:val="0"/>
              <w:snapToGrid w:val="0"/>
              <w:spacing w:before="157" w:beforeLines="50"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 </w:t>
            </w:r>
          </w:p>
        </w:tc>
      </w:tr>
      <w:tr w14:paraId="141DF8F7">
        <w:tblPrEx>
          <w:tblCellMar>
            <w:top w:w="0" w:type="dxa"/>
            <w:left w:w="108" w:type="dxa"/>
            <w:bottom w:w="0" w:type="dxa"/>
            <w:right w:w="108" w:type="dxa"/>
          </w:tblCellMar>
        </w:tblPrEx>
        <w:tc>
          <w:tcPr>
            <w:tcW w:w="1547" w:type="dxa"/>
            <w:tcBorders>
              <w:top w:val="single" w:color="auto" w:sz="4" w:space="0"/>
              <w:left w:val="single" w:color="auto" w:sz="4" w:space="0"/>
              <w:bottom w:val="single" w:color="auto" w:sz="4" w:space="0"/>
              <w:right w:val="single" w:color="auto" w:sz="4" w:space="0"/>
            </w:tcBorders>
            <w:vAlign w:val="center"/>
          </w:tcPr>
          <w:p w14:paraId="24363A69">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质量要求</w:t>
            </w:r>
          </w:p>
        </w:tc>
        <w:tc>
          <w:tcPr>
            <w:tcW w:w="2698" w:type="dxa"/>
            <w:tcBorders>
              <w:top w:val="single" w:color="auto" w:sz="4" w:space="0"/>
              <w:left w:val="single" w:color="auto" w:sz="4" w:space="0"/>
              <w:bottom w:val="single" w:color="auto" w:sz="4" w:space="0"/>
              <w:right w:val="single" w:color="auto" w:sz="4" w:space="0"/>
            </w:tcBorders>
          </w:tcPr>
          <w:p w14:paraId="065F2EE8">
            <w:pPr>
              <w:adjustRightInd w:val="0"/>
              <w:snapToGrid w:val="0"/>
              <w:spacing w:before="157" w:beforeLines="50" w:line="360" w:lineRule="auto"/>
              <w:rPr>
                <w:rFonts w:hint="eastAsia" w:ascii="宋体" w:hAnsi="宋体" w:eastAsia="宋体" w:cs="宋体"/>
                <w:snapToGrid w:val="0"/>
                <w:color w:val="auto"/>
                <w:sz w:val="24"/>
                <w:szCs w:val="24"/>
                <w:highlight w:val="none"/>
              </w:rPr>
            </w:pPr>
          </w:p>
        </w:tc>
        <w:tc>
          <w:tcPr>
            <w:tcW w:w="1259" w:type="dxa"/>
            <w:tcBorders>
              <w:top w:val="single" w:color="auto" w:sz="4" w:space="0"/>
              <w:left w:val="single" w:color="auto" w:sz="4" w:space="0"/>
              <w:bottom w:val="single" w:color="auto" w:sz="4" w:space="0"/>
              <w:right w:val="single" w:color="auto" w:sz="4" w:space="0"/>
            </w:tcBorders>
          </w:tcPr>
          <w:p w14:paraId="712DB8AF">
            <w:pPr>
              <w:adjustRightInd w:val="0"/>
              <w:snapToGrid w:val="0"/>
              <w:spacing w:before="157" w:beforeLines="50" w:line="360" w:lineRule="auto"/>
              <w:rPr>
                <w:rFonts w:hint="eastAsia" w:ascii="宋体" w:hAnsi="宋体" w:eastAsia="宋体" w:cs="宋体"/>
                <w:snapToGrid w:val="0"/>
                <w:color w:val="auto"/>
                <w:sz w:val="24"/>
                <w:szCs w:val="24"/>
                <w:highlight w:val="none"/>
              </w:rPr>
            </w:pPr>
          </w:p>
        </w:tc>
        <w:tc>
          <w:tcPr>
            <w:tcW w:w="3018" w:type="dxa"/>
            <w:tcBorders>
              <w:top w:val="single" w:color="auto" w:sz="4" w:space="0"/>
              <w:left w:val="single" w:color="auto" w:sz="4" w:space="0"/>
              <w:bottom w:val="single" w:color="auto" w:sz="4" w:space="0"/>
              <w:right w:val="single" w:color="auto" w:sz="4" w:space="0"/>
            </w:tcBorders>
          </w:tcPr>
          <w:p w14:paraId="5019AFAA">
            <w:pPr>
              <w:adjustRightInd w:val="0"/>
              <w:snapToGrid w:val="0"/>
              <w:spacing w:before="157" w:beforeLines="50" w:line="360" w:lineRule="auto"/>
              <w:rPr>
                <w:rFonts w:hint="eastAsia" w:ascii="宋体" w:hAnsi="宋体" w:eastAsia="宋体" w:cs="宋体"/>
                <w:snapToGrid w:val="0"/>
                <w:color w:val="auto"/>
                <w:sz w:val="24"/>
                <w:szCs w:val="24"/>
                <w:highlight w:val="none"/>
              </w:rPr>
            </w:pPr>
          </w:p>
        </w:tc>
      </w:tr>
      <w:tr w14:paraId="7A77A4D3">
        <w:tblPrEx>
          <w:tblCellMar>
            <w:top w:w="0" w:type="dxa"/>
            <w:left w:w="108" w:type="dxa"/>
            <w:bottom w:w="0" w:type="dxa"/>
            <w:right w:w="108" w:type="dxa"/>
          </w:tblCellMar>
        </w:tblPrEx>
        <w:tc>
          <w:tcPr>
            <w:tcW w:w="1547" w:type="dxa"/>
            <w:tcBorders>
              <w:top w:val="single" w:color="auto" w:sz="4" w:space="0"/>
              <w:left w:val="single" w:color="auto" w:sz="4" w:space="0"/>
              <w:bottom w:val="single" w:color="auto" w:sz="4" w:space="0"/>
              <w:right w:val="single" w:color="auto" w:sz="4" w:space="0"/>
            </w:tcBorders>
            <w:vAlign w:val="center"/>
          </w:tcPr>
          <w:p w14:paraId="7E5BD954">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i/>
                <w:color w:val="auto"/>
                <w:w w:val="115"/>
                <w:szCs w:val="22"/>
                <w:highlight w:val="none"/>
                <w:lang w:eastAsia="en-US"/>
              </w:rPr>
              <w:t>……</w:t>
            </w:r>
          </w:p>
        </w:tc>
        <w:tc>
          <w:tcPr>
            <w:tcW w:w="2698" w:type="dxa"/>
            <w:tcBorders>
              <w:top w:val="single" w:color="auto" w:sz="4" w:space="0"/>
              <w:left w:val="single" w:color="auto" w:sz="4" w:space="0"/>
              <w:bottom w:val="single" w:color="auto" w:sz="4" w:space="0"/>
              <w:right w:val="single" w:color="auto" w:sz="4" w:space="0"/>
            </w:tcBorders>
          </w:tcPr>
          <w:p w14:paraId="0DC7A988">
            <w:pPr>
              <w:adjustRightInd w:val="0"/>
              <w:snapToGrid w:val="0"/>
              <w:spacing w:before="157" w:beforeLines="50" w:line="360" w:lineRule="auto"/>
              <w:rPr>
                <w:rFonts w:hint="eastAsia" w:ascii="宋体" w:hAnsi="宋体" w:eastAsia="宋体" w:cs="宋体"/>
                <w:snapToGrid w:val="0"/>
                <w:color w:val="auto"/>
                <w:sz w:val="24"/>
                <w:szCs w:val="24"/>
                <w:highlight w:val="none"/>
              </w:rPr>
            </w:pPr>
          </w:p>
        </w:tc>
        <w:tc>
          <w:tcPr>
            <w:tcW w:w="1259" w:type="dxa"/>
            <w:tcBorders>
              <w:top w:val="single" w:color="auto" w:sz="4" w:space="0"/>
              <w:left w:val="single" w:color="auto" w:sz="4" w:space="0"/>
              <w:bottom w:val="single" w:color="auto" w:sz="4" w:space="0"/>
              <w:right w:val="single" w:color="auto" w:sz="4" w:space="0"/>
            </w:tcBorders>
          </w:tcPr>
          <w:p w14:paraId="2C74B6BC">
            <w:pPr>
              <w:adjustRightInd w:val="0"/>
              <w:snapToGrid w:val="0"/>
              <w:spacing w:before="157" w:beforeLines="50" w:line="360" w:lineRule="auto"/>
              <w:rPr>
                <w:rFonts w:hint="eastAsia" w:ascii="宋体" w:hAnsi="宋体" w:eastAsia="宋体" w:cs="宋体"/>
                <w:snapToGrid w:val="0"/>
                <w:color w:val="auto"/>
                <w:sz w:val="24"/>
                <w:szCs w:val="24"/>
                <w:highlight w:val="none"/>
              </w:rPr>
            </w:pPr>
          </w:p>
        </w:tc>
        <w:tc>
          <w:tcPr>
            <w:tcW w:w="3018" w:type="dxa"/>
            <w:tcBorders>
              <w:top w:val="single" w:color="auto" w:sz="4" w:space="0"/>
              <w:left w:val="single" w:color="auto" w:sz="4" w:space="0"/>
              <w:bottom w:val="single" w:color="auto" w:sz="4" w:space="0"/>
              <w:right w:val="single" w:color="auto" w:sz="4" w:space="0"/>
            </w:tcBorders>
          </w:tcPr>
          <w:p w14:paraId="309165F8">
            <w:pPr>
              <w:adjustRightInd w:val="0"/>
              <w:snapToGrid w:val="0"/>
              <w:spacing w:before="157" w:beforeLines="50" w:line="360" w:lineRule="auto"/>
              <w:rPr>
                <w:rFonts w:hint="eastAsia" w:ascii="宋体" w:hAnsi="宋体" w:eastAsia="宋体" w:cs="宋体"/>
                <w:snapToGrid w:val="0"/>
                <w:color w:val="auto"/>
                <w:sz w:val="24"/>
                <w:szCs w:val="24"/>
                <w:highlight w:val="none"/>
              </w:rPr>
            </w:pPr>
          </w:p>
        </w:tc>
      </w:tr>
    </w:tbl>
    <w:p w14:paraId="00BF9DD8">
      <w:pPr>
        <w:pStyle w:val="2"/>
        <w:rPr>
          <w:rFonts w:hint="eastAsia" w:ascii="宋体" w:hAnsi="宋体" w:eastAsia="宋体" w:cs="宋体"/>
          <w:color w:val="auto"/>
          <w:highlight w:val="none"/>
          <w:lang w:val="en-US" w:eastAsia="zh-CN"/>
        </w:rPr>
      </w:pPr>
      <w:r>
        <w:rPr>
          <w:rFonts w:hint="eastAsia" w:ascii="宋体" w:hAnsi="宋体" w:eastAsia="宋体" w:cs="宋体"/>
          <w:bCs/>
          <w:color w:val="auto"/>
          <w:kern w:val="0"/>
          <w:sz w:val="24"/>
          <w:highlight w:val="none"/>
          <w:lang w:eastAsia="zh-CN"/>
        </w:rPr>
        <w:t>投标人可按表格格式拓展。</w:t>
      </w:r>
    </w:p>
    <w:p w14:paraId="3AD7680E">
      <w:pPr>
        <w:wordWrap w:val="0"/>
        <w:adjustRightInd w:val="0"/>
        <w:snapToGrid w:val="0"/>
        <w:spacing w:line="360" w:lineRule="auto"/>
        <w:ind w:firstLine="2280" w:firstLineChars="950"/>
        <w:rPr>
          <w:rFonts w:hint="eastAsia" w:ascii="宋体" w:hAnsi="宋体" w:eastAsia="宋体" w:cs="宋体"/>
          <w:snapToGrid w:val="0"/>
          <w:color w:val="auto"/>
          <w:sz w:val="24"/>
          <w:szCs w:val="24"/>
          <w:highlight w:val="none"/>
        </w:rPr>
      </w:pPr>
    </w:p>
    <w:p w14:paraId="19113AFC">
      <w:pPr>
        <w:wordWrap w:val="0"/>
        <w:adjustRightInd w:val="0"/>
        <w:snapToGrid w:val="0"/>
        <w:spacing w:line="360" w:lineRule="auto"/>
        <w:ind w:firstLine="2280" w:firstLineChars="950"/>
        <w:rPr>
          <w:rFonts w:hint="eastAsia" w:ascii="宋体" w:hAnsi="宋体" w:eastAsia="宋体" w:cs="宋体"/>
          <w:snapToGrid w:val="0"/>
          <w:color w:val="auto"/>
          <w:sz w:val="24"/>
          <w:szCs w:val="24"/>
          <w:highlight w:val="none"/>
        </w:rPr>
      </w:pPr>
    </w:p>
    <w:p w14:paraId="677FDE29">
      <w:pPr>
        <w:wordWrap w:val="0"/>
        <w:adjustRightInd w:val="0"/>
        <w:snapToGrid w:val="0"/>
        <w:spacing w:line="360" w:lineRule="auto"/>
        <w:ind w:firstLine="2280" w:firstLineChars="95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eastAsia="zh-CN"/>
        </w:rPr>
        <w:t>投标人</w:t>
      </w:r>
      <w:r>
        <w:rPr>
          <w:rFonts w:hint="eastAsia" w:ascii="宋体" w:hAnsi="宋体" w:eastAsia="宋体" w:cs="宋体"/>
          <w:snapToGrid w:val="0"/>
          <w:color w:val="auto"/>
          <w:sz w:val="24"/>
          <w:szCs w:val="24"/>
          <w:highlight w:val="none"/>
        </w:rPr>
        <w:t xml:space="preserve">代表签字：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 xml:space="preserve"> </w:t>
      </w:r>
    </w:p>
    <w:p w14:paraId="6FAD7D0B">
      <w:pPr>
        <w:wordWrap w:val="0"/>
        <w:adjustRightInd w:val="0"/>
        <w:snapToGrid w:val="0"/>
        <w:spacing w:before="156" w:after="156" w:line="360" w:lineRule="auto"/>
        <w:ind w:firstLine="2280" w:firstLineChars="95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eastAsia="zh-CN"/>
        </w:rPr>
        <w:t>投标人</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（全称并加盖公章）</w:t>
      </w:r>
    </w:p>
    <w:p w14:paraId="28DFABD8">
      <w:pPr>
        <w:wordWrap w:val="0"/>
        <w:adjustRightInd w:val="0"/>
        <w:snapToGrid w:val="0"/>
        <w:spacing w:before="156" w:after="156" w:line="360" w:lineRule="auto"/>
        <w:ind w:firstLine="420"/>
        <w:rPr>
          <w:rFonts w:hint="eastAsia" w:ascii="宋体" w:hAnsi="宋体" w:eastAsia="宋体" w:cs="宋体"/>
          <w:color w:val="auto"/>
          <w:sz w:val="24"/>
          <w:szCs w:val="24"/>
          <w:highlight w:val="none"/>
        </w:rPr>
      </w:pPr>
      <w:r>
        <w:rPr>
          <w:rFonts w:hint="eastAsia" w:ascii="宋体" w:hAnsi="宋体" w:eastAsia="宋体" w:cs="宋体"/>
          <w:b/>
          <w:snapToGrid w:val="0"/>
          <w:color w:val="auto"/>
          <w:sz w:val="24"/>
          <w:szCs w:val="24"/>
          <w:highlight w:val="none"/>
        </w:rPr>
        <w:t xml:space="preserve"> </w:t>
      </w:r>
    </w:p>
    <w:p w14:paraId="0F836F5C">
      <w:pPr>
        <w:wordWrap w:val="0"/>
        <w:adjustRightInd w:val="0"/>
        <w:snapToGrid w:val="0"/>
        <w:spacing w:line="360" w:lineRule="auto"/>
        <w:ind w:firstLine="4800" w:firstLineChars="200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 xml:space="preserve">年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 xml:space="preserve">月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289E2458">
      <w:pPr>
        <w:widowControl/>
        <w:jc w:val="left"/>
        <w:rPr>
          <w:rFonts w:hint="eastAsia" w:ascii="宋体" w:hAnsi="宋体" w:eastAsia="宋体" w:cs="宋体"/>
          <w:b/>
          <w:snapToGrid w:val="0"/>
          <w:color w:val="auto"/>
          <w:sz w:val="28"/>
          <w:szCs w:val="28"/>
          <w:highlight w:val="none"/>
        </w:rPr>
      </w:pPr>
      <w:r>
        <w:rPr>
          <w:rFonts w:hint="eastAsia" w:ascii="宋体" w:hAnsi="宋体" w:eastAsia="宋体" w:cs="宋体"/>
          <w:b/>
          <w:snapToGrid w:val="0"/>
          <w:color w:val="auto"/>
          <w:sz w:val="28"/>
          <w:szCs w:val="28"/>
          <w:highlight w:val="none"/>
        </w:rPr>
        <w:br w:type="page"/>
      </w:r>
    </w:p>
    <w:p w14:paraId="75232B5A">
      <w:pPr>
        <w:widowControl/>
        <w:spacing w:line="360" w:lineRule="auto"/>
        <w:jc w:val="left"/>
        <w:rPr>
          <w:rFonts w:hint="eastAsia" w:ascii="宋体" w:hAnsi="宋体" w:eastAsia="宋体" w:cs="宋体"/>
          <w:b/>
          <w:color w:val="auto"/>
          <w:kern w:val="0"/>
          <w:sz w:val="32"/>
          <w:szCs w:val="32"/>
          <w:highlight w:val="none"/>
          <w:lang w:eastAsia="zh-CN"/>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8</w:t>
      </w:r>
    </w:p>
    <w:p w14:paraId="7617217A">
      <w:pPr>
        <w:widowControl/>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法定代表人身份证明（格式）</w:t>
      </w:r>
    </w:p>
    <w:p w14:paraId="40377545">
      <w:pPr>
        <w:widowControl/>
        <w:spacing w:line="360" w:lineRule="auto"/>
        <w:ind w:firstLine="643" w:firstLineChars="200"/>
        <w:rPr>
          <w:rFonts w:hint="eastAsia" w:ascii="宋体" w:hAnsi="宋体" w:eastAsia="宋体" w:cs="宋体"/>
          <w:b/>
          <w:color w:val="auto"/>
          <w:kern w:val="0"/>
          <w:sz w:val="32"/>
          <w:szCs w:val="32"/>
          <w:highlight w:val="none"/>
        </w:rPr>
      </w:pPr>
    </w:p>
    <w:p w14:paraId="3CE3D15F">
      <w:pPr>
        <w:widowControl/>
        <w:wordWrap w:val="0"/>
        <w:spacing w:line="460" w:lineRule="exact"/>
        <w:ind w:firstLine="480"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p>
    <w:p w14:paraId="6F3773A2">
      <w:pPr>
        <w:widowControl/>
        <w:wordWrap w:val="0"/>
        <w:spacing w:line="460" w:lineRule="exact"/>
        <w:ind w:firstLine="480"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地址：</w:t>
      </w:r>
      <w:r>
        <w:rPr>
          <w:rFonts w:hint="eastAsia" w:ascii="宋体" w:hAnsi="宋体" w:eastAsia="宋体" w:cs="宋体"/>
          <w:color w:val="auto"/>
          <w:kern w:val="0"/>
          <w:sz w:val="24"/>
          <w:szCs w:val="24"/>
          <w:highlight w:val="none"/>
          <w:u w:val="single"/>
        </w:rPr>
        <w:t xml:space="preserve">                               </w:t>
      </w:r>
    </w:p>
    <w:p w14:paraId="3089329B">
      <w:pPr>
        <w:widowControl/>
        <w:wordWrap w:val="0"/>
        <w:spacing w:line="46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成立时间：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53D2F3E2">
      <w:pPr>
        <w:widowControl/>
        <w:wordWrap w:val="0"/>
        <w:spacing w:line="460" w:lineRule="exact"/>
        <w:ind w:firstLine="480"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r>
        <w:rPr>
          <w:rFonts w:hint="eastAsia" w:ascii="宋体" w:hAnsi="宋体" w:eastAsia="宋体" w:cs="宋体"/>
          <w:color w:val="auto"/>
          <w:kern w:val="0"/>
          <w:sz w:val="24"/>
          <w:szCs w:val="24"/>
          <w:highlight w:val="none"/>
          <w:u w:val="single"/>
        </w:rPr>
        <w:t xml:space="preserve">                  </w:t>
      </w:r>
    </w:p>
    <w:p w14:paraId="79AE98E5">
      <w:pPr>
        <w:widowControl/>
        <w:wordWrap w:val="0"/>
        <w:spacing w:line="46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姓名：____</w:t>
      </w:r>
      <w:r>
        <w:rPr>
          <w:rFonts w:hint="eastAsia" w:ascii="宋体" w:hAnsi="宋体" w:eastAsia="宋体" w:cs="宋体"/>
          <w:color w:val="auto"/>
          <w:kern w:val="0"/>
          <w:sz w:val="24"/>
          <w:szCs w:val="24"/>
          <w:highlight w:val="none"/>
          <w:u w:val="single"/>
        </w:rPr>
        <w:t>_     _</w:t>
      </w:r>
      <w:r>
        <w:rPr>
          <w:rFonts w:hint="eastAsia" w:ascii="宋体" w:hAnsi="宋体" w:eastAsia="宋体" w:cs="宋体"/>
          <w:color w:val="auto"/>
          <w:kern w:val="0"/>
          <w:sz w:val="24"/>
          <w:szCs w:val="24"/>
          <w:highlight w:val="none"/>
        </w:rPr>
        <w:t>，性别：____</w:t>
      </w:r>
      <w:r>
        <w:rPr>
          <w:rFonts w:hint="eastAsia" w:ascii="宋体" w:hAnsi="宋体" w:eastAsia="宋体" w:cs="宋体"/>
          <w:color w:val="auto"/>
          <w:kern w:val="0"/>
          <w:sz w:val="24"/>
          <w:szCs w:val="24"/>
          <w:highlight w:val="none"/>
          <w:u w:val="single"/>
        </w:rPr>
        <w:t xml:space="preserve">   _</w:t>
      </w:r>
      <w:r>
        <w:rPr>
          <w:rFonts w:hint="eastAsia" w:ascii="宋体" w:hAnsi="宋体" w:eastAsia="宋体" w:cs="宋体"/>
          <w:color w:val="auto"/>
          <w:kern w:val="0"/>
          <w:sz w:val="24"/>
          <w:szCs w:val="24"/>
          <w:highlight w:val="none"/>
        </w:rPr>
        <w:t>，年龄：____</w:t>
      </w:r>
      <w:r>
        <w:rPr>
          <w:rFonts w:hint="eastAsia" w:ascii="宋体" w:hAnsi="宋体" w:eastAsia="宋体" w:cs="宋体"/>
          <w:color w:val="auto"/>
          <w:kern w:val="0"/>
          <w:sz w:val="24"/>
          <w:szCs w:val="24"/>
          <w:highlight w:val="none"/>
          <w:u w:val="single"/>
        </w:rPr>
        <w:t xml:space="preserve">   _</w:t>
      </w:r>
      <w:r>
        <w:rPr>
          <w:rFonts w:hint="eastAsia" w:ascii="宋体" w:hAnsi="宋体" w:eastAsia="宋体" w:cs="宋体"/>
          <w:color w:val="auto"/>
          <w:kern w:val="0"/>
          <w:sz w:val="24"/>
          <w:szCs w:val="24"/>
          <w:highlight w:val="none"/>
        </w:rPr>
        <w:t>，职务：____</w:t>
      </w:r>
      <w:r>
        <w:rPr>
          <w:rFonts w:hint="eastAsia" w:ascii="宋体" w:hAnsi="宋体" w:eastAsia="宋体" w:cs="宋体"/>
          <w:color w:val="auto"/>
          <w:kern w:val="0"/>
          <w:sz w:val="24"/>
          <w:szCs w:val="24"/>
          <w:highlight w:val="none"/>
          <w:u w:val="single"/>
        </w:rPr>
        <w:t xml:space="preserve">   _</w:t>
      </w: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_______     __          </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名称）的法定代表人。</w:t>
      </w:r>
    </w:p>
    <w:p w14:paraId="5F5B3340">
      <w:pPr>
        <w:widowControl/>
        <w:wordWrap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2F862E20">
      <w:pPr>
        <w:widowControl/>
        <w:wordWrap w:val="0"/>
        <w:spacing w:line="46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14:paraId="46346C3B">
      <w:pPr>
        <w:widowControl/>
        <w:wordWrap w:val="0"/>
        <w:spacing w:line="4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06C234CB">
      <w:pPr>
        <w:spacing w:line="460" w:lineRule="exact"/>
        <w:rPr>
          <w:rStyle w:val="448"/>
          <w:rFonts w:hint="eastAsia" w:ascii="宋体" w:hAnsi="宋体" w:eastAsia="宋体" w:cs="宋体"/>
          <w:color w:val="auto"/>
          <w:sz w:val="24"/>
          <w:highlight w:val="none"/>
        </w:rPr>
      </w:pPr>
      <w:r>
        <w:rPr>
          <w:rStyle w:val="448"/>
          <w:rFonts w:hint="eastAsia" w:ascii="宋体" w:hAnsi="宋体" w:eastAsia="宋体" w:cs="宋体"/>
          <w:color w:val="auto"/>
          <w:sz w:val="24"/>
          <w:highlight w:val="none"/>
        </w:rPr>
        <w:t>附：法定代表人</w:t>
      </w:r>
      <w:r>
        <w:rPr>
          <w:rStyle w:val="448"/>
          <w:rFonts w:hint="eastAsia" w:ascii="宋体" w:hAnsi="宋体" w:eastAsia="宋体" w:cs="宋体"/>
          <w:b/>
          <w:color w:val="auto"/>
          <w:sz w:val="24"/>
          <w:highlight w:val="none"/>
          <w:lang w:val="zh-CN"/>
        </w:rPr>
        <w:t>（二代身份证需正反面）</w:t>
      </w:r>
      <w:r>
        <w:rPr>
          <w:rStyle w:val="448"/>
          <w:rFonts w:hint="eastAsia" w:ascii="宋体" w:hAnsi="宋体" w:eastAsia="宋体" w:cs="宋体"/>
          <w:b/>
          <w:color w:val="auto"/>
          <w:sz w:val="24"/>
          <w:highlight w:val="none"/>
        </w:rPr>
        <w:t>（不附为无效授权）</w:t>
      </w:r>
    </w:p>
    <w:p w14:paraId="0E2F1064">
      <w:pPr>
        <w:snapToGrid w:val="0"/>
        <w:spacing w:line="460" w:lineRule="exact"/>
        <w:rPr>
          <w:rStyle w:val="448"/>
          <w:rFonts w:hint="eastAsia" w:ascii="宋体" w:hAnsi="宋体" w:eastAsia="宋体" w:cs="宋体"/>
          <w:color w:val="auto"/>
          <w:sz w:val="24"/>
          <w:highlight w:val="none"/>
        </w:rPr>
      </w:pPr>
    </w:p>
    <w:p w14:paraId="05F2F2F9">
      <w:pPr>
        <w:spacing w:line="460" w:lineRule="exact"/>
        <w:rPr>
          <w:rStyle w:val="448"/>
          <w:rFonts w:hint="eastAsia" w:ascii="宋体" w:hAnsi="宋体" w:eastAsia="宋体" w:cs="宋体"/>
          <w:color w:val="auto"/>
          <w:sz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2524125</wp:posOffset>
                </wp:positionH>
                <wp:positionV relativeFrom="paragraph">
                  <wp:posOffset>238760</wp:posOffset>
                </wp:positionV>
                <wp:extent cx="2393315" cy="1681480"/>
                <wp:effectExtent l="5080" t="4445" r="14605" b="15875"/>
                <wp:wrapNone/>
                <wp:docPr id="7" name="AutoShape 5"/>
                <wp:cNvGraphicFramePr/>
                <a:graphic xmlns:a="http://schemas.openxmlformats.org/drawingml/2006/main">
                  <a:graphicData uri="http://schemas.microsoft.com/office/word/2010/wordprocessingShape">
                    <wps:wsp>
                      <wps:cNvSpPr>
                        <a:spLocks noChangeArrowheads="1"/>
                      </wps:cNvSpPr>
                      <wps:spPr bwMode="auto">
                        <a:xfrm>
                          <a:off x="0" y="0"/>
                          <a:ext cx="2393315" cy="1681480"/>
                        </a:xfrm>
                        <a:prstGeom prst="flowChartAlternateProcess">
                          <a:avLst/>
                        </a:prstGeom>
                        <a:solidFill>
                          <a:srgbClr val="FFFFFF"/>
                        </a:solidFill>
                        <a:ln w="9525" cmpd="sng">
                          <a:solidFill>
                            <a:srgbClr val="000000"/>
                          </a:solidFill>
                          <a:miter lim="800000"/>
                        </a:ln>
                        <a:effectLst/>
                      </wps:spPr>
                      <wps:txbx>
                        <w:txbxContent>
                          <w:p w14:paraId="4983A46A">
                            <w:pPr>
                              <w:jc w:val="center"/>
                              <w:rPr>
                                <w:rStyle w:val="448"/>
                                <w:color w:val="000000" w:themeColor="text1"/>
                                <w:szCs w:val="21"/>
                                <w14:textFill>
                                  <w14:solidFill>
                                    <w14:schemeClr w14:val="tx1"/>
                                  </w14:solidFill>
                                </w14:textFill>
                              </w:rPr>
                            </w:pPr>
                            <w:r>
                              <w:rPr>
                                <w:rStyle w:val="448"/>
                                <w:color w:val="000000" w:themeColor="text1"/>
                                <w:szCs w:val="21"/>
                                <w14:textFill>
                                  <w14:solidFill>
                                    <w14:schemeClr w14:val="tx1"/>
                                  </w14:solidFill>
                                </w14:textFill>
                              </w:rPr>
                              <w:t>身份证背面扫描件贴于此处</w:t>
                            </w:r>
                          </w:p>
                          <w:p w14:paraId="787AF0CC">
                            <w:pPr>
                              <w:rPr>
                                <w:rStyle w:val="448"/>
                              </w:rPr>
                            </w:pPr>
                          </w:p>
                        </w:txbxContent>
                      </wps:txbx>
                      <wps:bodyPr rot="0" vert="horz" wrap="square" lIns="91440" tIns="45720" rIns="91440" bIns="45720" anchor="t" anchorCtr="0" upright="1">
                        <a:noAutofit/>
                      </wps:bodyPr>
                    </wps:wsp>
                  </a:graphicData>
                </a:graphic>
              </wp:anchor>
            </w:drawing>
          </mc:Choice>
          <mc:Fallback>
            <w:pict>
              <v:shape id="AutoShape 5" o:spid="_x0000_s1026" o:spt="176" type="#_x0000_t176" style="position:absolute;left:0pt;margin-left:198.75pt;margin-top:18.8pt;height:132.4pt;width:188.45pt;z-index:251661312;mso-width-relative:page;mso-height-relative:page;" fillcolor="#FFFFFF" filled="t" stroked="t" coordsize="21600,21600" o:gfxdata="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8b1SNgAAAAKAQAADwAAAAAAAAABACAA&#10;AAAiAAAAZHJzL2Rvd25yZXYueG1sUEsBAhQAFAAAAAgAh07iQH6ck3FGAgAArAQAAA4AAAAAAAAA&#10;AQAgAAAAJwEAAGRycy9lMm9Eb2MueG1sUEsFBgAAAAAGAAYAWQEAAN8FAAAAAA==&#10;">
                <v:fill on="t" focussize="0,0"/>
                <v:stroke color="#000000" miterlimit="8" joinstyle="miter"/>
                <v:imagedata o:title=""/>
                <o:lock v:ext="edit" aspectratio="f"/>
                <v:textbox>
                  <w:txbxContent>
                    <w:p w14:paraId="4983A46A">
                      <w:pPr>
                        <w:jc w:val="center"/>
                        <w:rPr>
                          <w:rStyle w:val="448"/>
                          <w:color w:val="000000" w:themeColor="text1"/>
                          <w:szCs w:val="21"/>
                          <w14:textFill>
                            <w14:solidFill>
                              <w14:schemeClr w14:val="tx1"/>
                            </w14:solidFill>
                          </w14:textFill>
                        </w:rPr>
                      </w:pPr>
                      <w:r>
                        <w:rPr>
                          <w:rStyle w:val="448"/>
                          <w:color w:val="000000" w:themeColor="text1"/>
                          <w:szCs w:val="21"/>
                          <w14:textFill>
                            <w14:solidFill>
                              <w14:schemeClr w14:val="tx1"/>
                            </w14:solidFill>
                          </w14:textFill>
                        </w:rPr>
                        <w:t>身份证背面扫描件贴于此处</w:t>
                      </w:r>
                    </w:p>
                    <w:p w14:paraId="787AF0CC">
                      <w:pPr>
                        <w:rPr>
                          <w:rStyle w:val="448"/>
                        </w:rPr>
                      </w:pPr>
                    </w:p>
                  </w:txbxContent>
                </v:textbox>
              </v:shape>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83185</wp:posOffset>
                </wp:positionH>
                <wp:positionV relativeFrom="paragraph">
                  <wp:posOffset>238760</wp:posOffset>
                </wp:positionV>
                <wp:extent cx="2440940" cy="1681480"/>
                <wp:effectExtent l="5080" t="4445" r="5080" b="15875"/>
                <wp:wrapNone/>
                <wp:docPr id="6" name="AutoShape 4"/>
                <wp:cNvGraphicFramePr/>
                <a:graphic xmlns:a="http://schemas.openxmlformats.org/drawingml/2006/main">
                  <a:graphicData uri="http://schemas.microsoft.com/office/word/2010/wordprocessingShape">
                    <wps:wsp>
                      <wps:cNvSpPr>
                        <a:spLocks noChangeArrowheads="1"/>
                      </wps:cNvSpPr>
                      <wps:spPr bwMode="auto">
                        <a:xfrm>
                          <a:off x="0" y="0"/>
                          <a:ext cx="2440940" cy="1681480"/>
                        </a:xfrm>
                        <a:prstGeom prst="flowChartAlternateProcess">
                          <a:avLst/>
                        </a:prstGeom>
                        <a:solidFill>
                          <a:srgbClr val="FFFFFF"/>
                        </a:solidFill>
                        <a:ln w="9525" cmpd="sng">
                          <a:solidFill>
                            <a:srgbClr val="000000"/>
                          </a:solidFill>
                          <a:miter lim="800000"/>
                        </a:ln>
                        <a:effectLst/>
                      </wps:spPr>
                      <wps:txbx>
                        <w:txbxContent>
                          <w:p w14:paraId="356869CB">
                            <w:pPr>
                              <w:jc w:val="center"/>
                              <w:rPr>
                                <w:rStyle w:val="448"/>
                                <w:color w:val="000000" w:themeColor="text1"/>
                                <w:szCs w:val="21"/>
                                <w14:textFill>
                                  <w14:solidFill>
                                    <w14:schemeClr w14:val="tx1"/>
                                  </w14:solidFill>
                                </w14:textFill>
                              </w:rPr>
                            </w:pPr>
                            <w:r>
                              <w:rPr>
                                <w:rStyle w:val="448"/>
                                <w:color w:val="000000" w:themeColor="text1"/>
                                <w:szCs w:val="21"/>
                                <w14:textFill>
                                  <w14:solidFill>
                                    <w14:schemeClr w14:val="tx1"/>
                                  </w14:solidFill>
                                </w14:textFill>
                              </w:rPr>
                              <w:t>身份证正面扫描件贴于此处</w:t>
                            </w:r>
                          </w:p>
                          <w:p w14:paraId="1D3DBB3D">
                            <w:pPr>
                              <w:rPr>
                                <w:rStyle w:val="448"/>
                              </w:rPr>
                            </w:pPr>
                          </w:p>
                        </w:txbxContent>
                      </wps:txbx>
                      <wps:bodyPr rot="0" vert="horz" wrap="square" lIns="91440" tIns="45720" rIns="91440" bIns="45720" anchor="t" anchorCtr="0" upright="1">
                        <a:noAutofit/>
                      </wps:bodyPr>
                    </wps:wsp>
                  </a:graphicData>
                </a:graphic>
              </wp:anchor>
            </w:drawing>
          </mc:Choice>
          <mc:Fallback>
            <w:pict>
              <v:shape id="AutoShape 4" o:spid="_x0000_s1026" o:spt="176" type="#_x0000_t176" style="position:absolute;left:0pt;margin-left:6.55pt;margin-top:18.8pt;height:132.4pt;width:192.2pt;z-index:251660288;mso-width-relative:page;mso-height-relative:page;" fillcolor="#FFFFFF" filled="t" stroked="t" coordsize="21600,21600" o:gfxdata="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6i+L31wAAAAkBAAAPAAAAAAAAAAEAIAAA&#10;ACIAAABkcnMvZG93bnJldi54bWxQSwECFAAUAAAACACHTuJAFMMgfEYCAACsBAAADgAAAAAAAAAB&#10;ACAAAAAmAQAAZHJzL2Uyb0RvYy54bWxQSwUGAAAAAAYABgBZAQAA3gUAAAAA&#10;">
                <v:fill on="t" focussize="0,0"/>
                <v:stroke color="#000000" miterlimit="8" joinstyle="miter"/>
                <v:imagedata o:title=""/>
                <o:lock v:ext="edit" aspectratio="f"/>
                <v:textbox>
                  <w:txbxContent>
                    <w:p w14:paraId="356869CB">
                      <w:pPr>
                        <w:jc w:val="center"/>
                        <w:rPr>
                          <w:rStyle w:val="448"/>
                          <w:color w:val="000000" w:themeColor="text1"/>
                          <w:szCs w:val="21"/>
                          <w14:textFill>
                            <w14:solidFill>
                              <w14:schemeClr w14:val="tx1"/>
                            </w14:solidFill>
                          </w14:textFill>
                        </w:rPr>
                      </w:pPr>
                      <w:r>
                        <w:rPr>
                          <w:rStyle w:val="448"/>
                          <w:color w:val="000000" w:themeColor="text1"/>
                          <w:szCs w:val="21"/>
                          <w14:textFill>
                            <w14:solidFill>
                              <w14:schemeClr w14:val="tx1"/>
                            </w14:solidFill>
                          </w14:textFill>
                        </w:rPr>
                        <w:t>身份证正面扫描件贴于此处</w:t>
                      </w:r>
                    </w:p>
                    <w:p w14:paraId="1D3DBB3D">
                      <w:pPr>
                        <w:rPr>
                          <w:rStyle w:val="448"/>
                        </w:rPr>
                      </w:pPr>
                    </w:p>
                  </w:txbxContent>
                </v:textbox>
              </v:shape>
            </w:pict>
          </mc:Fallback>
        </mc:AlternateContent>
      </w:r>
    </w:p>
    <w:p w14:paraId="5ACEFC04">
      <w:pPr>
        <w:spacing w:line="460" w:lineRule="exact"/>
        <w:rPr>
          <w:rStyle w:val="448"/>
          <w:rFonts w:hint="eastAsia" w:ascii="宋体" w:hAnsi="宋体" w:eastAsia="宋体" w:cs="宋体"/>
          <w:color w:val="auto"/>
          <w:sz w:val="24"/>
          <w:highlight w:val="none"/>
        </w:rPr>
      </w:pPr>
    </w:p>
    <w:p w14:paraId="4A243058">
      <w:pPr>
        <w:spacing w:line="460" w:lineRule="exact"/>
        <w:rPr>
          <w:rStyle w:val="448"/>
          <w:rFonts w:hint="eastAsia" w:ascii="宋体" w:hAnsi="宋体" w:eastAsia="宋体" w:cs="宋体"/>
          <w:color w:val="auto"/>
          <w:sz w:val="24"/>
          <w:highlight w:val="none"/>
        </w:rPr>
      </w:pPr>
    </w:p>
    <w:p w14:paraId="2F89C8D2">
      <w:pPr>
        <w:spacing w:line="460" w:lineRule="exact"/>
        <w:rPr>
          <w:rStyle w:val="448"/>
          <w:rFonts w:hint="eastAsia" w:ascii="宋体" w:hAnsi="宋体" w:eastAsia="宋体" w:cs="宋体"/>
          <w:color w:val="auto"/>
          <w:sz w:val="24"/>
          <w:highlight w:val="none"/>
        </w:rPr>
      </w:pPr>
    </w:p>
    <w:p w14:paraId="4C4B65A3">
      <w:pPr>
        <w:spacing w:line="460" w:lineRule="exact"/>
        <w:rPr>
          <w:rStyle w:val="448"/>
          <w:rFonts w:hint="eastAsia" w:ascii="宋体" w:hAnsi="宋体" w:eastAsia="宋体" w:cs="宋体"/>
          <w:color w:val="auto"/>
          <w:sz w:val="24"/>
          <w:highlight w:val="none"/>
        </w:rPr>
      </w:pPr>
    </w:p>
    <w:p w14:paraId="0078CFB7">
      <w:pPr>
        <w:spacing w:line="460" w:lineRule="exact"/>
        <w:rPr>
          <w:rStyle w:val="448"/>
          <w:rFonts w:hint="eastAsia" w:ascii="宋体" w:hAnsi="宋体" w:eastAsia="宋体" w:cs="宋体"/>
          <w:color w:val="auto"/>
          <w:sz w:val="24"/>
          <w:highlight w:val="none"/>
        </w:rPr>
      </w:pPr>
    </w:p>
    <w:p w14:paraId="600DD37C">
      <w:pPr>
        <w:spacing w:line="460" w:lineRule="exact"/>
        <w:rPr>
          <w:rStyle w:val="448"/>
          <w:rFonts w:hint="eastAsia" w:ascii="宋体" w:hAnsi="宋体" w:eastAsia="宋体" w:cs="宋体"/>
          <w:color w:val="auto"/>
          <w:sz w:val="24"/>
          <w:highlight w:val="none"/>
        </w:rPr>
      </w:pPr>
    </w:p>
    <w:p w14:paraId="03853481">
      <w:pPr>
        <w:widowControl/>
        <w:wordWrap w:val="0"/>
        <w:spacing w:before="314" w:beforeLines="100" w:after="314" w:afterLines="100" w:line="48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539ED4F4">
      <w:pPr>
        <w:widowControl/>
        <w:wordWrap w:val="0"/>
        <w:snapToGrid w:val="0"/>
        <w:spacing w:line="460" w:lineRule="exact"/>
        <w:ind w:firstLine="2760" w:firstLineChars="1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____      </w:t>
      </w:r>
      <w:r>
        <w:rPr>
          <w:rFonts w:hint="eastAsia" w:ascii="宋体" w:hAnsi="宋体" w:eastAsia="宋体" w:cs="宋体"/>
          <w:color w:val="auto"/>
          <w:kern w:val="0"/>
          <w:sz w:val="24"/>
          <w:szCs w:val="24"/>
          <w:highlight w:val="none"/>
        </w:rPr>
        <w:t>（全称并加盖公章）</w:t>
      </w:r>
    </w:p>
    <w:p w14:paraId="706DF98E">
      <w:pPr>
        <w:widowControl/>
        <w:wordWrap w:val="0"/>
        <w:spacing w:line="460" w:lineRule="exact"/>
        <w:ind w:left="3780" w:leftChars="1800" w:firstLine="480" w:firstLineChars="200"/>
        <w:jc w:val="left"/>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rPr>
        <w:t xml:space="preserve">                      </w:t>
      </w:r>
      <w:r>
        <w:rPr>
          <w:rFonts w:hint="eastAsia" w:ascii="宋体" w:hAnsi="宋体" w:eastAsia="宋体" w:cs="宋体"/>
          <w:bCs/>
          <w:color w:val="auto"/>
          <w:kern w:val="0"/>
          <w:sz w:val="24"/>
          <w:szCs w:val="24"/>
          <w:highlight w:val="none"/>
        </w:rPr>
        <w:t xml:space="preserve"> </w:t>
      </w:r>
    </w:p>
    <w:p w14:paraId="57BEF149">
      <w:pPr>
        <w:widowControl/>
        <w:wordWrap w:val="0"/>
        <w:spacing w:line="460" w:lineRule="exact"/>
        <w:ind w:left="3780" w:leftChars="180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年    月    日</w:t>
      </w:r>
    </w:p>
    <w:p w14:paraId="41D0DA62">
      <w:pPr>
        <w:widowControl/>
        <w:snapToGrid w:val="0"/>
        <w:spacing w:line="360" w:lineRule="auto"/>
        <w:ind w:firstLine="562" w:firstLineChars="200"/>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 xml:space="preserve">  </w:t>
      </w:r>
    </w:p>
    <w:p w14:paraId="06DE2ACC">
      <w:pPr>
        <w:widowControl/>
        <w:spacing w:line="360" w:lineRule="auto"/>
        <w:jc w:val="left"/>
        <w:rPr>
          <w:rFonts w:hint="eastAsia" w:ascii="宋体" w:hAnsi="宋体" w:eastAsia="宋体" w:cs="宋体"/>
          <w:b/>
          <w:color w:val="auto"/>
          <w:kern w:val="0"/>
          <w:sz w:val="28"/>
          <w:szCs w:val="28"/>
          <w:highlight w:val="none"/>
        </w:rPr>
      </w:pPr>
    </w:p>
    <w:p w14:paraId="766E5962">
      <w:pPr>
        <w:widowControl/>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9</w:t>
      </w:r>
    </w:p>
    <w:p w14:paraId="4C22FF9D">
      <w:pPr>
        <w:widowControl/>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法定代表人授权书</w:t>
      </w:r>
      <w:r>
        <w:rPr>
          <w:rFonts w:hint="eastAsia" w:ascii="宋体" w:hAnsi="宋体" w:eastAsia="宋体" w:cs="宋体"/>
          <w:color w:val="auto"/>
          <w:kern w:val="0"/>
          <w:sz w:val="32"/>
          <w:szCs w:val="32"/>
          <w:highlight w:val="none"/>
        </w:rPr>
        <w:t>（格式）</w:t>
      </w:r>
    </w:p>
    <w:p w14:paraId="267DB9C5">
      <w:pPr>
        <w:widowControl/>
        <w:tabs>
          <w:tab w:val="left" w:pos="420"/>
          <w:tab w:val="left" w:pos="2160"/>
        </w:tabs>
        <w:wordWrap w:val="0"/>
        <w:spacing w:line="460" w:lineRule="exact"/>
        <w:ind w:firstLine="440" w:firstLineChars="20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 </w:t>
      </w:r>
    </w:p>
    <w:p w14:paraId="2BBA9D38">
      <w:pPr>
        <w:widowControl/>
        <w:wordWrap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致：_______（</w:t>
      </w:r>
      <w:r>
        <w:rPr>
          <w:rFonts w:hint="eastAsia" w:ascii="宋体" w:hAnsi="宋体" w:eastAsia="宋体" w:cs="宋体"/>
          <w:color w:val="auto"/>
          <w:kern w:val="0"/>
          <w:sz w:val="24"/>
          <w:szCs w:val="24"/>
          <w:highlight w:val="none"/>
          <w:lang w:eastAsia="zh-CN"/>
        </w:rPr>
        <w:t>招标人</w:t>
      </w:r>
      <w:r>
        <w:rPr>
          <w:rFonts w:hint="eastAsia" w:ascii="宋体" w:hAnsi="宋体" w:eastAsia="宋体" w:cs="宋体"/>
          <w:color w:val="auto"/>
          <w:kern w:val="0"/>
          <w:sz w:val="24"/>
          <w:szCs w:val="24"/>
          <w:highlight w:val="none"/>
        </w:rPr>
        <w:t>及</w:t>
      </w:r>
      <w:r>
        <w:rPr>
          <w:rFonts w:hint="eastAsia" w:ascii="宋体" w:hAnsi="宋体" w:eastAsia="宋体" w:cs="宋体"/>
          <w:color w:val="auto"/>
          <w:kern w:val="0"/>
          <w:sz w:val="24"/>
          <w:szCs w:val="24"/>
          <w:highlight w:val="none"/>
          <w:lang w:eastAsia="zh-CN"/>
        </w:rPr>
        <w:t>代理机构</w:t>
      </w:r>
      <w:r>
        <w:rPr>
          <w:rFonts w:hint="eastAsia" w:ascii="宋体" w:hAnsi="宋体" w:eastAsia="宋体" w:cs="宋体"/>
          <w:color w:val="auto"/>
          <w:kern w:val="0"/>
          <w:sz w:val="24"/>
          <w:szCs w:val="24"/>
          <w:highlight w:val="none"/>
        </w:rPr>
        <w:t>名称）：</w:t>
      </w:r>
    </w:p>
    <w:p w14:paraId="686825B6">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（姓名）系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名称）的法定代表人，现委托</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（姓名）为我方代理人。代理人根据本授权，以我方的名义参加</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项目（项目编号：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）的投标活动，并代表我方全权办理针对上述项目的投标、开标、评标、签约等具体事务和签署相关文件。</w:t>
      </w:r>
    </w:p>
    <w:p w14:paraId="1908DA9E">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我方对代理人的签名负全部责任。在撤销授权的书面通知以前，本授权书一直有效。代理人在授权书有效期内签署的所有文件不因授权的撤销而失效。</w:t>
      </w:r>
    </w:p>
    <w:p w14:paraId="35BCE802">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如果本次采购活动现场变更采购方式，本授权书有效。</w:t>
      </w:r>
    </w:p>
    <w:p w14:paraId="24AF698F">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代理人无转委托权。</w:t>
      </w:r>
    </w:p>
    <w:p w14:paraId="32FF2694">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委托期限：                           </w:t>
      </w:r>
    </w:p>
    <w:p w14:paraId="036D871F">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委托代理人签名：         法定代表人签名：</w:t>
      </w:r>
    </w:p>
    <w:p w14:paraId="2028ABB3">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                   职务：</w:t>
      </w:r>
    </w:p>
    <w:p w14:paraId="016F7EBC">
      <w:pPr>
        <w:widowControl/>
        <w:wordWrap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委托代理人身份证号码：                            </w:t>
      </w:r>
    </w:p>
    <w:p w14:paraId="1A147E6B">
      <w:pPr>
        <w:spacing w:line="460" w:lineRule="exact"/>
        <w:rPr>
          <w:rStyle w:val="448"/>
          <w:rFonts w:hint="eastAsia" w:ascii="宋体" w:hAnsi="宋体" w:eastAsia="宋体" w:cs="宋体"/>
          <w:color w:val="auto"/>
          <w:sz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2524125</wp:posOffset>
                </wp:positionH>
                <wp:positionV relativeFrom="paragraph">
                  <wp:posOffset>238760</wp:posOffset>
                </wp:positionV>
                <wp:extent cx="2393315" cy="1681480"/>
                <wp:effectExtent l="5080" t="4445" r="14605" b="15875"/>
                <wp:wrapNone/>
                <wp:docPr id="5" name="AutoShape 3"/>
                <wp:cNvGraphicFramePr/>
                <a:graphic xmlns:a="http://schemas.openxmlformats.org/drawingml/2006/main">
                  <a:graphicData uri="http://schemas.microsoft.com/office/word/2010/wordprocessingShape">
                    <wps:wsp>
                      <wps:cNvSpPr>
                        <a:spLocks noChangeArrowheads="1"/>
                      </wps:cNvSpPr>
                      <wps:spPr bwMode="auto">
                        <a:xfrm>
                          <a:off x="0" y="0"/>
                          <a:ext cx="2393315" cy="1681480"/>
                        </a:xfrm>
                        <a:prstGeom prst="flowChartAlternateProcess">
                          <a:avLst/>
                        </a:prstGeom>
                        <a:solidFill>
                          <a:srgbClr val="FFFFFF"/>
                        </a:solidFill>
                        <a:ln w="9525" cmpd="sng">
                          <a:solidFill>
                            <a:srgbClr val="000000"/>
                          </a:solidFill>
                          <a:miter lim="800000"/>
                        </a:ln>
                        <a:effectLst/>
                      </wps:spPr>
                      <wps:txbx>
                        <w:txbxContent>
                          <w:p w14:paraId="4733C57B">
                            <w:pPr>
                              <w:jc w:val="center"/>
                              <w:rPr>
                                <w:rStyle w:val="448"/>
                                <w:color w:val="000000" w:themeColor="text1"/>
                                <w:szCs w:val="21"/>
                                <w14:textFill>
                                  <w14:solidFill>
                                    <w14:schemeClr w14:val="tx1"/>
                                  </w14:solidFill>
                                </w14:textFill>
                              </w:rPr>
                            </w:pPr>
                            <w:r>
                              <w:rPr>
                                <w:rStyle w:val="448"/>
                                <w:color w:val="000000" w:themeColor="text1"/>
                                <w:szCs w:val="21"/>
                                <w14:textFill>
                                  <w14:solidFill>
                                    <w14:schemeClr w14:val="tx1"/>
                                  </w14:solidFill>
                                </w14:textFill>
                              </w:rPr>
                              <w:t>身份证背面扫描件贴于此处</w:t>
                            </w:r>
                          </w:p>
                          <w:p w14:paraId="3A25C83E">
                            <w:pPr>
                              <w:rPr>
                                <w:rStyle w:val="448"/>
                              </w:rPr>
                            </w:pPr>
                          </w:p>
                        </w:txbxContent>
                      </wps:txbx>
                      <wps:bodyPr rot="0" vert="horz" wrap="square" lIns="91440" tIns="45720" rIns="91440" bIns="45720" anchor="t" anchorCtr="0" upright="1">
                        <a:noAutofit/>
                      </wps:bodyPr>
                    </wps:wsp>
                  </a:graphicData>
                </a:graphic>
              </wp:anchor>
            </w:drawing>
          </mc:Choice>
          <mc:Fallback>
            <w:pict>
              <v:shape id="AutoShape 3" o:spid="_x0000_s1026" o:spt="176" type="#_x0000_t176" style="position:absolute;left:0pt;margin-left:198.75pt;margin-top:18.8pt;height:132.4pt;width:188.45pt;z-index:251663360;mso-width-relative:page;mso-height-relative:page;" fillcolor="#FFFFFF" filled="t" stroked="t" coordsize="21600,21600" o:gfxdata="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fxvVI2AAAAAoBAAAPAAAAAAAAAAEAIAAA&#10;ACIAAABkcnMvZG93bnJldi54bWxQSwECFAAUAAAACACHTuJAbox6f0UCAACsBAAADgAAAAAAAAAB&#10;ACAAAAAnAQAAZHJzL2Uyb0RvYy54bWxQSwUGAAAAAAYABgBZAQAA3gUAAAAA&#10;">
                <v:fill on="t" focussize="0,0"/>
                <v:stroke color="#000000" miterlimit="8" joinstyle="miter"/>
                <v:imagedata o:title=""/>
                <o:lock v:ext="edit" aspectratio="f"/>
                <v:textbox>
                  <w:txbxContent>
                    <w:p w14:paraId="4733C57B">
                      <w:pPr>
                        <w:jc w:val="center"/>
                        <w:rPr>
                          <w:rStyle w:val="448"/>
                          <w:color w:val="000000" w:themeColor="text1"/>
                          <w:szCs w:val="21"/>
                          <w14:textFill>
                            <w14:solidFill>
                              <w14:schemeClr w14:val="tx1"/>
                            </w14:solidFill>
                          </w14:textFill>
                        </w:rPr>
                      </w:pPr>
                      <w:r>
                        <w:rPr>
                          <w:rStyle w:val="448"/>
                          <w:color w:val="000000" w:themeColor="text1"/>
                          <w:szCs w:val="21"/>
                          <w14:textFill>
                            <w14:solidFill>
                              <w14:schemeClr w14:val="tx1"/>
                            </w14:solidFill>
                          </w14:textFill>
                        </w:rPr>
                        <w:t>身份证背面扫描件贴于此处</w:t>
                      </w:r>
                    </w:p>
                    <w:p w14:paraId="3A25C83E">
                      <w:pPr>
                        <w:rPr>
                          <w:rStyle w:val="448"/>
                        </w:rPr>
                      </w:pPr>
                    </w:p>
                  </w:txbxContent>
                </v:textbox>
              </v:shape>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83185</wp:posOffset>
                </wp:positionH>
                <wp:positionV relativeFrom="paragraph">
                  <wp:posOffset>238760</wp:posOffset>
                </wp:positionV>
                <wp:extent cx="2440940" cy="1681480"/>
                <wp:effectExtent l="5080" t="4445" r="5080" b="15875"/>
                <wp:wrapNone/>
                <wp:docPr id="4" name="AutoShape 2"/>
                <wp:cNvGraphicFramePr/>
                <a:graphic xmlns:a="http://schemas.openxmlformats.org/drawingml/2006/main">
                  <a:graphicData uri="http://schemas.microsoft.com/office/word/2010/wordprocessingShape">
                    <wps:wsp>
                      <wps:cNvSpPr>
                        <a:spLocks noChangeArrowheads="1"/>
                      </wps:cNvSpPr>
                      <wps:spPr bwMode="auto">
                        <a:xfrm>
                          <a:off x="0" y="0"/>
                          <a:ext cx="2440940" cy="1681480"/>
                        </a:xfrm>
                        <a:prstGeom prst="flowChartAlternateProcess">
                          <a:avLst/>
                        </a:prstGeom>
                        <a:solidFill>
                          <a:srgbClr val="FFFFFF"/>
                        </a:solidFill>
                        <a:ln w="9525" cmpd="sng">
                          <a:solidFill>
                            <a:srgbClr val="000000"/>
                          </a:solidFill>
                          <a:miter lim="800000"/>
                        </a:ln>
                        <a:effectLst/>
                      </wps:spPr>
                      <wps:txbx>
                        <w:txbxContent>
                          <w:p w14:paraId="19AAB330">
                            <w:pPr>
                              <w:jc w:val="center"/>
                              <w:rPr>
                                <w:rStyle w:val="448"/>
                                <w:color w:val="000000" w:themeColor="text1"/>
                                <w:szCs w:val="21"/>
                                <w14:textFill>
                                  <w14:solidFill>
                                    <w14:schemeClr w14:val="tx1"/>
                                  </w14:solidFill>
                                </w14:textFill>
                              </w:rPr>
                            </w:pPr>
                            <w:r>
                              <w:rPr>
                                <w:rStyle w:val="448"/>
                                <w:color w:val="000000" w:themeColor="text1"/>
                                <w:szCs w:val="21"/>
                                <w14:textFill>
                                  <w14:solidFill>
                                    <w14:schemeClr w14:val="tx1"/>
                                  </w14:solidFill>
                                </w14:textFill>
                              </w:rPr>
                              <w:t>身份证正面扫描件贴于此处</w:t>
                            </w:r>
                          </w:p>
                          <w:p w14:paraId="46DAC002">
                            <w:pPr>
                              <w:rPr>
                                <w:rStyle w:val="448"/>
                              </w:rPr>
                            </w:pPr>
                          </w:p>
                        </w:txbxContent>
                      </wps:txbx>
                      <wps:bodyPr rot="0" vert="horz" wrap="square" lIns="91440" tIns="45720" rIns="91440" bIns="45720" anchor="t" anchorCtr="0" upright="1">
                        <a:noAutofit/>
                      </wps:bodyPr>
                    </wps:wsp>
                  </a:graphicData>
                </a:graphic>
              </wp:anchor>
            </w:drawing>
          </mc:Choice>
          <mc:Fallback>
            <w:pict>
              <v:shape id="AutoShape 2" o:spid="_x0000_s1026" o:spt="176" type="#_x0000_t176" style="position:absolute;left:0pt;margin-left:6.55pt;margin-top:18.8pt;height:132.4pt;width:192.2pt;z-index:251662336;mso-width-relative:page;mso-height-relative:page;" fillcolor="#FFFFFF" filled="t" stroked="t" coordsize="21600,21600" o:gfxdata="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qL4vfXAAAACQEAAA8AAAAAAAAAAQAgAAAA&#10;IgAAAGRycy9kb3ducmV2LnhtbFBLAQIUABQAAAAIAIdO4kAE08lyRQIAAKwEAAAOAAAAAAAAAAEA&#10;IAAAACYBAABkcnMvZTJvRG9jLnhtbFBLBQYAAAAABgAGAFkBAADdBQAAAAA=&#10;">
                <v:fill on="t" focussize="0,0"/>
                <v:stroke color="#000000" miterlimit="8" joinstyle="miter"/>
                <v:imagedata o:title=""/>
                <o:lock v:ext="edit" aspectratio="f"/>
                <v:textbox>
                  <w:txbxContent>
                    <w:p w14:paraId="19AAB330">
                      <w:pPr>
                        <w:jc w:val="center"/>
                        <w:rPr>
                          <w:rStyle w:val="448"/>
                          <w:color w:val="000000" w:themeColor="text1"/>
                          <w:szCs w:val="21"/>
                          <w14:textFill>
                            <w14:solidFill>
                              <w14:schemeClr w14:val="tx1"/>
                            </w14:solidFill>
                          </w14:textFill>
                        </w:rPr>
                      </w:pPr>
                      <w:r>
                        <w:rPr>
                          <w:rStyle w:val="448"/>
                          <w:color w:val="000000" w:themeColor="text1"/>
                          <w:szCs w:val="21"/>
                          <w14:textFill>
                            <w14:solidFill>
                              <w14:schemeClr w14:val="tx1"/>
                            </w14:solidFill>
                          </w14:textFill>
                        </w:rPr>
                        <w:t>身份证正面扫描件贴于此处</w:t>
                      </w:r>
                    </w:p>
                    <w:p w14:paraId="46DAC002">
                      <w:pPr>
                        <w:rPr>
                          <w:rStyle w:val="448"/>
                        </w:rPr>
                      </w:pPr>
                    </w:p>
                  </w:txbxContent>
                </v:textbox>
              </v:shape>
            </w:pict>
          </mc:Fallback>
        </mc:AlternateContent>
      </w:r>
    </w:p>
    <w:p w14:paraId="3B6A8E1A">
      <w:pPr>
        <w:spacing w:line="460" w:lineRule="exact"/>
        <w:rPr>
          <w:rStyle w:val="448"/>
          <w:rFonts w:hint="eastAsia" w:ascii="宋体" w:hAnsi="宋体" w:eastAsia="宋体" w:cs="宋体"/>
          <w:color w:val="auto"/>
          <w:sz w:val="24"/>
          <w:highlight w:val="none"/>
        </w:rPr>
      </w:pPr>
    </w:p>
    <w:p w14:paraId="7FC5D7E9">
      <w:pPr>
        <w:spacing w:line="460" w:lineRule="exact"/>
        <w:rPr>
          <w:rStyle w:val="448"/>
          <w:rFonts w:hint="eastAsia" w:ascii="宋体" w:hAnsi="宋体" w:eastAsia="宋体" w:cs="宋体"/>
          <w:color w:val="auto"/>
          <w:sz w:val="24"/>
          <w:highlight w:val="none"/>
        </w:rPr>
      </w:pPr>
    </w:p>
    <w:p w14:paraId="258B064F">
      <w:pPr>
        <w:spacing w:line="460" w:lineRule="exact"/>
        <w:rPr>
          <w:rStyle w:val="448"/>
          <w:rFonts w:hint="eastAsia" w:ascii="宋体" w:hAnsi="宋体" w:eastAsia="宋体" w:cs="宋体"/>
          <w:color w:val="auto"/>
          <w:sz w:val="24"/>
          <w:highlight w:val="none"/>
        </w:rPr>
      </w:pPr>
    </w:p>
    <w:p w14:paraId="48331CB0">
      <w:pPr>
        <w:spacing w:line="460" w:lineRule="exact"/>
        <w:ind w:firstLine="720" w:firstLineChars="300"/>
        <w:rPr>
          <w:rStyle w:val="448"/>
          <w:rFonts w:hint="eastAsia" w:ascii="宋体" w:hAnsi="宋体" w:eastAsia="宋体" w:cs="宋体"/>
          <w:color w:val="auto"/>
          <w:sz w:val="24"/>
          <w:highlight w:val="none"/>
        </w:rPr>
      </w:pPr>
    </w:p>
    <w:p w14:paraId="05B40908">
      <w:pPr>
        <w:spacing w:line="460" w:lineRule="exact"/>
        <w:ind w:firstLine="720" w:firstLineChars="300"/>
        <w:rPr>
          <w:rStyle w:val="448"/>
          <w:rFonts w:hint="eastAsia" w:ascii="宋体" w:hAnsi="宋体" w:eastAsia="宋体" w:cs="宋体"/>
          <w:color w:val="auto"/>
          <w:sz w:val="24"/>
          <w:highlight w:val="none"/>
        </w:rPr>
      </w:pPr>
    </w:p>
    <w:p w14:paraId="2C71771F">
      <w:pPr>
        <w:spacing w:line="460" w:lineRule="exact"/>
        <w:ind w:firstLine="3600" w:firstLineChars="1500"/>
        <w:rPr>
          <w:rStyle w:val="448"/>
          <w:rFonts w:hint="eastAsia" w:ascii="宋体" w:hAnsi="宋体" w:eastAsia="宋体" w:cs="宋体"/>
          <w:color w:val="auto"/>
          <w:sz w:val="24"/>
          <w:highlight w:val="none"/>
        </w:rPr>
      </w:pPr>
    </w:p>
    <w:p w14:paraId="4011176F">
      <w:pPr>
        <w:widowControl/>
        <w:wordWrap w:val="0"/>
        <w:spacing w:line="460" w:lineRule="exact"/>
        <w:ind w:firstLine="4800" w:firstLineChars="20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3CE04B41">
      <w:pPr>
        <w:widowControl/>
        <w:wordWrap w:val="0"/>
        <w:spacing w:line="360" w:lineRule="auto"/>
        <w:jc w:val="right"/>
        <w:rPr>
          <w:rFonts w:hint="eastAsia" w:ascii="宋体" w:hAnsi="宋体" w:eastAsia="宋体" w:cs="宋体"/>
          <w:color w:val="auto"/>
          <w:kern w:val="0"/>
          <w:sz w:val="24"/>
          <w:szCs w:val="24"/>
          <w:highlight w:val="none"/>
        </w:rPr>
      </w:pPr>
    </w:p>
    <w:p w14:paraId="029C5D1A">
      <w:pPr>
        <w:widowControl/>
        <w:wordWrap w:val="0"/>
        <w:spacing w:line="360" w:lineRule="auto"/>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（全称并加盖公章） </w:t>
      </w:r>
    </w:p>
    <w:p w14:paraId="7C47CED2">
      <w:pPr>
        <w:widowControl/>
        <w:wordWrap w:val="0"/>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 xml:space="preserve">                     年    月    日</w:t>
      </w:r>
    </w:p>
    <w:p w14:paraId="2BC205DF">
      <w:pPr>
        <w:widowControl/>
        <w:jc w:val="left"/>
        <w:rPr>
          <w:rFonts w:hint="eastAsia" w:ascii="宋体" w:hAnsi="宋体" w:eastAsia="宋体" w:cs="宋体"/>
          <w:b/>
          <w:color w:val="auto"/>
          <w:kern w:val="0"/>
          <w:sz w:val="22"/>
          <w:highlight w:val="none"/>
        </w:rPr>
      </w:pPr>
      <w:r>
        <w:rPr>
          <w:rFonts w:hint="eastAsia" w:ascii="宋体" w:hAnsi="宋体" w:eastAsia="宋体" w:cs="宋体"/>
          <w:b/>
          <w:color w:val="auto"/>
          <w:kern w:val="0"/>
          <w:sz w:val="22"/>
          <w:highlight w:val="none"/>
        </w:rPr>
        <w:br w:type="page"/>
      </w:r>
    </w:p>
    <w:p w14:paraId="32728BD6">
      <w:pPr>
        <w:widowControl/>
        <w:wordWrap w:val="0"/>
        <w:snapToGrid w:val="0"/>
        <w:spacing w:before="156" w:after="156"/>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10</w:t>
      </w:r>
      <w:r>
        <w:rPr>
          <w:rFonts w:hint="eastAsia" w:ascii="宋体" w:hAnsi="宋体" w:eastAsia="宋体" w:cs="宋体"/>
          <w:b/>
          <w:color w:val="auto"/>
          <w:kern w:val="0"/>
          <w:sz w:val="32"/>
          <w:szCs w:val="32"/>
          <w:highlight w:val="none"/>
        </w:rPr>
        <w:t xml:space="preserve"> </w:t>
      </w:r>
    </w:p>
    <w:p w14:paraId="0AB97500">
      <w:pPr>
        <w:widowControl/>
        <w:snapToGrid w:val="0"/>
        <w:spacing w:before="156" w:after="156"/>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证明文件</w:t>
      </w:r>
    </w:p>
    <w:p w14:paraId="255106DB">
      <w:pPr>
        <w:widowControl/>
        <w:ind w:firstLine="480" w:firstLineChars="200"/>
        <w:jc w:val="left"/>
        <w:rPr>
          <w:rFonts w:hint="eastAsia" w:ascii="宋体" w:hAnsi="宋体" w:eastAsia="宋体" w:cs="宋体"/>
          <w:b w:val="0"/>
          <w:bCs/>
          <w:color w:val="auto"/>
          <w:kern w:val="0"/>
          <w:sz w:val="24"/>
          <w:highlight w:val="none"/>
          <w:lang w:val="en-US" w:eastAsia="zh-CN"/>
        </w:rPr>
      </w:pPr>
      <w:bookmarkStart w:id="117" w:name="_Toc29332"/>
      <w:bookmarkStart w:id="118" w:name="_Toc454467220"/>
      <w:bookmarkStart w:id="119" w:name="_Toc7572"/>
      <w:bookmarkStart w:id="120" w:name="_Toc2945"/>
      <w:r>
        <w:rPr>
          <w:rFonts w:hint="eastAsia" w:ascii="宋体" w:hAnsi="宋体" w:eastAsia="宋体" w:cs="宋体"/>
          <w:b w:val="0"/>
          <w:bCs/>
          <w:color w:val="auto"/>
          <w:kern w:val="0"/>
          <w:sz w:val="24"/>
          <w:highlight w:val="none"/>
          <w:lang w:val="en-US" w:eastAsia="zh-CN"/>
        </w:rPr>
        <w:t>10.1</w:t>
      </w:r>
      <w:r>
        <w:rPr>
          <w:rFonts w:hint="eastAsia" w:ascii="宋体" w:hAnsi="宋体" w:eastAsia="宋体" w:cs="宋体"/>
          <w:b w:val="0"/>
          <w:bCs/>
          <w:color w:val="auto"/>
          <w:kern w:val="0"/>
          <w:sz w:val="24"/>
          <w:highlight w:val="none"/>
          <w:lang w:eastAsia="zh-CN"/>
        </w:rPr>
        <w:t>招标文件要求附的资料扫描件</w:t>
      </w:r>
    </w:p>
    <w:p w14:paraId="05ABF119">
      <w:pPr>
        <w:widowControl/>
        <w:spacing w:line="360" w:lineRule="auto"/>
        <w:ind w:firstLine="480" w:firstLineChars="200"/>
        <w:jc w:val="left"/>
        <w:rPr>
          <w:rFonts w:hint="eastAsia" w:ascii="宋体" w:hAnsi="宋体" w:eastAsia="宋体" w:cs="宋体"/>
          <w:b w:val="0"/>
          <w:bCs w:val="0"/>
          <w:color w:val="auto"/>
          <w:kern w:val="0"/>
          <w:sz w:val="24"/>
          <w:highlight w:val="none"/>
        </w:rPr>
      </w:pPr>
    </w:p>
    <w:p w14:paraId="6062A1EA">
      <w:pPr>
        <w:widowControl/>
        <w:spacing w:line="360" w:lineRule="auto"/>
        <w:ind w:firstLine="480" w:firstLineChars="200"/>
        <w:jc w:val="left"/>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10.</w:t>
      </w:r>
      <w:r>
        <w:rPr>
          <w:rFonts w:hint="eastAsia" w:ascii="宋体" w:hAnsi="宋体" w:eastAsia="宋体" w:cs="宋体"/>
          <w:b w:val="0"/>
          <w:bCs w:val="0"/>
          <w:color w:val="auto"/>
          <w:kern w:val="0"/>
          <w:sz w:val="24"/>
          <w:highlight w:val="none"/>
          <w:lang w:val="en-US" w:eastAsia="zh-CN"/>
        </w:rPr>
        <w:t>2</w:t>
      </w:r>
      <w:r>
        <w:rPr>
          <w:rFonts w:hint="eastAsia" w:ascii="宋体" w:hAnsi="宋体" w:eastAsia="宋体" w:cs="宋体"/>
          <w:b w:val="0"/>
          <w:bCs w:val="0"/>
          <w:color w:val="auto"/>
          <w:kern w:val="0"/>
          <w:sz w:val="24"/>
          <w:highlight w:val="none"/>
        </w:rPr>
        <w:t>投标人情况介绍（主要产品、规模等</w:t>
      </w:r>
      <w:r>
        <w:rPr>
          <w:rFonts w:hint="eastAsia" w:ascii="宋体" w:hAnsi="宋体" w:eastAsia="宋体" w:cs="宋体"/>
          <w:b w:val="0"/>
          <w:bCs w:val="0"/>
          <w:color w:val="auto"/>
          <w:kern w:val="0"/>
          <w:sz w:val="24"/>
          <w:highlight w:val="none"/>
          <w:lang w:val="en-US" w:eastAsia="zh-CN"/>
        </w:rPr>
        <w:t>,</w:t>
      </w:r>
      <w:r>
        <w:rPr>
          <w:rFonts w:hint="eastAsia" w:ascii="宋体" w:hAnsi="宋体" w:eastAsia="宋体" w:cs="宋体"/>
          <w:b w:val="0"/>
          <w:bCs w:val="0"/>
          <w:color w:val="auto"/>
          <w:kern w:val="0"/>
          <w:sz w:val="24"/>
          <w:highlight w:val="none"/>
        </w:rPr>
        <w:t>格式自拟）</w:t>
      </w:r>
    </w:p>
    <w:p w14:paraId="279832ED">
      <w:pPr>
        <w:widowControl/>
        <w:spacing w:line="360" w:lineRule="auto"/>
        <w:ind w:firstLine="480" w:firstLineChars="200"/>
        <w:jc w:val="left"/>
        <w:rPr>
          <w:rFonts w:hint="eastAsia" w:ascii="宋体" w:hAnsi="宋体" w:eastAsia="宋体" w:cs="宋体"/>
          <w:b w:val="0"/>
          <w:bCs w:val="0"/>
          <w:color w:val="auto"/>
          <w:kern w:val="0"/>
          <w:sz w:val="24"/>
          <w:highlight w:val="none"/>
        </w:rPr>
      </w:pPr>
    </w:p>
    <w:p w14:paraId="7E872F32">
      <w:pPr>
        <w:widowControl/>
        <w:spacing w:line="360" w:lineRule="auto"/>
        <w:ind w:firstLine="480" w:firstLineChars="200"/>
        <w:jc w:val="left"/>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10.</w:t>
      </w:r>
      <w:r>
        <w:rPr>
          <w:rFonts w:hint="eastAsia" w:ascii="宋体" w:hAnsi="宋体" w:eastAsia="宋体" w:cs="宋体"/>
          <w:b w:val="0"/>
          <w:bCs w:val="0"/>
          <w:color w:val="auto"/>
          <w:kern w:val="0"/>
          <w:sz w:val="24"/>
          <w:highlight w:val="none"/>
          <w:lang w:val="en-US" w:eastAsia="zh-CN"/>
        </w:rPr>
        <w:t>3</w:t>
      </w:r>
      <w:r>
        <w:rPr>
          <w:rFonts w:hint="eastAsia" w:ascii="宋体" w:hAnsi="宋体" w:eastAsia="宋体" w:cs="宋体"/>
          <w:b w:val="0"/>
          <w:bCs w:val="0"/>
          <w:color w:val="auto"/>
          <w:kern w:val="0"/>
          <w:sz w:val="24"/>
          <w:highlight w:val="none"/>
          <w:lang w:eastAsia="zh-CN"/>
        </w:rPr>
        <w:t>评标办法技术标</w:t>
      </w:r>
      <w:r>
        <w:rPr>
          <w:rFonts w:hint="eastAsia" w:ascii="宋体" w:hAnsi="宋体" w:eastAsia="宋体" w:cs="宋体"/>
          <w:b w:val="0"/>
          <w:bCs w:val="0"/>
          <w:color w:val="auto"/>
          <w:sz w:val="24"/>
          <w:highlight w:val="none"/>
        </w:rPr>
        <w:t>安装</w:t>
      </w:r>
      <w:r>
        <w:rPr>
          <w:rFonts w:hint="eastAsia" w:ascii="宋体" w:hAnsi="宋体" w:eastAsia="宋体" w:cs="宋体"/>
          <w:b w:val="0"/>
          <w:bCs w:val="0"/>
          <w:color w:val="auto"/>
          <w:kern w:val="0"/>
          <w:sz w:val="24"/>
          <w:highlight w:val="none"/>
        </w:rPr>
        <w:t>施工组织方案 （</w:t>
      </w:r>
      <w:r>
        <w:rPr>
          <w:rFonts w:hint="eastAsia" w:ascii="宋体" w:hAnsi="宋体" w:eastAsia="宋体" w:cs="宋体"/>
          <w:b w:val="0"/>
          <w:bCs w:val="0"/>
          <w:color w:val="auto"/>
          <w:kern w:val="0"/>
          <w:sz w:val="24"/>
          <w:highlight w:val="none"/>
          <w:lang w:eastAsia="zh-CN"/>
        </w:rPr>
        <w:t>详见评标办法，</w:t>
      </w:r>
      <w:r>
        <w:rPr>
          <w:rFonts w:hint="eastAsia" w:ascii="宋体" w:hAnsi="宋体" w:eastAsia="宋体" w:cs="宋体"/>
          <w:b w:val="0"/>
          <w:bCs w:val="0"/>
          <w:color w:val="auto"/>
          <w:kern w:val="0"/>
          <w:sz w:val="24"/>
          <w:highlight w:val="none"/>
        </w:rPr>
        <w:t>根据项目要求提供，格式自拟）</w:t>
      </w:r>
    </w:p>
    <w:p w14:paraId="2252E632">
      <w:pPr>
        <w:widowControl/>
        <w:spacing w:line="360" w:lineRule="auto"/>
        <w:ind w:firstLine="480" w:firstLineChars="200"/>
        <w:jc w:val="left"/>
        <w:rPr>
          <w:rFonts w:hint="eastAsia" w:ascii="宋体" w:hAnsi="宋体" w:eastAsia="宋体" w:cs="宋体"/>
          <w:b w:val="0"/>
          <w:bCs w:val="0"/>
          <w:color w:val="auto"/>
          <w:kern w:val="0"/>
          <w:sz w:val="24"/>
          <w:highlight w:val="none"/>
        </w:rPr>
      </w:pPr>
    </w:p>
    <w:p w14:paraId="662AB803">
      <w:pPr>
        <w:widowControl/>
        <w:spacing w:line="360" w:lineRule="auto"/>
        <w:ind w:firstLine="480" w:firstLineChars="200"/>
        <w:jc w:val="left"/>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10.</w:t>
      </w:r>
      <w:r>
        <w:rPr>
          <w:rFonts w:hint="eastAsia" w:ascii="宋体" w:hAnsi="宋体" w:eastAsia="宋体" w:cs="宋体"/>
          <w:b w:val="0"/>
          <w:bCs w:val="0"/>
          <w:color w:val="auto"/>
          <w:kern w:val="0"/>
          <w:sz w:val="24"/>
          <w:highlight w:val="none"/>
          <w:lang w:val="en-US" w:eastAsia="zh-CN"/>
        </w:rPr>
        <w:t>4</w:t>
      </w:r>
      <w:r>
        <w:rPr>
          <w:rFonts w:hint="eastAsia" w:ascii="宋体" w:hAnsi="宋体" w:eastAsia="宋体" w:cs="宋体"/>
          <w:b w:val="0"/>
          <w:bCs w:val="0"/>
          <w:color w:val="auto"/>
          <w:kern w:val="0"/>
          <w:sz w:val="24"/>
          <w:highlight w:val="none"/>
          <w:lang w:eastAsia="zh-CN"/>
        </w:rPr>
        <w:t>评标办法商务标（企业综合实力）</w:t>
      </w:r>
      <w:r>
        <w:rPr>
          <w:rFonts w:hint="eastAsia" w:ascii="宋体" w:hAnsi="宋体" w:eastAsia="宋体" w:cs="宋体"/>
          <w:b w:val="0"/>
          <w:bCs w:val="0"/>
          <w:color w:val="auto"/>
          <w:kern w:val="0"/>
          <w:sz w:val="24"/>
          <w:highlight w:val="none"/>
          <w:lang w:val="en-US" w:eastAsia="zh-CN"/>
        </w:rPr>
        <w:t>需要提供的资料</w:t>
      </w:r>
      <w:r>
        <w:rPr>
          <w:rFonts w:hint="eastAsia" w:ascii="宋体" w:hAnsi="宋体" w:eastAsia="宋体" w:cs="宋体"/>
          <w:b w:val="0"/>
          <w:bCs w:val="0"/>
          <w:color w:val="auto"/>
          <w:kern w:val="0"/>
          <w:sz w:val="24"/>
          <w:highlight w:val="none"/>
        </w:rPr>
        <w:t>（</w:t>
      </w:r>
      <w:r>
        <w:rPr>
          <w:rFonts w:hint="eastAsia" w:ascii="宋体" w:hAnsi="宋体" w:eastAsia="宋体" w:cs="宋体"/>
          <w:b w:val="0"/>
          <w:bCs w:val="0"/>
          <w:color w:val="auto"/>
          <w:kern w:val="0"/>
          <w:sz w:val="24"/>
          <w:highlight w:val="none"/>
          <w:lang w:eastAsia="zh-CN"/>
        </w:rPr>
        <w:t>详见评标办法</w:t>
      </w:r>
      <w:r>
        <w:rPr>
          <w:rFonts w:hint="eastAsia" w:ascii="宋体" w:hAnsi="宋体" w:eastAsia="宋体" w:cs="宋体"/>
          <w:b w:val="0"/>
          <w:bCs w:val="0"/>
          <w:color w:val="auto"/>
          <w:kern w:val="0"/>
          <w:sz w:val="24"/>
          <w:highlight w:val="none"/>
        </w:rPr>
        <w:t>）</w:t>
      </w:r>
    </w:p>
    <w:p w14:paraId="4534C95C">
      <w:pPr>
        <w:widowControl/>
        <w:spacing w:line="360" w:lineRule="auto"/>
        <w:ind w:firstLine="480" w:firstLineChars="200"/>
        <w:jc w:val="left"/>
        <w:rPr>
          <w:rFonts w:hint="eastAsia" w:ascii="宋体" w:hAnsi="宋体" w:eastAsia="宋体" w:cs="宋体"/>
          <w:b w:val="0"/>
          <w:bCs w:val="0"/>
          <w:color w:val="auto"/>
          <w:kern w:val="0"/>
          <w:sz w:val="24"/>
          <w:highlight w:val="none"/>
          <w:lang w:val="en-US" w:eastAsia="zh-CN"/>
        </w:rPr>
      </w:pPr>
    </w:p>
    <w:p w14:paraId="4E356770">
      <w:pPr>
        <w:widowControl/>
        <w:spacing w:line="360" w:lineRule="auto"/>
        <w:ind w:firstLine="480" w:firstLineChars="200"/>
        <w:jc w:val="left"/>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lang w:val="en-US" w:eastAsia="zh-CN"/>
        </w:rPr>
        <w:t>10.5评标办法其他需要提供的资料</w:t>
      </w:r>
      <w:r>
        <w:rPr>
          <w:rFonts w:hint="eastAsia" w:ascii="宋体" w:hAnsi="宋体" w:eastAsia="宋体" w:cs="宋体"/>
          <w:b w:val="0"/>
          <w:bCs w:val="0"/>
          <w:color w:val="auto"/>
          <w:kern w:val="0"/>
          <w:sz w:val="24"/>
          <w:highlight w:val="none"/>
        </w:rPr>
        <w:t>（</w:t>
      </w:r>
      <w:r>
        <w:rPr>
          <w:rFonts w:hint="eastAsia" w:ascii="宋体" w:hAnsi="宋体" w:eastAsia="宋体" w:cs="宋体"/>
          <w:b w:val="0"/>
          <w:bCs w:val="0"/>
          <w:color w:val="auto"/>
          <w:kern w:val="0"/>
          <w:sz w:val="24"/>
          <w:highlight w:val="none"/>
          <w:lang w:eastAsia="zh-CN"/>
        </w:rPr>
        <w:t>详见评标办法</w:t>
      </w:r>
      <w:r>
        <w:rPr>
          <w:rFonts w:hint="eastAsia" w:ascii="宋体" w:hAnsi="宋体" w:eastAsia="宋体" w:cs="宋体"/>
          <w:b w:val="0"/>
          <w:bCs w:val="0"/>
          <w:color w:val="auto"/>
          <w:kern w:val="0"/>
          <w:sz w:val="24"/>
          <w:highlight w:val="none"/>
        </w:rPr>
        <w:t>）</w:t>
      </w:r>
    </w:p>
    <w:p w14:paraId="016BB903">
      <w:pPr>
        <w:pStyle w:val="71"/>
        <w:spacing w:line="480" w:lineRule="exact"/>
        <w:jc w:val="both"/>
        <w:outlineLvl w:val="1"/>
        <w:rPr>
          <w:rFonts w:hint="eastAsia" w:ascii="宋体" w:hAnsi="宋体" w:eastAsia="宋体" w:cs="宋体"/>
          <w:b/>
          <w:color w:val="auto"/>
          <w:szCs w:val="24"/>
          <w:highlight w:val="none"/>
        </w:rPr>
      </w:pPr>
    </w:p>
    <w:p w14:paraId="17FB06E7">
      <w:pPr>
        <w:rPr>
          <w:rFonts w:hint="eastAsia" w:ascii="宋体" w:hAnsi="宋体" w:eastAsia="宋体" w:cs="宋体"/>
          <w:b/>
          <w:color w:val="auto"/>
          <w:szCs w:val="24"/>
          <w:highlight w:val="none"/>
        </w:rPr>
      </w:pPr>
    </w:p>
    <w:p w14:paraId="40E2C47A">
      <w:pPr>
        <w:pStyle w:val="2"/>
        <w:rPr>
          <w:rFonts w:hint="eastAsia" w:ascii="宋体" w:hAnsi="宋体" w:eastAsia="宋体" w:cs="宋体"/>
          <w:b/>
          <w:color w:val="auto"/>
          <w:szCs w:val="24"/>
          <w:highlight w:val="none"/>
        </w:rPr>
      </w:pPr>
    </w:p>
    <w:p w14:paraId="20CE6853">
      <w:pPr>
        <w:pStyle w:val="5"/>
        <w:rPr>
          <w:rFonts w:hint="eastAsia" w:ascii="宋体" w:hAnsi="宋体" w:eastAsia="宋体" w:cs="宋体"/>
          <w:b/>
          <w:color w:val="auto"/>
          <w:szCs w:val="24"/>
          <w:highlight w:val="none"/>
        </w:rPr>
      </w:pPr>
    </w:p>
    <w:p w14:paraId="2FCFC77D">
      <w:pPr>
        <w:rPr>
          <w:rFonts w:hint="eastAsia" w:ascii="宋体" w:hAnsi="宋体" w:eastAsia="宋体" w:cs="宋体"/>
          <w:b/>
          <w:color w:val="auto"/>
          <w:szCs w:val="24"/>
          <w:highlight w:val="none"/>
        </w:rPr>
      </w:pPr>
    </w:p>
    <w:p w14:paraId="43A566FB">
      <w:pPr>
        <w:pStyle w:val="2"/>
        <w:rPr>
          <w:rFonts w:hint="eastAsia" w:ascii="宋体" w:hAnsi="宋体" w:eastAsia="宋体" w:cs="宋体"/>
          <w:b/>
          <w:color w:val="auto"/>
          <w:szCs w:val="24"/>
          <w:highlight w:val="none"/>
        </w:rPr>
      </w:pPr>
    </w:p>
    <w:p w14:paraId="5BD8AD69">
      <w:pPr>
        <w:pStyle w:val="5"/>
        <w:rPr>
          <w:rFonts w:hint="eastAsia" w:ascii="宋体" w:hAnsi="宋体" w:eastAsia="宋体" w:cs="宋体"/>
          <w:b/>
          <w:color w:val="auto"/>
          <w:szCs w:val="24"/>
          <w:highlight w:val="none"/>
        </w:rPr>
      </w:pPr>
    </w:p>
    <w:p w14:paraId="74F3869D">
      <w:pPr>
        <w:rPr>
          <w:rFonts w:hint="eastAsia" w:ascii="宋体" w:hAnsi="宋体" w:eastAsia="宋体" w:cs="宋体"/>
          <w:b/>
          <w:color w:val="auto"/>
          <w:szCs w:val="24"/>
          <w:highlight w:val="none"/>
        </w:rPr>
      </w:pPr>
    </w:p>
    <w:p w14:paraId="40D4BBBF">
      <w:pPr>
        <w:pStyle w:val="2"/>
        <w:rPr>
          <w:rFonts w:hint="eastAsia" w:ascii="宋体" w:hAnsi="宋体" w:eastAsia="宋体" w:cs="宋体"/>
          <w:b/>
          <w:color w:val="auto"/>
          <w:szCs w:val="24"/>
          <w:highlight w:val="none"/>
        </w:rPr>
      </w:pPr>
    </w:p>
    <w:p w14:paraId="15CEB16F">
      <w:pPr>
        <w:pStyle w:val="5"/>
        <w:rPr>
          <w:rFonts w:hint="eastAsia" w:ascii="宋体" w:hAnsi="宋体" w:eastAsia="宋体" w:cs="宋体"/>
          <w:b/>
          <w:color w:val="auto"/>
          <w:szCs w:val="24"/>
          <w:highlight w:val="none"/>
        </w:rPr>
      </w:pPr>
    </w:p>
    <w:p w14:paraId="6B4842F9">
      <w:pPr>
        <w:rPr>
          <w:rFonts w:hint="eastAsia" w:ascii="宋体" w:hAnsi="宋体" w:eastAsia="宋体" w:cs="宋体"/>
          <w:b/>
          <w:color w:val="auto"/>
          <w:szCs w:val="24"/>
          <w:highlight w:val="none"/>
        </w:rPr>
      </w:pPr>
    </w:p>
    <w:p w14:paraId="4A8BC20E">
      <w:pPr>
        <w:pStyle w:val="2"/>
        <w:rPr>
          <w:rFonts w:hint="eastAsia" w:ascii="宋体" w:hAnsi="宋体" w:eastAsia="宋体" w:cs="宋体"/>
          <w:b/>
          <w:color w:val="auto"/>
          <w:szCs w:val="24"/>
          <w:highlight w:val="none"/>
        </w:rPr>
      </w:pPr>
    </w:p>
    <w:p w14:paraId="2C4A7E34">
      <w:pPr>
        <w:pStyle w:val="5"/>
        <w:rPr>
          <w:rFonts w:hint="eastAsia" w:ascii="宋体" w:hAnsi="宋体" w:eastAsia="宋体" w:cs="宋体"/>
          <w:b/>
          <w:color w:val="auto"/>
          <w:szCs w:val="24"/>
          <w:highlight w:val="none"/>
        </w:rPr>
      </w:pPr>
    </w:p>
    <w:p w14:paraId="51D98074">
      <w:pPr>
        <w:rPr>
          <w:rFonts w:hint="eastAsia" w:ascii="宋体" w:hAnsi="宋体" w:eastAsia="宋体" w:cs="宋体"/>
          <w:b/>
          <w:color w:val="auto"/>
          <w:szCs w:val="24"/>
          <w:highlight w:val="none"/>
        </w:rPr>
      </w:pPr>
    </w:p>
    <w:p w14:paraId="46672B31">
      <w:pPr>
        <w:pStyle w:val="2"/>
        <w:rPr>
          <w:rFonts w:hint="eastAsia" w:ascii="宋体" w:hAnsi="宋体" w:eastAsia="宋体" w:cs="宋体"/>
          <w:b/>
          <w:color w:val="auto"/>
          <w:szCs w:val="24"/>
          <w:highlight w:val="none"/>
        </w:rPr>
      </w:pPr>
    </w:p>
    <w:p w14:paraId="3118CCB7">
      <w:pPr>
        <w:pStyle w:val="5"/>
        <w:rPr>
          <w:rFonts w:hint="eastAsia" w:ascii="宋体" w:hAnsi="宋体" w:eastAsia="宋体" w:cs="宋体"/>
          <w:b/>
          <w:color w:val="auto"/>
          <w:szCs w:val="24"/>
          <w:highlight w:val="none"/>
        </w:rPr>
      </w:pPr>
    </w:p>
    <w:p w14:paraId="3D245CAA">
      <w:pPr>
        <w:rPr>
          <w:rFonts w:hint="eastAsia" w:ascii="宋体" w:hAnsi="宋体" w:eastAsia="宋体" w:cs="宋体"/>
          <w:b/>
          <w:color w:val="auto"/>
          <w:szCs w:val="24"/>
          <w:highlight w:val="none"/>
        </w:rPr>
      </w:pPr>
    </w:p>
    <w:p w14:paraId="43ADA9FD">
      <w:pPr>
        <w:pStyle w:val="2"/>
        <w:rPr>
          <w:rFonts w:hint="eastAsia" w:ascii="宋体" w:hAnsi="宋体" w:eastAsia="宋体" w:cs="宋体"/>
          <w:b/>
          <w:color w:val="auto"/>
          <w:szCs w:val="24"/>
          <w:highlight w:val="none"/>
        </w:rPr>
      </w:pPr>
    </w:p>
    <w:p w14:paraId="795C5533">
      <w:pPr>
        <w:pStyle w:val="5"/>
        <w:rPr>
          <w:rFonts w:hint="eastAsia" w:ascii="宋体" w:hAnsi="宋体" w:eastAsia="宋体" w:cs="宋体"/>
          <w:b/>
          <w:color w:val="auto"/>
          <w:szCs w:val="24"/>
          <w:highlight w:val="none"/>
        </w:rPr>
      </w:pPr>
    </w:p>
    <w:p w14:paraId="1E0ACF1B">
      <w:pPr>
        <w:rPr>
          <w:rFonts w:hint="eastAsia" w:ascii="宋体" w:hAnsi="宋体" w:eastAsia="宋体" w:cs="宋体"/>
          <w:highlight w:val="none"/>
        </w:rPr>
      </w:pPr>
    </w:p>
    <w:p w14:paraId="1E248441">
      <w:pPr>
        <w:pStyle w:val="71"/>
        <w:spacing w:line="480" w:lineRule="exact"/>
        <w:jc w:val="both"/>
        <w:outlineLvl w:val="1"/>
        <w:rPr>
          <w:rFonts w:hint="eastAsia" w:ascii="宋体" w:hAnsi="宋体" w:eastAsia="宋体" w:cs="宋体"/>
          <w:b/>
          <w:color w:val="auto"/>
          <w:szCs w:val="24"/>
          <w:highlight w:val="none"/>
        </w:rPr>
      </w:pPr>
    </w:p>
    <w:bookmarkEnd w:id="117"/>
    <w:bookmarkEnd w:id="118"/>
    <w:bookmarkEnd w:id="119"/>
    <w:bookmarkEnd w:id="120"/>
    <w:p w14:paraId="78BE5DC8">
      <w:pPr>
        <w:widowControl/>
        <w:spacing w:line="360" w:lineRule="auto"/>
        <w:ind w:firstLine="482" w:firstLineChars="200"/>
        <w:jc w:val="both"/>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lang w:val="en-US" w:eastAsia="zh-CN"/>
        </w:rPr>
        <w:t xml:space="preserve">10.6           </w:t>
      </w:r>
      <w:r>
        <w:rPr>
          <w:rFonts w:hint="eastAsia" w:ascii="宋体" w:hAnsi="宋体" w:eastAsia="宋体" w:cs="宋体"/>
          <w:b/>
          <w:bCs/>
          <w:color w:val="auto"/>
          <w:kern w:val="0"/>
          <w:sz w:val="24"/>
          <w:highlight w:val="none"/>
        </w:rPr>
        <w:t>项目主要管理人员（主要从业人员及其技术资格）一览表</w:t>
      </w:r>
    </w:p>
    <w:p w14:paraId="73E2C83A">
      <w:pPr>
        <w:widowControl/>
        <w:spacing w:line="360" w:lineRule="auto"/>
        <w:ind w:firstLine="480" w:firstLineChars="20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（根据项目需要设定）</w:t>
      </w:r>
    </w:p>
    <w:p w14:paraId="138FD83D">
      <w:pPr>
        <w:widowControl/>
        <w:snapToGrid w:val="0"/>
        <w:spacing w:line="360" w:lineRule="auto"/>
        <w:ind w:firstLine="480" w:firstLineChars="200"/>
        <w:jc w:val="left"/>
        <w:rPr>
          <w:rFonts w:hint="eastAsia" w:ascii="宋体" w:hAnsi="宋体" w:eastAsia="宋体" w:cs="宋体"/>
          <w:color w:val="auto"/>
          <w:kern w:val="0"/>
          <w:sz w:val="24"/>
          <w:highlight w:val="none"/>
        </w:rPr>
      </w:pPr>
    </w:p>
    <w:tbl>
      <w:tblPr>
        <w:tblStyle w:val="48"/>
        <w:tblW w:w="995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72"/>
        <w:gridCol w:w="1172"/>
        <w:gridCol w:w="1941"/>
        <w:gridCol w:w="1471"/>
        <w:gridCol w:w="1891"/>
        <w:gridCol w:w="2311"/>
      </w:tblGrid>
      <w:tr w14:paraId="6A455B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172" w:type="dxa"/>
            <w:tcBorders>
              <w:top w:val="single" w:color="auto" w:sz="4" w:space="0"/>
              <w:left w:val="single" w:color="auto" w:sz="4" w:space="0"/>
              <w:bottom w:val="single" w:color="auto" w:sz="4" w:space="0"/>
              <w:right w:val="single" w:color="auto" w:sz="4" w:space="0"/>
            </w:tcBorders>
            <w:noWrap w:val="0"/>
            <w:vAlign w:val="center"/>
          </w:tcPr>
          <w:p w14:paraId="2089EE3B">
            <w:pPr>
              <w:widowControl/>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0B4C6F1">
            <w:pPr>
              <w:widowControl/>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941" w:type="dxa"/>
            <w:tcBorders>
              <w:top w:val="single" w:color="auto" w:sz="4" w:space="0"/>
              <w:left w:val="single" w:color="auto" w:sz="4" w:space="0"/>
              <w:bottom w:val="single" w:color="auto" w:sz="4" w:space="0"/>
              <w:right w:val="single" w:color="auto" w:sz="4" w:space="0"/>
            </w:tcBorders>
            <w:noWrap w:val="0"/>
            <w:vAlign w:val="center"/>
          </w:tcPr>
          <w:p w14:paraId="49F5190D">
            <w:pPr>
              <w:widowControl/>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专业技术资格</w:t>
            </w:r>
          </w:p>
        </w:tc>
        <w:tc>
          <w:tcPr>
            <w:tcW w:w="1471" w:type="dxa"/>
            <w:tcBorders>
              <w:top w:val="single" w:color="auto" w:sz="4" w:space="0"/>
              <w:left w:val="single" w:color="auto" w:sz="4" w:space="0"/>
              <w:bottom w:val="single" w:color="auto" w:sz="4" w:space="0"/>
              <w:right w:val="single" w:color="auto" w:sz="4" w:space="0"/>
            </w:tcBorders>
            <w:noWrap w:val="0"/>
            <w:vAlign w:val="center"/>
          </w:tcPr>
          <w:p w14:paraId="0145972D">
            <w:pPr>
              <w:widowControl/>
              <w:snapToGri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证书编号</w:t>
            </w:r>
          </w:p>
        </w:tc>
        <w:tc>
          <w:tcPr>
            <w:tcW w:w="1891" w:type="dxa"/>
            <w:tcBorders>
              <w:top w:val="single" w:color="auto" w:sz="4" w:space="0"/>
              <w:left w:val="single" w:color="auto" w:sz="4" w:space="0"/>
              <w:bottom w:val="single" w:color="auto" w:sz="4" w:space="0"/>
              <w:right w:val="single" w:color="auto" w:sz="4" w:space="0"/>
            </w:tcBorders>
            <w:noWrap w:val="0"/>
            <w:vAlign w:val="center"/>
          </w:tcPr>
          <w:p w14:paraId="3BDFA00E">
            <w:pPr>
              <w:widowControl/>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参加本单位工作时间</w:t>
            </w:r>
          </w:p>
        </w:tc>
        <w:tc>
          <w:tcPr>
            <w:tcW w:w="2311" w:type="dxa"/>
            <w:tcBorders>
              <w:top w:val="single" w:color="auto" w:sz="4" w:space="0"/>
              <w:left w:val="single" w:color="auto" w:sz="4" w:space="0"/>
              <w:bottom w:val="single" w:color="auto" w:sz="4" w:space="0"/>
              <w:right w:val="single" w:color="auto" w:sz="4" w:space="0"/>
            </w:tcBorders>
            <w:noWrap w:val="0"/>
            <w:vAlign w:val="center"/>
          </w:tcPr>
          <w:p w14:paraId="6527BA91">
            <w:pPr>
              <w:widowControl/>
              <w:snapToGrid w:val="0"/>
              <w:jc w:val="center"/>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备注</w:t>
            </w:r>
          </w:p>
        </w:tc>
      </w:tr>
      <w:tr w14:paraId="0638B5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1172" w:type="dxa"/>
            <w:tcBorders>
              <w:top w:val="single" w:color="auto" w:sz="4" w:space="0"/>
              <w:left w:val="single" w:color="auto" w:sz="4" w:space="0"/>
              <w:bottom w:val="single" w:color="auto" w:sz="4" w:space="0"/>
              <w:right w:val="single" w:color="auto" w:sz="4" w:space="0"/>
            </w:tcBorders>
            <w:noWrap w:val="0"/>
            <w:vAlign w:val="top"/>
          </w:tcPr>
          <w:p w14:paraId="695C2F96">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172" w:type="dxa"/>
            <w:tcBorders>
              <w:top w:val="single" w:color="auto" w:sz="4" w:space="0"/>
              <w:left w:val="single" w:color="auto" w:sz="4" w:space="0"/>
              <w:bottom w:val="single" w:color="auto" w:sz="4" w:space="0"/>
              <w:right w:val="single" w:color="auto" w:sz="4" w:space="0"/>
            </w:tcBorders>
            <w:noWrap w:val="0"/>
            <w:vAlign w:val="top"/>
          </w:tcPr>
          <w:p w14:paraId="66D4F988">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941" w:type="dxa"/>
            <w:tcBorders>
              <w:top w:val="single" w:color="auto" w:sz="4" w:space="0"/>
              <w:left w:val="single" w:color="auto" w:sz="4" w:space="0"/>
              <w:bottom w:val="single" w:color="auto" w:sz="4" w:space="0"/>
              <w:right w:val="single" w:color="auto" w:sz="4" w:space="0"/>
            </w:tcBorders>
            <w:noWrap w:val="0"/>
            <w:vAlign w:val="top"/>
          </w:tcPr>
          <w:p w14:paraId="1285ED07">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471" w:type="dxa"/>
            <w:tcBorders>
              <w:top w:val="single" w:color="auto" w:sz="4" w:space="0"/>
              <w:left w:val="single" w:color="auto" w:sz="4" w:space="0"/>
              <w:bottom w:val="single" w:color="auto" w:sz="4" w:space="0"/>
              <w:right w:val="single" w:color="auto" w:sz="4" w:space="0"/>
            </w:tcBorders>
            <w:noWrap w:val="0"/>
            <w:vAlign w:val="top"/>
          </w:tcPr>
          <w:p w14:paraId="7C5CC04B">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891" w:type="dxa"/>
            <w:tcBorders>
              <w:top w:val="single" w:color="auto" w:sz="4" w:space="0"/>
              <w:left w:val="single" w:color="auto" w:sz="4" w:space="0"/>
              <w:bottom w:val="single" w:color="auto" w:sz="4" w:space="0"/>
              <w:right w:val="single" w:color="auto" w:sz="4" w:space="0"/>
            </w:tcBorders>
            <w:noWrap w:val="0"/>
            <w:vAlign w:val="top"/>
          </w:tcPr>
          <w:p w14:paraId="75267D2A">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2311" w:type="dxa"/>
            <w:tcBorders>
              <w:top w:val="single" w:color="auto" w:sz="4" w:space="0"/>
              <w:left w:val="single" w:color="auto" w:sz="4" w:space="0"/>
              <w:bottom w:val="single" w:color="auto" w:sz="4" w:space="0"/>
              <w:right w:val="single" w:color="auto" w:sz="4" w:space="0"/>
            </w:tcBorders>
            <w:noWrap w:val="0"/>
            <w:vAlign w:val="top"/>
          </w:tcPr>
          <w:p w14:paraId="2A80FF0B">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r>
      <w:tr w14:paraId="027BFD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1172" w:type="dxa"/>
            <w:tcBorders>
              <w:top w:val="single" w:color="auto" w:sz="4" w:space="0"/>
              <w:left w:val="single" w:color="auto" w:sz="4" w:space="0"/>
              <w:bottom w:val="single" w:color="auto" w:sz="4" w:space="0"/>
              <w:right w:val="single" w:color="auto" w:sz="4" w:space="0"/>
            </w:tcBorders>
            <w:noWrap w:val="0"/>
            <w:vAlign w:val="top"/>
          </w:tcPr>
          <w:p w14:paraId="7AEC988E">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172" w:type="dxa"/>
            <w:tcBorders>
              <w:top w:val="single" w:color="auto" w:sz="4" w:space="0"/>
              <w:left w:val="single" w:color="auto" w:sz="4" w:space="0"/>
              <w:bottom w:val="single" w:color="auto" w:sz="4" w:space="0"/>
              <w:right w:val="single" w:color="auto" w:sz="4" w:space="0"/>
            </w:tcBorders>
            <w:noWrap w:val="0"/>
            <w:vAlign w:val="top"/>
          </w:tcPr>
          <w:p w14:paraId="71F4B261">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941" w:type="dxa"/>
            <w:tcBorders>
              <w:top w:val="single" w:color="auto" w:sz="4" w:space="0"/>
              <w:left w:val="single" w:color="auto" w:sz="4" w:space="0"/>
              <w:bottom w:val="single" w:color="auto" w:sz="4" w:space="0"/>
              <w:right w:val="single" w:color="auto" w:sz="4" w:space="0"/>
            </w:tcBorders>
            <w:noWrap w:val="0"/>
            <w:vAlign w:val="top"/>
          </w:tcPr>
          <w:p w14:paraId="458E0593">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471" w:type="dxa"/>
            <w:tcBorders>
              <w:top w:val="single" w:color="auto" w:sz="4" w:space="0"/>
              <w:left w:val="single" w:color="auto" w:sz="4" w:space="0"/>
              <w:bottom w:val="single" w:color="auto" w:sz="4" w:space="0"/>
              <w:right w:val="single" w:color="auto" w:sz="4" w:space="0"/>
            </w:tcBorders>
            <w:noWrap w:val="0"/>
            <w:vAlign w:val="top"/>
          </w:tcPr>
          <w:p w14:paraId="5095EC65">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891" w:type="dxa"/>
            <w:tcBorders>
              <w:top w:val="single" w:color="auto" w:sz="4" w:space="0"/>
              <w:left w:val="single" w:color="auto" w:sz="4" w:space="0"/>
              <w:bottom w:val="single" w:color="auto" w:sz="4" w:space="0"/>
              <w:right w:val="single" w:color="auto" w:sz="4" w:space="0"/>
            </w:tcBorders>
            <w:noWrap w:val="0"/>
            <w:vAlign w:val="top"/>
          </w:tcPr>
          <w:p w14:paraId="1D6CC8E0">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2311" w:type="dxa"/>
            <w:tcBorders>
              <w:top w:val="single" w:color="auto" w:sz="4" w:space="0"/>
              <w:left w:val="single" w:color="auto" w:sz="4" w:space="0"/>
              <w:bottom w:val="single" w:color="auto" w:sz="4" w:space="0"/>
              <w:right w:val="single" w:color="auto" w:sz="4" w:space="0"/>
            </w:tcBorders>
            <w:noWrap w:val="0"/>
            <w:vAlign w:val="top"/>
          </w:tcPr>
          <w:p w14:paraId="02DD81C1">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r>
      <w:tr w14:paraId="2FDDC9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1172" w:type="dxa"/>
            <w:tcBorders>
              <w:top w:val="single" w:color="auto" w:sz="4" w:space="0"/>
              <w:left w:val="single" w:color="auto" w:sz="4" w:space="0"/>
              <w:bottom w:val="single" w:color="auto" w:sz="4" w:space="0"/>
              <w:right w:val="single" w:color="auto" w:sz="4" w:space="0"/>
            </w:tcBorders>
            <w:noWrap w:val="0"/>
            <w:vAlign w:val="top"/>
          </w:tcPr>
          <w:p w14:paraId="4DAD5397">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172" w:type="dxa"/>
            <w:tcBorders>
              <w:top w:val="single" w:color="auto" w:sz="4" w:space="0"/>
              <w:left w:val="single" w:color="auto" w:sz="4" w:space="0"/>
              <w:bottom w:val="single" w:color="auto" w:sz="4" w:space="0"/>
              <w:right w:val="single" w:color="auto" w:sz="4" w:space="0"/>
            </w:tcBorders>
            <w:noWrap w:val="0"/>
            <w:vAlign w:val="top"/>
          </w:tcPr>
          <w:p w14:paraId="2D4A093A">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941" w:type="dxa"/>
            <w:tcBorders>
              <w:top w:val="single" w:color="auto" w:sz="4" w:space="0"/>
              <w:left w:val="single" w:color="auto" w:sz="4" w:space="0"/>
              <w:bottom w:val="single" w:color="auto" w:sz="4" w:space="0"/>
              <w:right w:val="single" w:color="auto" w:sz="4" w:space="0"/>
            </w:tcBorders>
            <w:noWrap w:val="0"/>
            <w:vAlign w:val="top"/>
          </w:tcPr>
          <w:p w14:paraId="2A756A10">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471" w:type="dxa"/>
            <w:tcBorders>
              <w:top w:val="single" w:color="auto" w:sz="4" w:space="0"/>
              <w:left w:val="single" w:color="auto" w:sz="4" w:space="0"/>
              <w:bottom w:val="single" w:color="auto" w:sz="4" w:space="0"/>
              <w:right w:val="single" w:color="auto" w:sz="4" w:space="0"/>
            </w:tcBorders>
            <w:noWrap w:val="0"/>
            <w:vAlign w:val="top"/>
          </w:tcPr>
          <w:p w14:paraId="14C8F10E">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891" w:type="dxa"/>
            <w:tcBorders>
              <w:top w:val="single" w:color="auto" w:sz="4" w:space="0"/>
              <w:left w:val="single" w:color="auto" w:sz="4" w:space="0"/>
              <w:bottom w:val="single" w:color="auto" w:sz="4" w:space="0"/>
              <w:right w:val="single" w:color="auto" w:sz="4" w:space="0"/>
            </w:tcBorders>
            <w:noWrap w:val="0"/>
            <w:vAlign w:val="top"/>
          </w:tcPr>
          <w:p w14:paraId="6A54EDBD">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2311" w:type="dxa"/>
            <w:tcBorders>
              <w:top w:val="single" w:color="auto" w:sz="4" w:space="0"/>
              <w:left w:val="single" w:color="auto" w:sz="4" w:space="0"/>
              <w:bottom w:val="single" w:color="auto" w:sz="4" w:space="0"/>
              <w:right w:val="single" w:color="auto" w:sz="4" w:space="0"/>
            </w:tcBorders>
            <w:noWrap w:val="0"/>
            <w:vAlign w:val="top"/>
          </w:tcPr>
          <w:p w14:paraId="404AA567">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r>
      <w:tr w14:paraId="1DDB6D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1172" w:type="dxa"/>
            <w:tcBorders>
              <w:top w:val="single" w:color="auto" w:sz="4" w:space="0"/>
              <w:left w:val="single" w:color="auto" w:sz="4" w:space="0"/>
              <w:bottom w:val="single" w:color="auto" w:sz="4" w:space="0"/>
              <w:right w:val="single" w:color="auto" w:sz="4" w:space="0"/>
            </w:tcBorders>
            <w:noWrap w:val="0"/>
            <w:vAlign w:val="top"/>
          </w:tcPr>
          <w:p w14:paraId="677CE949">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172" w:type="dxa"/>
            <w:tcBorders>
              <w:top w:val="single" w:color="auto" w:sz="4" w:space="0"/>
              <w:left w:val="single" w:color="auto" w:sz="4" w:space="0"/>
              <w:bottom w:val="single" w:color="auto" w:sz="4" w:space="0"/>
              <w:right w:val="single" w:color="auto" w:sz="4" w:space="0"/>
            </w:tcBorders>
            <w:noWrap w:val="0"/>
            <w:vAlign w:val="top"/>
          </w:tcPr>
          <w:p w14:paraId="0C68BB74">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941" w:type="dxa"/>
            <w:tcBorders>
              <w:top w:val="single" w:color="auto" w:sz="4" w:space="0"/>
              <w:left w:val="single" w:color="auto" w:sz="4" w:space="0"/>
              <w:bottom w:val="single" w:color="auto" w:sz="4" w:space="0"/>
              <w:right w:val="single" w:color="auto" w:sz="4" w:space="0"/>
            </w:tcBorders>
            <w:noWrap w:val="0"/>
            <w:vAlign w:val="top"/>
          </w:tcPr>
          <w:p w14:paraId="254A490C">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471" w:type="dxa"/>
            <w:tcBorders>
              <w:top w:val="single" w:color="auto" w:sz="4" w:space="0"/>
              <w:left w:val="single" w:color="auto" w:sz="4" w:space="0"/>
              <w:bottom w:val="single" w:color="auto" w:sz="4" w:space="0"/>
              <w:right w:val="single" w:color="auto" w:sz="4" w:space="0"/>
            </w:tcBorders>
            <w:noWrap w:val="0"/>
            <w:vAlign w:val="top"/>
          </w:tcPr>
          <w:p w14:paraId="4BB7625C">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891" w:type="dxa"/>
            <w:tcBorders>
              <w:top w:val="single" w:color="auto" w:sz="4" w:space="0"/>
              <w:left w:val="single" w:color="auto" w:sz="4" w:space="0"/>
              <w:bottom w:val="single" w:color="auto" w:sz="4" w:space="0"/>
              <w:right w:val="single" w:color="auto" w:sz="4" w:space="0"/>
            </w:tcBorders>
            <w:noWrap w:val="0"/>
            <w:vAlign w:val="top"/>
          </w:tcPr>
          <w:p w14:paraId="7C9D935D">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2311" w:type="dxa"/>
            <w:tcBorders>
              <w:top w:val="single" w:color="auto" w:sz="4" w:space="0"/>
              <w:left w:val="single" w:color="auto" w:sz="4" w:space="0"/>
              <w:bottom w:val="single" w:color="auto" w:sz="4" w:space="0"/>
              <w:right w:val="single" w:color="auto" w:sz="4" w:space="0"/>
            </w:tcBorders>
            <w:noWrap w:val="0"/>
            <w:vAlign w:val="top"/>
          </w:tcPr>
          <w:p w14:paraId="16AA9B0E">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r>
      <w:tr w14:paraId="635181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1172" w:type="dxa"/>
            <w:tcBorders>
              <w:top w:val="single" w:color="auto" w:sz="4" w:space="0"/>
              <w:left w:val="single" w:color="auto" w:sz="4" w:space="0"/>
              <w:bottom w:val="single" w:color="auto" w:sz="4" w:space="0"/>
              <w:right w:val="single" w:color="auto" w:sz="4" w:space="0"/>
            </w:tcBorders>
            <w:noWrap w:val="0"/>
            <w:vAlign w:val="top"/>
          </w:tcPr>
          <w:p w14:paraId="264814DD">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172" w:type="dxa"/>
            <w:tcBorders>
              <w:top w:val="single" w:color="auto" w:sz="4" w:space="0"/>
              <w:left w:val="single" w:color="auto" w:sz="4" w:space="0"/>
              <w:bottom w:val="single" w:color="auto" w:sz="4" w:space="0"/>
              <w:right w:val="single" w:color="auto" w:sz="4" w:space="0"/>
            </w:tcBorders>
            <w:noWrap w:val="0"/>
            <w:vAlign w:val="top"/>
          </w:tcPr>
          <w:p w14:paraId="3EAFFA05">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941" w:type="dxa"/>
            <w:tcBorders>
              <w:top w:val="single" w:color="auto" w:sz="4" w:space="0"/>
              <w:left w:val="single" w:color="auto" w:sz="4" w:space="0"/>
              <w:bottom w:val="single" w:color="auto" w:sz="4" w:space="0"/>
              <w:right w:val="single" w:color="auto" w:sz="4" w:space="0"/>
            </w:tcBorders>
            <w:noWrap w:val="0"/>
            <w:vAlign w:val="top"/>
          </w:tcPr>
          <w:p w14:paraId="008C55A1">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471" w:type="dxa"/>
            <w:tcBorders>
              <w:top w:val="single" w:color="auto" w:sz="4" w:space="0"/>
              <w:left w:val="single" w:color="auto" w:sz="4" w:space="0"/>
              <w:bottom w:val="single" w:color="auto" w:sz="4" w:space="0"/>
              <w:right w:val="single" w:color="auto" w:sz="4" w:space="0"/>
            </w:tcBorders>
            <w:noWrap w:val="0"/>
            <w:vAlign w:val="top"/>
          </w:tcPr>
          <w:p w14:paraId="07259C74">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1891" w:type="dxa"/>
            <w:tcBorders>
              <w:top w:val="single" w:color="auto" w:sz="4" w:space="0"/>
              <w:left w:val="single" w:color="auto" w:sz="4" w:space="0"/>
              <w:bottom w:val="single" w:color="auto" w:sz="4" w:space="0"/>
              <w:right w:val="single" w:color="auto" w:sz="4" w:space="0"/>
            </w:tcBorders>
            <w:noWrap w:val="0"/>
            <w:vAlign w:val="top"/>
          </w:tcPr>
          <w:p w14:paraId="60BD65EF">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c>
          <w:tcPr>
            <w:tcW w:w="2311" w:type="dxa"/>
            <w:tcBorders>
              <w:top w:val="single" w:color="auto" w:sz="4" w:space="0"/>
              <w:left w:val="single" w:color="auto" w:sz="4" w:space="0"/>
              <w:bottom w:val="single" w:color="auto" w:sz="4" w:space="0"/>
              <w:right w:val="single" w:color="auto" w:sz="4" w:space="0"/>
            </w:tcBorders>
            <w:noWrap w:val="0"/>
            <w:vAlign w:val="top"/>
          </w:tcPr>
          <w:p w14:paraId="226F5DFC">
            <w:pPr>
              <w:widowControl/>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tc>
      </w:tr>
    </w:tbl>
    <w:p w14:paraId="19184DD6">
      <w:pPr>
        <w:widowControl/>
        <w:snapToGrid w:val="0"/>
        <w:spacing w:line="360" w:lineRule="auto"/>
        <w:jc w:val="left"/>
        <w:rPr>
          <w:rFonts w:hint="eastAsia" w:ascii="宋体" w:hAnsi="宋体" w:eastAsia="宋体" w:cs="宋体"/>
          <w:color w:val="auto"/>
          <w:kern w:val="0"/>
          <w:sz w:val="24"/>
          <w:highlight w:val="none"/>
        </w:rPr>
      </w:pPr>
    </w:p>
    <w:p w14:paraId="33B85B7B">
      <w:pPr>
        <w:widowControl/>
        <w:snapToGri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注：项目负责人需提供身份证、劳动合同等相关证件扫描件，其他人员需提供身份证及相关证件扫描件。                      </w:t>
      </w:r>
    </w:p>
    <w:p w14:paraId="0CD0CB34">
      <w:pPr>
        <w:pStyle w:val="3"/>
        <w:spacing w:line="360" w:lineRule="auto"/>
        <w:ind w:firstLine="420" w:firstLineChars="200"/>
        <w:rPr>
          <w:rFonts w:hint="eastAsia" w:ascii="宋体" w:hAnsi="宋体" w:eastAsia="宋体" w:cs="宋体"/>
          <w:color w:val="auto"/>
          <w:highlight w:val="none"/>
        </w:rPr>
      </w:pPr>
    </w:p>
    <w:p w14:paraId="57396801">
      <w:pPr>
        <w:widowControl/>
        <w:snapToGrid w:val="0"/>
        <w:spacing w:line="360" w:lineRule="auto"/>
        <w:ind w:firstLine="480" w:firstLineChars="200"/>
        <w:jc w:val="left"/>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 xml:space="preserve">                                投标人：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（全称并加盖公章）</w:t>
      </w:r>
    </w:p>
    <w:p w14:paraId="08A56AAB">
      <w:pPr>
        <w:widowControl/>
        <w:spacing w:line="360" w:lineRule="auto"/>
        <w:jc w:val="right"/>
        <w:rPr>
          <w:rFonts w:hint="eastAsia" w:ascii="宋体" w:hAnsi="宋体" w:eastAsia="宋体" w:cs="宋体"/>
          <w:b/>
          <w:color w:val="auto"/>
          <w:kern w:val="0"/>
          <w:sz w:val="24"/>
          <w:highlight w:val="none"/>
        </w:rPr>
      </w:pPr>
      <w:r>
        <w:rPr>
          <w:rFonts w:hint="eastAsia" w:ascii="宋体" w:hAnsi="宋体" w:eastAsia="宋体" w:cs="宋体"/>
          <w:b/>
          <w:color w:val="auto"/>
          <w:kern w:val="0"/>
          <w:sz w:val="32"/>
          <w:szCs w:val="32"/>
          <w:highlight w:val="none"/>
        </w:rPr>
        <w:t xml:space="preserve"> </w:t>
      </w:r>
      <w:r>
        <w:rPr>
          <w:rFonts w:hint="eastAsia" w:ascii="宋体" w:hAnsi="宋体" w:eastAsia="宋体" w:cs="宋体"/>
          <w:b/>
          <w:color w:val="auto"/>
          <w:kern w:val="0"/>
          <w:sz w:val="32"/>
          <w:szCs w:val="32"/>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b/>
          <w:color w:val="auto"/>
          <w:kern w:val="0"/>
          <w:sz w:val="32"/>
          <w:szCs w:val="32"/>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b/>
          <w:color w:val="auto"/>
          <w:kern w:val="0"/>
          <w:sz w:val="32"/>
          <w:szCs w:val="32"/>
          <w:highlight w:val="none"/>
          <w:u w:val="single"/>
        </w:rPr>
        <w:t xml:space="preserve">    </w:t>
      </w:r>
      <w:r>
        <w:rPr>
          <w:rFonts w:hint="eastAsia" w:ascii="宋体" w:hAnsi="宋体" w:eastAsia="宋体" w:cs="宋体"/>
          <w:color w:val="auto"/>
          <w:kern w:val="0"/>
          <w:sz w:val="24"/>
          <w:highlight w:val="none"/>
        </w:rPr>
        <w:t xml:space="preserve">日  </w:t>
      </w:r>
    </w:p>
    <w:p w14:paraId="76D32400">
      <w:pPr>
        <w:widowControl/>
        <w:spacing w:line="440" w:lineRule="exact"/>
        <w:jc w:val="both"/>
        <w:rPr>
          <w:rFonts w:hint="eastAsia" w:ascii="宋体" w:hAnsi="宋体" w:eastAsia="宋体" w:cs="宋体"/>
          <w:b w:val="0"/>
          <w:bCs w:val="0"/>
          <w:color w:val="auto"/>
          <w:kern w:val="0"/>
          <w:sz w:val="24"/>
          <w:highlight w:val="none"/>
        </w:rPr>
      </w:pPr>
      <w:r>
        <w:rPr>
          <w:rFonts w:hint="eastAsia" w:ascii="宋体" w:hAnsi="宋体" w:eastAsia="宋体" w:cs="宋体"/>
          <w:b/>
          <w:color w:val="auto"/>
          <w:kern w:val="0"/>
          <w:sz w:val="32"/>
          <w:szCs w:val="32"/>
          <w:highlight w:val="none"/>
        </w:rPr>
        <w:br w:type="page"/>
      </w:r>
      <w:r>
        <w:rPr>
          <w:rFonts w:hint="eastAsia" w:ascii="宋体" w:hAnsi="宋体" w:eastAsia="宋体" w:cs="宋体"/>
          <w:b/>
          <w:bCs/>
          <w:color w:val="auto"/>
          <w:kern w:val="0"/>
          <w:sz w:val="24"/>
          <w:highlight w:val="none"/>
          <w:lang w:val="en-US" w:eastAsia="zh-CN"/>
        </w:rPr>
        <w:t xml:space="preserve">10.7                     </w:t>
      </w:r>
      <w:r>
        <w:rPr>
          <w:rFonts w:hint="eastAsia" w:ascii="宋体" w:hAnsi="宋体" w:eastAsia="宋体" w:cs="宋体"/>
          <w:b/>
          <w:bCs/>
          <w:color w:val="auto"/>
          <w:kern w:val="0"/>
          <w:sz w:val="24"/>
          <w:highlight w:val="none"/>
          <w:lang w:eastAsia="zh-CN"/>
        </w:rPr>
        <w:t>投标人认为有必要</w:t>
      </w:r>
      <w:r>
        <w:rPr>
          <w:rFonts w:hint="eastAsia" w:ascii="宋体" w:hAnsi="宋体" w:eastAsia="宋体" w:cs="宋体"/>
          <w:b/>
          <w:bCs/>
          <w:color w:val="auto"/>
          <w:kern w:val="0"/>
          <w:sz w:val="24"/>
          <w:highlight w:val="none"/>
        </w:rPr>
        <w:t>提供的</w:t>
      </w:r>
      <w:r>
        <w:rPr>
          <w:rFonts w:hint="eastAsia" w:ascii="宋体" w:hAnsi="宋体" w:eastAsia="宋体" w:cs="宋体"/>
          <w:b/>
          <w:bCs/>
          <w:color w:val="auto"/>
          <w:kern w:val="0"/>
          <w:sz w:val="24"/>
          <w:highlight w:val="none"/>
          <w:lang w:eastAsia="zh-CN"/>
        </w:rPr>
        <w:t>其他</w:t>
      </w:r>
      <w:r>
        <w:rPr>
          <w:rFonts w:hint="eastAsia" w:ascii="宋体" w:hAnsi="宋体" w:eastAsia="宋体" w:cs="宋体"/>
          <w:b/>
          <w:bCs/>
          <w:color w:val="auto"/>
          <w:kern w:val="0"/>
          <w:sz w:val="24"/>
          <w:highlight w:val="none"/>
        </w:rPr>
        <w:t>证明材料</w:t>
      </w:r>
    </w:p>
    <w:p w14:paraId="33683E98">
      <w:pPr>
        <w:widowControl/>
        <w:jc w:val="left"/>
        <w:rPr>
          <w:rFonts w:hint="eastAsia" w:ascii="宋体" w:hAnsi="宋体" w:eastAsia="宋体" w:cs="宋体"/>
          <w:b/>
          <w:color w:val="auto"/>
          <w:kern w:val="0"/>
          <w:sz w:val="32"/>
          <w:szCs w:val="32"/>
          <w:highlight w:val="none"/>
        </w:rPr>
      </w:pPr>
    </w:p>
    <w:p w14:paraId="28F4B8F6">
      <w:pPr>
        <w:pStyle w:val="2"/>
        <w:rPr>
          <w:rFonts w:hint="eastAsia" w:ascii="宋体" w:hAnsi="宋体" w:eastAsia="宋体" w:cs="宋体"/>
          <w:b/>
          <w:color w:val="auto"/>
          <w:kern w:val="0"/>
          <w:sz w:val="32"/>
          <w:szCs w:val="32"/>
          <w:highlight w:val="none"/>
        </w:rPr>
      </w:pPr>
    </w:p>
    <w:p w14:paraId="6A5052EB">
      <w:pPr>
        <w:pStyle w:val="5"/>
        <w:rPr>
          <w:rFonts w:hint="eastAsia" w:ascii="宋体" w:hAnsi="宋体" w:eastAsia="宋体" w:cs="宋体"/>
          <w:b/>
          <w:color w:val="auto"/>
          <w:kern w:val="0"/>
          <w:sz w:val="32"/>
          <w:szCs w:val="32"/>
          <w:highlight w:val="none"/>
        </w:rPr>
      </w:pPr>
    </w:p>
    <w:p w14:paraId="09BB7EC7">
      <w:pPr>
        <w:rPr>
          <w:rFonts w:hint="eastAsia" w:ascii="宋体" w:hAnsi="宋体" w:eastAsia="宋体" w:cs="宋体"/>
          <w:b/>
          <w:color w:val="auto"/>
          <w:kern w:val="0"/>
          <w:sz w:val="32"/>
          <w:szCs w:val="32"/>
          <w:highlight w:val="none"/>
        </w:rPr>
      </w:pPr>
    </w:p>
    <w:p w14:paraId="423FF8AA">
      <w:pPr>
        <w:pStyle w:val="2"/>
        <w:rPr>
          <w:rFonts w:hint="eastAsia" w:ascii="宋体" w:hAnsi="宋体" w:eastAsia="宋体" w:cs="宋体"/>
          <w:b/>
          <w:color w:val="auto"/>
          <w:kern w:val="0"/>
          <w:sz w:val="32"/>
          <w:szCs w:val="32"/>
          <w:highlight w:val="none"/>
        </w:rPr>
      </w:pPr>
    </w:p>
    <w:p w14:paraId="775D4BD0">
      <w:pPr>
        <w:pStyle w:val="5"/>
        <w:rPr>
          <w:rFonts w:hint="eastAsia" w:ascii="宋体" w:hAnsi="宋体" w:eastAsia="宋体" w:cs="宋体"/>
          <w:b/>
          <w:color w:val="auto"/>
          <w:kern w:val="0"/>
          <w:sz w:val="32"/>
          <w:szCs w:val="32"/>
          <w:highlight w:val="none"/>
        </w:rPr>
      </w:pPr>
    </w:p>
    <w:p w14:paraId="2DC6C1DC">
      <w:pPr>
        <w:rPr>
          <w:rFonts w:hint="eastAsia" w:ascii="宋体" w:hAnsi="宋体" w:eastAsia="宋体" w:cs="宋体"/>
          <w:b/>
          <w:color w:val="auto"/>
          <w:kern w:val="0"/>
          <w:sz w:val="32"/>
          <w:szCs w:val="32"/>
          <w:highlight w:val="none"/>
        </w:rPr>
      </w:pPr>
    </w:p>
    <w:p w14:paraId="19B3D7EA">
      <w:pPr>
        <w:pStyle w:val="2"/>
        <w:rPr>
          <w:rFonts w:hint="eastAsia" w:ascii="宋体" w:hAnsi="宋体" w:eastAsia="宋体" w:cs="宋体"/>
          <w:b/>
          <w:color w:val="auto"/>
          <w:kern w:val="0"/>
          <w:sz w:val="32"/>
          <w:szCs w:val="32"/>
          <w:highlight w:val="none"/>
        </w:rPr>
      </w:pPr>
    </w:p>
    <w:p w14:paraId="6080801F">
      <w:pPr>
        <w:pStyle w:val="5"/>
        <w:rPr>
          <w:rFonts w:hint="eastAsia" w:ascii="宋体" w:hAnsi="宋体" w:eastAsia="宋体" w:cs="宋体"/>
          <w:b/>
          <w:color w:val="auto"/>
          <w:kern w:val="0"/>
          <w:sz w:val="32"/>
          <w:szCs w:val="32"/>
          <w:highlight w:val="none"/>
        </w:rPr>
      </w:pPr>
    </w:p>
    <w:p w14:paraId="4402B393">
      <w:pPr>
        <w:rPr>
          <w:rFonts w:hint="eastAsia" w:ascii="宋体" w:hAnsi="宋体" w:eastAsia="宋体" w:cs="宋体"/>
          <w:b/>
          <w:color w:val="auto"/>
          <w:kern w:val="0"/>
          <w:sz w:val="32"/>
          <w:szCs w:val="32"/>
          <w:highlight w:val="none"/>
        </w:rPr>
      </w:pPr>
    </w:p>
    <w:p w14:paraId="5400602E">
      <w:pPr>
        <w:pStyle w:val="2"/>
        <w:rPr>
          <w:rFonts w:hint="eastAsia" w:ascii="宋体" w:hAnsi="宋体" w:eastAsia="宋体" w:cs="宋体"/>
          <w:b/>
          <w:color w:val="auto"/>
          <w:kern w:val="0"/>
          <w:sz w:val="32"/>
          <w:szCs w:val="32"/>
          <w:highlight w:val="none"/>
        </w:rPr>
      </w:pPr>
    </w:p>
    <w:p w14:paraId="6D127622">
      <w:pPr>
        <w:pStyle w:val="5"/>
        <w:rPr>
          <w:rFonts w:hint="eastAsia" w:ascii="宋体" w:hAnsi="宋体" w:eastAsia="宋体" w:cs="宋体"/>
          <w:b/>
          <w:color w:val="auto"/>
          <w:kern w:val="0"/>
          <w:sz w:val="32"/>
          <w:szCs w:val="32"/>
          <w:highlight w:val="none"/>
        </w:rPr>
      </w:pPr>
    </w:p>
    <w:p w14:paraId="1F0B61C9">
      <w:pPr>
        <w:rPr>
          <w:rFonts w:hint="eastAsia" w:ascii="宋体" w:hAnsi="宋体" w:eastAsia="宋体" w:cs="宋体"/>
          <w:b/>
          <w:color w:val="auto"/>
          <w:kern w:val="0"/>
          <w:sz w:val="32"/>
          <w:szCs w:val="32"/>
          <w:highlight w:val="none"/>
        </w:rPr>
      </w:pPr>
    </w:p>
    <w:p w14:paraId="525CB041">
      <w:pPr>
        <w:pStyle w:val="2"/>
        <w:rPr>
          <w:rFonts w:hint="eastAsia" w:ascii="宋体" w:hAnsi="宋体" w:eastAsia="宋体" w:cs="宋体"/>
          <w:b/>
          <w:color w:val="auto"/>
          <w:kern w:val="0"/>
          <w:sz w:val="32"/>
          <w:szCs w:val="32"/>
          <w:highlight w:val="none"/>
        </w:rPr>
      </w:pPr>
    </w:p>
    <w:p w14:paraId="3B043017">
      <w:pPr>
        <w:pStyle w:val="5"/>
        <w:rPr>
          <w:rFonts w:hint="eastAsia" w:ascii="宋体" w:hAnsi="宋体" w:eastAsia="宋体" w:cs="宋体"/>
          <w:b/>
          <w:color w:val="auto"/>
          <w:kern w:val="0"/>
          <w:sz w:val="32"/>
          <w:szCs w:val="32"/>
          <w:highlight w:val="none"/>
        </w:rPr>
      </w:pPr>
    </w:p>
    <w:p w14:paraId="40EC65B4">
      <w:pPr>
        <w:rPr>
          <w:rFonts w:hint="eastAsia" w:ascii="宋体" w:hAnsi="宋体" w:eastAsia="宋体" w:cs="宋体"/>
          <w:b/>
          <w:color w:val="auto"/>
          <w:kern w:val="0"/>
          <w:sz w:val="32"/>
          <w:szCs w:val="32"/>
          <w:highlight w:val="none"/>
        </w:rPr>
      </w:pPr>
    </w:p>
    <w:p w14:paraId="77B2B31C">
      <w:pPr>
        <w:pStyle w:val="2"/>
        <w:rPr>
          <w:rFonts w:hint="eastAsia" w:ascii="宋体" w:hAnsi="宋体" w:eastAsia="宋体" w:cs="宋体"/>
          <w:b/>
          <w:color w:val="auto"/>
          <w:kern w:val="0"/>
          <w:sz w:val="32"/>
          <w:szCs w:val="32"/>
          <w:highlight w:val="none"/>
        </w:rPr>
      </w:pPr>
    </w:p>
    <w:p w14:paraId="64092C42">
      <w:pPr>
        <w:pStyle w:val="5"/>
        <w:rPr>
          <w:rFonts w:hint="eastAsia" w:ascii="宋体" w:hAnsi="宋体" w:eastAsia="宋体" w:cs="宋体"/>
          <w:b/>
          <w:color w:val="auto"/>
          <w:kern w:val="0"/>
          <w:sz w:val="32"/>
          <w:szCs w:val="32"/>
          <w:highlight w:val="none"/>
        </w:rPr>
      </w:pPr>
    </w:p>
    <w:p w14:paraId="1806F843">
      <w:pPr>
        <w:spacing w:line="360" w:lineRule="auto"/>
        <w:jc w:val="both"/>
        <w:rPr>
          <w:rFonts w:hint="eastAsia" w:ascii="宋体" w:hAnsi="宋体" w:eastAsia="宋体" w:cs="宋体"/>
          <w:color w:val="auto"/>
          <w:sz w:val="24"/>
          <w:szCs w:val="24"/>
          <w:highlight w:val="none"/>
        </w:rPr>
      </w:pPr>
    </w:p>
    <w:p w14:paraId="6732D4FD">
      <w:pPr>
        <w:widowControl/>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512E3E1F">
      <w:pPr>
        <w:outlineLvl w:val="1"/>
        <w:rPr>
          <w:rFonts w:hint="eastAsia" w:ascii="宋体" w:hAnsi="宋体" w:eastAsia="宋体" w:cs="宋体"/>
          <w:b/>
          <w:color w:val="auto"/>
          <w:kern w:val="0"/>
          <w:sz w:val="32"/>
          <w:szCs w:val="32"/>
          <w:highlight w:val="none"/>
        </w:rPr>
      </w:pPr>
      <w:bookmarkStart w:id="121" w:name="_Toc13294"/>
      <w:r>
        <w:rPr>
          <w:rFonts w:hint="eastAsia" w:ascii="宋体" w:hAnsi="宋体" w:eastAsia="宋体" w:cs="宋体"/>
          <w:b/>
          <w:color w:val="auto"/>
          <w:kern w:val="0"/>
          <w:sz w:val="32"/>
          <w:szCs w:val="32"/>
          <w:highlight w:val="none"/>
        </w:rPr>
        <w:t>附件1</w:t>
      </w:r>
      <w:r>
        <w:rPr>
          <w:rFonts w:hint="eastAsia" w:ascii="宋体" w:hAnsi="宋体" w:eastAsia="宋体" w:cs="宋体"/>
          <w:b/>
          <w:color w:val="auto"/>
          <w:kern w:val="0"/>
          <w:sz w:val="32"/>
          <w:szCs w:val="32"/>
          <w:highlight w:val="none"/>
          <w:lang w:val="en-US" w:eastAsia="zh-CN"/>
        </w:rPr>
        <w:t>1</w:t>
      </w:r>
      <w:r>
        <w:rPr>
          <w:rFonts w:hint="eastAsia" w:ascii="宋体" w:hAnsi="宋体" w:eastAsia="宋体" w:cs="宋体"/>
          <w:b/>
          <w:color w:val="auto"/>
          <w:kern w:val="0"/>
          <w:sz w:val="32"/>
          <w:szCs w:val="32"/>
          <w:highlight w:val="none"/>
        </w:rPr>
        <w:t xml:space="preserve"> 投标人活动承诺书</w:t>
      </w:r>
      <w:bookmarkEnd w:id="121"/>
    </w:p>
    <w:p w14:paraId="442CD815">
      <w:pPr>
        <w:autoSpaceDE w:val="0"/>
        <w:autoSpaceDN w:val="0"/>
        <w:adjustRightInd w:val="0"/>
        <w:ind w:right="-34" w:rightChars="-16"/>
        <w:jc w:val="center"/>
        <w:outlineLvl w:val="0"/>
        <w:rPr>
          <w:rFonts w:hint="eastAsia" w:ascii="宋体" w:hAnsi="宋体" w:eastAsia="宋体" w:cs="宋体"/>
          <w:b/>
          <w:kern w:val="0"/>
          <w:sz w:val="36"/>
          <w:szCs w:val="36"/>
          <w:highlight w:val="none"/>
        </w:rPr>
      </w:pPr>
      <w:bookmarkStart w:id="122" w:name="_Toc1025"/>
      <w:bookmarkStart w:id="123" w:name="_Toc26401"/>
      <w:bookmarkStart w:id="124" w:name="_Toc12362"/>
      <w:bookmarkStart w:id="125" w:name="_Toc23136"/>
      <w:bookmarkStart w:id="126" w:name="_Toc31504"/>
      <w:bookmarkStart w:id="127" w:name="_Toc11855"/>
      <w:bookmarkStart w:id="128" w:name="_Toc17941"/>
      <w:r>
        <w:rPr>
          <w:rFonts w:hint="eastAsia" w:ascii="宋体" w:hAnsi="宋体" w:eastAsia="宋体" w:cs="宋体"/>
          <w:b/>
          <w:kern w:val="0"/>
          <w:sz w:val="36"/>
          <w:szCs w:val="36"/>
          <w:highlight w:val="none"/>
        </w:rPr>
        <w:t>承诺书</w:t>
      </w:r>
      <w:bookmarkEnd w:id="122"/>
    </w:p>
    <w:p w14:paraId="440BB8B2">
      <w:pPr>
        <w:autoSpaceDE w:val="0"/>
        <w:autoSpaceDN w:val="0"/>
        <w:adjustRightInd w:val="0"/>
        <w:spacing w:line="400" w:lineRule="exact"/>
        <w:ind w:right="-34" w:rightChars="-16"/>
        <w:jc w:val="center"/>
        <w:outlineLvl w:val="9"/>
        <w:rPr>
          <w:rFonts w:hint="eastAsia" w:ascii="宋体" w:hAnsi="宋体" w:eastAsia="宋体" w:cs="宋体"/>
          <w:b/>
          <w:kern w:val="0"/>
          <w:sz w:val="44"/>
          <w:szCs w:val="44"/>
          <w:highlight w:val="none"/>
        </w:rPr>
      </w:pPr>
    </w:p>
    <w:p w14:paraId="75B32870">
      <w:pPr>
        <w:pStyle w:val="45"/>
        <w:spacing w:before="0" w:beforeAutospacing="0" w:after="0" w:afterAutospacing="0" w:line="400" w:lineRule="exact"/>
        <w:rPr>
          <w:rFonts w:hint="eastAsia" w:ascii="宋体" w:hAnsi="宋体" w:eastAsia="宋体" w:cs="宋体"/>
          <w:kern w:val="2"/>
          <w:highlight w:val="none"/>
        </w:rPr>
      </w:pPr>
      <w:r>
        <w:rPr>
          <w:rFonts w:hint="eastAsia" w:ascii="宋体" w:hAnsi="宋体" w:eastAsia="宋体" w:cs="宋体"/>
          <w:b/>
          <w:highlight w:val="none"/>
        </w:rPr>
        <w:t xml:space="preserve">     </w:t>
      </w:r>
      <w:r>
        <w:rPr>
          <w:rFonts w:hint="eastAsia" w:ascii="宋体" w:hAnsi="宋体" w:eastAsia="宋体" w:cs="宋体"/>
          <w:b/>
          <w:sz w:val="30"/>
          <w:szCs w:val="30"/>
          <w:highlight w:val="none"/>
        </w:rPr>
        <w:t xml:space="preserve"> </w:t>
      </w:r>
      <w:r>
        <w:rPr>
          <w:rFonts w:hint="eastAsia" w:ascii="宋体" w:hAnsi="宋体" w:eastAsia="宋体" w:cs="宋体"/>
          <w:kern w:val="2"/>
          <w:highlight w:val="none"/>
        </w:rPr>
        <w:t>我单位承诺，在</w:t>
      </w:r>
      <w:r>
        <w:rPr>
          <w:rFonts w:hint="eastAsia" w:ascii="宋体" w:hAnsi="宋体" w:eastAsia="宋体" w:cs="宋体"/>
          <w:kern w:val="2"/>
          <w:highlight w:val="none"/>
          <w:u w:val="single"/>
        </w:rPr>
        <w:t xml:space="preserve">              </w:t>
      </w:r>
      <w:r>
        <w:rPr>
          <w:rFonts w:hint="eastAsia" w:ascii="宋体" w:hAnsi="宋体" w:eastAsia="宋体" w:cs="宋体"/>
          <w:kern w:val="2"/>
          <w:highlight w:val="none"/>
        </w:rPr>
        <w:t>项目招投标活动中，自觉遵守《中华人民共和国招标投标法》、《中华人民共和国招标投标法实施条例》、河南省实施《中华人民共和国招标投标法》办法等招标投标相关法律、法规和制度规定，如有违反，愿承担相关法律责任。</w:t>
      </w:r>
    </w:p>
    <w:p w14:paraId="27A0F12C">
      <w:pPr>
        <w:pStyle w:val="45"/>
        <w:spacing w:before="0" w:beforeAutospacing="0" w:after="0" w:afterAutospacing="0" w:line="400" w:lineRule="exact"/>
        <w:rPr>
          <w:rFonts w:hint="eastAsia" w:ascii="宋体" w:hAnsi="宋体" w:eastAsia="宋体" w:cs="宋体"/>
          <w:kern w:val="2"/>
          <w:highlight w:val="none"/>
        </w:rPr>
      </w:pPr>
      <w:r>
        <w:rPr>
          <w:rFonts w:hint="eastAsia" w:ascii="宋体" w:hAnsi="宋体" w:eastAsia="宋体" w:cs="宋体"/>
          <w:kern w:val="2"/>
          <w:highlight w:val="none"/>
        </w:rPr>
        <w:t>　　一、将遵循公开、公正和诚实信用的原则自愿参加本项目的投标;</w:t>
      </w:r>
    </w:p>
    <w:p w14:paraId="6BC6AD4C">
      <w:pPr>
        <w:pStyle w:val="45"/>
        <w:spacing w:before="0" w:beforeAutospacing="0" w:after="0" w:afterAutospacing="0" w:line="400" w:lineRule="exact"/>
        <w:rPr>
          <w:rFonts w:hint="eastAsia" w:ascii="宋体" w:hAnsi="宋体" w:eastAsia="宋体" w:cs="宋体"/>
          <w:kern w:val="2"/>
          <w:highlight w:val="none"/>
        </w:rPr>
      </w:pPr>
      <w:r>
        <w:rPr>
          <w:rFonts w:hint="eastAsia" w:ascii="宋体" w:hAnsi="宋体" w:eastAsia="宋体" w:cs="宋体"/>
          <w:kern w:val="2"/>
          <w:highlight w:val="none"/>
        </w:rPr>
        <w:t>　　二、所提供的一切材料都是真实、有效、合法的;</w:t>
      </w:r>
    </w:p>
    <w:p w14:paraId="072543D4">
      <w:pPr>
        <w:pStyle w:val="45"/>
        <w:spacing w:before="0" w:beforeAutospacing="0" w:after="0" w:afterAutospacing="0" w:line="400" w:lineRule="exact"/>
        <w:rPr>
          <w:rFonts w:hint="eastAsia" w:ascii="宋体" w:hAnsi="宋体" w:eastAsia="宋体" w:cs="宋体"/>
          <w:kern w:val="2"/>
          <w:highlight w:val="none"/>
        </w:rPr>
      </w:pPr>
      <w:r>
        <w:rPr>
          <w:rFonts w:hint="eastAsia" w:ascii="宋体" w:hAnsi="宋体" w:eastAsia="宋体" w:cs="宋体"/>
          <w:kern w:val="2"/>
          <w:highlight w:val="none"/>
        </w:rPr>
        <w:t>　　三、不出借、转让资质证书，不借用、挂靠他人资质证书，以他人名义投标或者以其他方式弄虚作假，骗取中标;</w:t>
      </w:r>
    </w:p>
    <w:p w14:paraId="70F764C8">
      <w:pPr>
        <w:pStyle w:val="45"/>
        <w:spacing w:before="0" w:beforeAutospacing="0" w:after="0" w:afterAutospacing="0" w:line="400" w:lineRule="exact"/>
        <w:rPr>
          <w:rFonts w:hint="eastAsia" w:ascii="宋体" w:hAnsi="宋体" w:eastAsia="宋体" w:cs="宋体"/>
          <w:kern w:val="2"/>
          <w:highlight w:val="none"/>
        </w:rPr>
      </w:pPr>
      <w:r>
        <w:rPr>
          <w:rFonts w:hint="eastAsia" w:ascii="宋体" w:hAnsi="宋体" w:eastAsia="宋体" w:cs="宋体"/>
          <w:kern w:val="2"/>
          <w:highlight w:val="none"/>
        </w:rPr>
        <w:t>　　四、不与其他投标人相互串通投标报价，不排挤其他投标人的公平竞争、损害招标人的合法权益;</w:t>
      </w:r>
    </w:p>
    <w:p w14:paraId="1237DEF2">
      <w:pPr>
        <w:pStyle w:val="45"/>
        <w:spacing w:before="0" w:beforeAutospacing="0" w:after="0" w:afterAutospacing="0" w:line="400" w:lineRule="exact"/>
        <w:rPr>
          <w:rFonts w:hint="eastAsia" w:ascii="宋体" w:hAnsi="宋体" w:eastAsia="宋体" w:cs="宋体"/>
          <w:kern w:val="2"/>
          <w:highlight w:val="none"/>
        </w:rPr>
      </w:pPr>
      <w:r>
        <w:rPr>
          <w:rFonts w:hint="eastAsia" w:ascii="宋体" w:hAnsi="宋体" w:eastAsia="宋体" w:cs="宋体"/>
          <w:kern w:val="2"/>
          <w:highlight w:val="none"/>
        </w:rPr>
        <w:t>　　五、不与招标人、招标代理机构或其他投标人串通投标，损害国家利益、社会公共利益或者他人的合法权益;</w:t>
      </w:r>
    </w:p>
    <w:p w14:paraId="603F2671">
      <w:pPr>
        <w:pStyle w:val="45"/>
        <w:spacing w:before="0" w:beforeAutospacing="0" w:after="0" w:afterAutospacing="0" w:line="400" w:lineRule="exact"/>
        <w:rPr>
          <w:rFonts w:hint="eastAsia" w:ascii="宋体" w:hAnsi="宋体" w:eastAsia="宋体" w:cs="宋体"/>
          <w:kern w:val="2"/>
          <w:highlight w:val="none"/>
        </w:rPr>
      </w:pPr>
      <w:r>
        <w:rPr>
          <w:rFonts w:hint="eastAsia" w:ascii="宋体" w:hAnsi="宋体" w:eastAsia="宋体" w:cs="宋体"/>
          <w:kern w:val="2"/>
          <w:highlight w:val="none"/>
        </w:rPr>
        <w:t>　　六、严格遵守开标现场纪律，服从监管人员管理;</w:t>
      </w:r>
    </w:p>
    <w:p w14:paraId="46EEC2E7">
      <w:pPr>
        <w:pStyle w:val="45"/>
        <w:spacing w:before="0" w:beforeAutospacing="0" w:after="0" w:afterAutospacing="0" w:line="400" w:lineRule="exact"/>
        <w:rPr>
          <w:rFonts w:hint="eastAsia" w:ascii="宋体" w:hAnsi="宋体" w:eastAsia="宋体" w:cs="宋体"/>
          <w:kern w:val="2"/>
          <w:highlight w:val="none"/>
        </w:rPr>
      </w:pPr>
      <w:r>
        <w:rPr>
          <w:rFonts w:hint="eastAsia" w:ascii="宋体" w:hAnsi="宋体" w:eastAsia="宋体" w:cs="宋体"/>
          <w:kern w:val="2"/>
          <w:highlight w:val="none"/>
        </w:rPr>
        <w:t>　　以上内容我已仔细阅读，本公司若有违反承诺内容的行为，自愿依法接受取消投标资格、记入信用档案、取消中标资格、没收投标保证金等有关处理，愿意承担法律责任，给招标人造成损失的，依法承担赔偿责任。</w:t>
      </w:r>
    </w:p>
    <w:p w14:paraId="34082E73">
      <w:pPr>
        <w:pStyle w:val="45"/>
        <w:spacing w:before="0" w:beforeAutospacing="0" w:after="0" w:afterAutospacing="0" w:line="450" w:lineRule="atLeast"/>
        <w:jc w:val="right"/>
        <w:rPr>
          <w:rFonts w:hint="eastAsia" w:ascii="宋体" w:hAnsi="宋体" w:eastAsia="宋体" w:cs="宋体"/>
          <w:kern w:val="2"/>
          <w:highlight w:val="none"/>
        </w:rPr>
      </w:pPr>
      <w:r>
        <w:rPr>
          <w:rFonts w:hint="eastAsia" w:ascii="宋体" w:hAnsi="宋体" w:eastAsia="宋体" w:cs="宋体"/>
          <w:kern w:val="2"/>
          <w:highlight w:val="none"/>
        </w:rPr>
        <w:t>　</w:t>
      </w:r>
    </w:p>
    <w:p w14:paraId="31757DB2">
      <w:pPr>
        <w:pStyle w:val="45"/>
        <w:spacing w:before="0" w:beforeAutospacing="0" w:after="0" w:afterAutospacing="0" w:line="450" w:lineRule="atLeast"/>
        <w:jc w:val="right"/>
        <w:rPr>
          <w:rFonts w:hint="eastAsia" w:ascii="宋体" w:hAnsi="宋体" w:eastAsia="宋体" w:cs="宋体"/>
          <w:kern w:val="2"/>
          <w:highlight w:val="none"/>
        </w:rPr>
      </w:pPr>
    </w:p>
    <w:p w14:paraId="052DEE8A">
      <w:pPr>
        <w:pStyle w:val="45"/>
        <w:spacing w:before="0" w:beforeAutospacing="0" w:after="0" w:afterAutospacing="0" w:line="450" w:lineRule="atLeast"/>
        <w:ind w:right="640" w:firstLine="4200" w:firstLineChars="1750"/>
        <w:rPr>
          <w:rFonts w:hint="eastAsia" w:ascii="宋体" w:hAnsi="宋体" w:eastAsia="宋体" w:cs="宋体"/>
          <w:kern w:val="2"/>
          <w:highlight w:val="none"/>
        </w:rPr>
      </w:pPr>
      <w:r>
        <w:rPr>
          <w:rFonts w:hint="eastAsia" w:ascii="宋体" w:hAnsi="宋体" w:eastAsia="宋体" w:cs="宋体"/>
          <w:kern w:val="2"/>
          <w:highlight w:val="none"/>
        </w:rPr>
        <w:t>承 诺 人：（公章）</w:t>
      </w:r>
    </w:p>
    <w:p w14:paraId="59A7904E">
      <w:pPr>
        <w:pStyle w:val="45"/>
        <w:spacing w:before="0" w:beforeAutospacing="0" w:after="0" w:afterAutospacing="0" w:line="450" w:lineRule="atLeast"/>
        <w:ind w:right="640" w:firstLine="4200" w:firstLineChars="1750"/>
        <w:rPr>
          <w:rFonts w:hint="eastAsia" w:ascii="宋体" w:hAnsi="宋体" w:eastAsia="宋体" w:cs="宋体"/>
          <w:kern w:val="2"/>
          <w:highlight w:val="none"/>
        </w:rPr>
      </w:pPr>
      <w:r>
        <w:rPr>
          <w:rFonts w:hint="eastAsia" w:ascii="宋体" w:hAnsi="宋体" w:eastAsia="宋体" w:cs="宋体"/>
          <w:kern w:val="2"/>
          <w:highlight w:val="none"/>
        </w:rPr>
        <w:t>联系电话：</w:t>
      </w:r>
    </w:p>
    <w:p w14:paraId="5F5F77A2">
      <w:pPr>
        <w:pStyle w:val="45"/>
        <w:spacing w:before="0" w:beforeAutospacing="0" w:after="0" w:afterAutospacing="0" w:line="450" w:lineRule="atLeast"/>
        <w:ind w:right="640" w:firstLine="4200" w:firstLineChars="1750"/>
        <w:rPr>
          <w:rFonts w:hint="eastAsia" w:ascii="宋体" w:hAnsi="宋体" w:eastAsia="宋体" w:cs="宋体"/>
          <w:kern w:val="2"/>
          <w:highlight w:val="none"/>
        </w:rPr>
      </w:pPr>
      <w:r>
        <w:rPr>
          <w:rFonts w:hint="eastAsia" w:ascii="宋体" w:hAnsi="宋体" w:eastAsia="宋体" w:cs="宋体"/>
          <w:kern w:val="2"/>
          <w:highlight w:val="none"/>
        </w:rPr>
        <w:t>法定代表人或委托代理人签字：</w:t>
      </w:r>
    </w:p>
    <w:p w14:paraId="4ED838BC">
      <w:pPr>
        <w:pStyle w:val="45"/>
        <w:spacing w:before="0" w:beforeAutospacing="0" w:after="0" w:afterAutospacing="0" w:line="450" w:lineRule="atLeast"/>
        <w:ind w:right="640" w:firstLine="4200" w:firstLineChars="1750"/>
        <w:jc w:val="center"/>
        <w:rPr>
          <w:rFonts w:hint="eastAsia" w:ascii="宋体" w:hAnsi="宋体" w:eastAsia="宋体" w:cs="宋体"/>
          <w:highlight w:val="none"/>
        </w:rPr>
      </w:pPr>
      <w:r>
        <w:rPr>
          <w:rFonts w:hint="eastAsia" w:ascii="宋体" w:hAnsi="宋体" w:eastAsia="宋体" w:cs="宋体"/>
          <w:kern w:val="2"/>
          <w:highlight w:val="none"/>
        </w:rPr>
        <w:t xml:space="preserve">                       年  月  日</w:t>
      </w:r>
    </w:p>
    <w:bookmarkEnd w:id="123"/>
    <w:bookmarkEnd w:id="124"/>
    <w:bookmarkEnd w:id="125"/>
    <w:bookmarkEnd w:id="126"/>
    <w:bookmarkEnd w:id="127"/>
    <w:bookmarkEnd w:id="128"/>
    <w:p w14:paraId="130DFB35">
      <w:pPr>
        <w:spacing w:line="360" w:lineRule="auto"/>
        <w:ind w:firstLine="420" w:firstLineChars="200"/>
        <w:rPr>
          <w:rFonts w:hint="eastAsia" w:ascii="宋体" w:hAnsi="宋体" w:eastAsia="宋体" w:cs="宋体"/>
          <w:szCs w:val="21"/>
          <w:highlight w:val="none"/>
          <w:lang w:bidi="ar"/>
        </w:rPr>
      </w:pPr>
    </w:p>
    <w:p w14:paraId="6905684A">
      <w:pPr>
        <w:spacing w:line="360" w:lineRule="auto"/>
        <w:ind w:firstLine="420" w:firstLineChars="200"/>
        <w:rPr>
          <w:rFonts w:hint="eastAsia" w:ascii="宋体" w:hAnsi="宋体" w:eastAsia="宋体" w:cs="宋体"/>
          <w:szCs w:val="21"/>
          <w:highlight w:val="none"/>
          <w:lang w:bidi="ar"/>
        </w:rPr>
      </w:pPr>
    </w:p>
    <w:p w14:paraId="645F188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kern w:val="0"/>
          <w:sz w:val="24"/>
          <w:highlight w:val="none"/>
        </w:rPr>
      </w:pPr>
    </w:p>
    <w:sectPr>
      <w:footerReference r:id="rId8" w:type="default"/>
      <w:pgSz w:w="11906" w:h="16838"/>
      <w:pgMar w:top="1440" w:right="1083" w:bottom="1440" w:left="1083" w:header="851" w:footer="992" w:gutter="0"/>
      <w:pgNumType w:fmt="decimal"/>
      <w:cols w:space="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FAEFC4-3DDB-48A9-96BD-868671E14DB9}"/>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9FD23C2-48F4-4D6D-B76F-507EAD3DC940}"/>
  </w:font>
  <w:font w:name="Cambria">
    <w:panose1 w:val="02040503050406030204"/>
    <w:charset w:val="00"/>
    <w:family w:val="roman"/>
    <w:pitch w:val="default"/>
    <w:sig w:usb0="E00006FF" w:usb1="420024FF" w:usb2="02000000" w:usb3="00000000" w:csb0="2000019F" w:csb1="00000000"/>
  </w:font>
  <w:font w:name="方正小标宋_GBK">
    <w:altName w:val="宋体"/>
    <w:panose1 w:val="00000000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Light">
    <w:panose1 w:val="02010600030101010101"/>
    <w:charset w:val="86"/>
    <w:family w:val="auto"/>
    <w:pitch w:val="default"/>
    <w:sig w:usb0="A00002BF" w:usb1="38CF7CFA" w:usb2="00000016" w:usb3="00000000" w:csb0="0004000F" w:csb1="00000000"/>
  </w:font>
  <w:font w:name="ˎ̥">
    <w:altName w:val="仿宋"/>
    <w:panose1 w:val="00000000000000000000"/>
    <w:charset w:val="00"/>
    <w:family w:val="auto"/>
    <w:pitch w:val="default"/>
    <w:sig w:usb0="00000000" w:usb1="00000000" w:usb2="00000000" w:usb3="00000000" w:csb0="00040001" w:csb1="00000000"/>
  </w:font>
  <w:font w:name="SJQY">
    <w:altName w:val="宋体"/>
    <w:panose1 w:val="02010600030101010101"/>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11F35">
    <w:pPr>
      <w:pStyle w:val="35"/>
      <w:jc w:val="both"/>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0A134">
    <w:pPr>
      <w:pStyle w:val="35"/>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AD60CC">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75AD60CC">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F7007">
    <w:pPr>
      <w:pStyle w:val="35"/>
      <w:jc w:val="center"/>
      <w:rPr>
        <w:rFonts w:hint="default" w:eastAsia="宋体"/>
        <w:lang w:val="en-US" w:eastAsia="zh-CN"/>
      </w:rPr>
    </w:pPr>
    <w:r>
      <w:rPr>
        <w:rFonts w:hint="eastAsia"/>
        <w:lang w:val="en-US" w:eastAsia="zh-CN"/>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419D5">
    <w:pPr>
      <w:pStyle w:val="35"/>
      <w:ind w:right="360" w:firstLine="36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0611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D706118">
                    <w:pPr>
                      <w:pStyle w:val="35"/>
                    </w:pPr>
                    <w:r>
                      <w:fldChar w:fldCharType="begin"/>
                    </w:r>
                    <w:r>
                      <w:instrText xml:space="preserve"> PAGE  \* MERGEFORMAT </w:instrText>
                    </w:r>
                    <w:r>
                      <w:fldChar w:fldCharType="separate"/>
                    </w:r>
                    <w:r>
                      <w:t>2</w:t>
                    </w:r>
                    <w:r>
                      <w:fldChar w:fldCharType="end"/>
                    </w:r>
                  </w:p>
                </w:txbxContent>
              </v:textbox>
            </v:shape>
          </w:pict>
        </mc:Fallback>
      </mc:AlternateContent>
    </w:r>
  </w:p>
  <w:p w14:paraId="2E58E680">
    <w:pPr>
      <w:pStyle w:val="3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2624A">
    <w:pPr>
      <w:pStyle w:val="36"/>
      <w:pBdr>
        <w:bottom w:val="none" w:color="auto" w:sz="0" w:space="0"/>
      </w:pBdr>
      <w:rPr>
        <w:rFonts w:hint="default" w:eastAsia="宋体"/>
        <w:u w:val="single"/>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91DFE">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AC8C39"/>
    <w:multiLevelType w:val="singleLevel"/>
    <w:tmpl w:val="39AC8C39"/>
    <w:lvl w:ilvl="0" w:tentative="0">
      <w:start w:val="1"/>
      <w:numFmt w:val="chineseCounting"/>
      <w:suff w:val="nothing"/>
      <w:lvlText w:val="%1、"/>
      <w:lvlJc w:val="left"/>
      <w:rPr>
        <w:rFonts w:hint="eastAsia"/>
      </w:rPr>
    </w:lvl>
  </w:abstractNum>
  <w:abstractNum w:abstractNumId="1">
    <w:nsid w:val="55626834"/>
    <w:multiLevelType w:val="multilevel"/>
    <w:tmpl w:val="55626834"/>
    <w:lvl w:ilvl="0" w:tentative="0">
      <w:start w:val="610"/>
      <w:numFmt w:val="bullet"/>
      <w:pStyle w:val="19"/>
      <w:lvlText w:val="□"/>
      <w:lvlJc w:val="left"/>
      <w:pPr>
        <w:ind w:left="360" w:hanging="360"/>
      </w:pPr>
      <w:rPr>
        <w:rFonts w:hint="eastAsia" w:ascii="宋体" w:hAnsi="宋体" w:eastAsia="宋体" w:cs="Times New Roman"/>
        <w:sz w:val="24"/>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embedTrueTypeFonts/>
  <w:saveSubset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N2ZkNzAwZWI0OGMyYjJhOTRkY2ZkYzRiYWY2NmUifQ=="/>
    <w:docVar w:name="KSO_WPS_MARK_KEY" w:val="fe7fd272-a5c0-4c29-b666-3a1ae5c2fb39"/>
  </w:docVars>
  <w:rsids>
    <w:rsidRoot w:val="00172A27"/>
    <w:rsid w:val="000C329E"/>
    <w:rsid w:val="001569DE"/>
    <w:rsid w:val="00172A27"/>
    <w:rsid w:val="00183EE7"/>
    <w:rsid w:val="001A0DC8"/>
    <w:rsid w:val="001B6D4C"/>
    <w:rsid w:val="001C159E"/>
    <w:rsid w:val="001C3B80"/>
    <w:rsid w:val="001F62A8"/>
    <w:rsid w:val="0022465A"/>
    <w:rsid w:val="00267894"/>
    <w:rsid w:val="00361C21"/>
    <w:rsid w:val="003719D1"/>
    <w:rsid w:val="00467767"/>
    <w:rsid w:val="0051479B"/>
    <w:rsid w:val="0053252D"/>
    <w:rsid w:val="005A0EB1"/>
    <w:rsid w:val="005C06FC"/>
    <w:rsid w:val="006D7B35"/>
    <w:rsid w:val="006F7101"/>
    <w:rsid w:val="00714A74"/>
    <w:rsid w:val="00724055"/>
    <w:rsid w:val="00760A64"/>
    <w:rsid w:val="00761528"/>
    <w:rsid w:val="007C258A"/>
    <w:rsid w:val="00817207"/>
    <w:rsid w:val="00845146"/>
    <w:rsid w:val="0086360B"/>
    <w:rsid w:val="008A7E06"/>
    <w:rsid w:val="008D22A9"/>
    <w:rsid w:val="00940258"/>
    <w:rsid w:val="00980F13"/>
    <w:rsid w:val="009C059A"/>
    <w:rsid w:val="009C2703"/>
    <w:rsid w:val="00A867F1"/>
    <w:rsid w:val="00B54741"/>
    <w:rsid w:val="00B83657"/>
    <w:rsid w:val="00BF0E19"/>
    <w:rsid w:val="00C00A30"/>
    <w:rsid w:val="00C515E3"/>
    <w:rsid w:val="00C65BCB"/>
    <w:rsid w:val="00C9302F"/>
    <w:rsid w:val="00CF07E9"/>
    <w:rsid w:val="00D2060E"/>
    <w:rsid w:val="00D23AE6"/>
    <w:rsid w:val="00D43D9B"/>
    <w:rsid w:val="00D54C80"/>
    <w:rsid w:val="00DA4C65"/>
    <w:rsid w:val="00DA6221"/>
    <w:rsid w:val="00E049FA"/>
    <w:rsid w:val="00E910BB"/>
    <w:rsid w:val="00F4108A"/>
    <w:rsid w:val="00F64B8F"/>
    <w:rsid w:val="00F965DD"/>
    <w:rsid w:val="00FA7309"/>
    <w:rsid w:val="01222DCA"/>
    <w:rsid w:val="01233096"/>
    <w:rsid w:val="013A261A"/>
    <w:rsid w:val="013E6203"/>
    <w:rsid w:val="0146645B"/>
    <w:rsid w:val="0148145C"/>
    <w:rsid w:val="01503A68"/>
    <w:rsid w:val="017A5E7D"/>
    <w:rsid w:val="017B5008"/>
    <w:rsid w:val="018C519F"/>
    <w:rsid w:val="01A56261"/>
    <w:rsid w:val="01B95B05"/>
    <w:rsid w:val="01C54852"/>
    <w:rsid w:val="01E7687A"/>
    <w:rsid w:val="01F625C6"/>
    <w:rsid w:val="022C5977"/>
    <w:rsid w:val="02420B3E"/>
    <w:rsid w:val="02554CA2"/>
    <w:rsid w:val="027A6DA3"/>
    <w:rsid w:val="028B3391"/>
    <w:rsid w:val="0296488E"/>
    <w:rsid w:val="029D74EE"/>
    <w:rsid w:val="02E1315C"/>
    <w:rsid w:val="02FE77B6"/>
    <w:rsid w:val="030671D3"/>
    <w:rsid w:val="03155B98"/>
    <w:rsid w:val="03264E6E"/>
    <w:rsid w:val="03382051"/>
    <w:rsid w:val="035A48F9"/>
    <w:rsid w:val="035F67D4"/>
    <w:rsid w:val="03771CFD"/>
    <w:rsid w:val="037C0842"/>
    <w:rsid w:val="038F6AA6"/>
    <w:rsid w:val="03AC38D7"/>
    <w:rsid w:val="03C154C2"/>
    <w:rsid w:val="03D96406"/>
    <w:rsid w:val="03DE3CAC"/>
    <w:rsid w:val="03EA6486"/>
    <w:rsid w:val="03FB484E"/>
    <w:rsid w:val="04113AA0"/>
    <w:rsid w:val="04373762"/>
    <w:rsid w:val="044E0E32"/>
    <w:rsid w:val="045F1C69"/>
    <w:rsid w:val="046713BA"/>
    <w:rsid w:val="047F0BFA"/>
    <w:rsid w:val="048B3CD0"/>
    <w:rsid w:val="048D6B52"/>
    <w:rsid w:val="049031F8"/>
    <w:rsid w:val="04926F7C"/>
    <w:rsid w:val="04983104"/>
    <w:rsid w:val="049E5ED4"/>
    <w:rsid w:val="04A0671D"/>
    <w:rsid w:val="04B417A7"/>
    <w:rsid w:val="04CE2FB2"/>
    <w:rsid w:val="054B3A5D"/>
    <w:rsid w:val="054B42AF"/>
    <w:rsid w:val="055E32F7"/>
    <w:rsid w:val="059E7223"/>
    <w:rsid w:val="05A12836"/>
    <w:rsid w:val="05C86D49"/>
    <w:rsid w:val="05E244CA"/>
    <w:rsid w:val="05F81055"/>
    <w:rsid w:val="064D3802"/>
    <w:rsid w:val="068428E9"/>
    <w:rsid w:val="06C2771F"/>
    <w:rsid w:val="06D02495"/>
    <w:rsid w:val="06F70282"/>
    <w:rsid w:val="06FE140B"/>
    <w:rsid w:val="070B300A"/>
    <w:rsid w:val="072F305C"/>
    <w:rsid w:val="07350510"/>
    <w:rsid w:val="073866B0"/>
    <w:rsid w:val="07397F15"/>
    <w:rsid w:val="074E5FDB"/>
    <w:rsid w:val="074F7142"/>
    <w:rsid w:val="07866B35"/>
    <w:rsid w:val="078A69DF"/>
    <w:rsid w:val="079655DE"/>
    <w:rsid w:val="07A67451"/>
    <w:rsid w:val="07AD013B"/>
    <w:rsid w:val="07BE58E7"/>
    <w:rsid w:val="07CB5B22"/>
    <w:rsid w:val="07EA2C20"/>
    <w:rsid w:val="07F27D26"/>
    <w:rsid w:val="080C3C29"/>
    <w:rsid w:val="08144397"/>
    <w:rsid w:val="081F1B3D"/>
    <w:rsid w:val="085F2223"/>
    <w:rsid w:val="085F5CC1"/>
    <w:rsid w:val="086A1FB2"/>
    <w:rsid w:val="08732C15"/>
    <w:rsid w:val="0875098E"/>
    <w:rsid w:val="08920A00"/>
    <w:rsid w:val="08A32EC7"/>
    <w:rsid w:val="09072705"/>
    <w:rsid w:val="091268D2"/>
    <w:rsid w:val="09464B23"/>
    <w:rsid w:val="0955056D"/>
    <w:rsid w:val="09552AA3"/>
    <w:rsid w:val="09682BCC"/>
    <w:rsid w:val="0975119A"/>
    <w:rsid w:val="097C4B71"/>
    <w:rsid w:val="098826F0"/>
    <w:rsid w:val="09AB5A8A"/>
    <w:rsid w:val="09B7433C"/>
    <w:rsid w:val="09E6065C"/>
    <w:rsid w:val="09EA4E66"/>
    <w:rsid w:val="09EB3E21"/>
    <w:rsid w:val="09FB15FB"/>
    <w:rsid w:val="0A124443"/>
    <w:rsid w:val="0A432DB7"/>
    <w:rsid w:val="0A60302E"/>
    <w:rsid w:val="0A861BA5"/>
    <w:rsid w:val="0A8C66D6"/>
    <w:rsid w:val="0A9A7E3B"/>
    <w:rsid w:val="0AA01F7C"/>
    <w:rsid w:val="0AAA6920"/>
    <w:rsid w:val="0AEC4C96"/>
    <w:rsid w:val="0B0457C3"/>
    <w:rsid w:val="0B07016A"/>
    <w:rsid w:val="0B0B3459"/>
    <w:rsid w:val="0B0D5CF0"/>
    <w:rsid w:val="0B122E55"/>
    <w:rsid w:val="0B170387"/>
    <w:rsid w:val="0B2959AF"/>
    <w:rsid w:val="0B3E79A7"/>
    <w:rsid w:val="0B402B6B"/>
    <w:rsid w:val="0B441CE3"/>
    <w:rsid w:val="0B4A079D"/>
    <w:rsid w:val="0B614B94"/>
    <w:rsid w:val="0B771350"/>
    <w:rsid w:val="0B931509"/>
    <w:rsid w:val="0C1578DF"/>
    <w:rsid w:val="0C432314"/>
    <w:rsid w:val="0C487461"/>
    <w:rsid w:val="0C4F176D"/>
    <w:rsid w:val="0C9B7779"/>
    <w:rsid w:val="0C9C40C4"/>
    <w:rsid w:val="0CA227D1"/>
    <w:rsid w:val="0CAA7ABF"/>
    <w:rsid w:val="0CBA1315"/>
    <w:rsid w:val="0CC779D3"/>
    <w:rsid w:val="0D0957F6"/>
    <w:rsid w:val="0D0F2147"/>
    <w:rsid w:val="0D263082"/>
    <w:rsid w:val="0D604840"/>
    <w:rsid w:val="0D6120BA"/>
    <w:rsid w:val="0D6B09D3"/>
    <w:rsid w:val="0D80623E"/>
    <w:rsid w:val="0D8A5337"/>
    <w:rsid w:val="0E0451FF"/>
    <w:rsid w:val="0E05277E"/>
    <w:rsid w:val="0E0D7CC7"/>
    <w:rsid w:val="0E0F7875"/>
    <w:rsid w:val="0E17686B"/>
    <w:rsid w:val="0E300009"/>
    <w:rsid w:val="0E614ADB"/>
    <w:rsid w:val="0E63372C"/>
    <w:rsid w:val="0E6A20ED"/>
    <w:rsid w:val="0E8D1C98"/>
    <w:rsid w:val="0E925DBF"/>
    <w:rsid w:val="0E9A6AFE"/>
    <w:rsid w:val="0ED12B3B"/>
    <w:rsid w:val="0ED30A3B"/>
    <w:rsid w:val="0EE04D7C"/>
    <w:rsid w:val="0EEF1CB8"/>
    <w:rsid w:val="0F177066"/>
    <w:rsid w:val="0F2E2DF6"/>
    <w:rsid w:val="0F3D3F7D"/>
    <w:rsid w:val="0F41290B"/>
    <w:rsid w:val="0F471F54"/>
    <w:rsid w:val="0F4D698D"/>
    <w:rsid w:val="0F6C620C"/>
    <w:rsid w:val="0F7200CA"/>
    <w:rsid w:val="0F7B6853"/>
    <w:rsid w:val="0F901356"/>
    <w:rsid w:val="0F97409C"/>
    <w:rsid w:val="0FDE6AF4"/>
    <w:rsid w:val="0FDF5034"/>
    <w:rsid w:val="102127BE"/>
    <w:rsid w:val="1022461B"/>
    <w:rsid w:val="10237208"/>
    <w:rsid w:val="102C6DB4"/>
    <w:rsid w:val="102F5CE6"/>
    <w:rsid w:val="103A1754"/>
    <w:rsid w:val="106D62AC"/>
    <w:rsid w:val="10A77D2A"/>
    <w:rsid w:val="10B06787"/>
    <w:rsid w:val="10BC0DCE"/>
    <w:rsid w:val="10CB7002"/>
    <w:rsid w:val="10CD7EE8"/>
    <w:rsid w:val="112C24FB"/>
    <w:rsid w:val="11345DF1"/>
    <w:rsid w:val="11630E1A"/>
    <w:rsid w:val="11856B59"/>
    <w:rsid w:val="118A7661"/>
    <w:rsid w:val="119A7921"/>
    <w:rsid w:val="11CB1B8D"/>
    <w:rsid w:val="11E31C9A"/>
    <w:rsid w:val="120872F2"/>
    <w:rsid w:val="12100F94"/>
    <w:rsid w:val="12176D07"/>
    <w:rsid w:val="12A12A49"/>
    <w:rsid w:val="12A63DF2"/>
    <w:rsid w:val="12AF6F40"/>
    <w:rsid w:val="12C35499"/>
    <w:rsid w:val="12D20E80"/>
    <w:rsid w:val="12F44D24"/>
    <w:rsid w:val="12FC0A33"/>
    <w:rsid w:val="12FF077C"/>
    <w:rsid w:val="13591B84"/>
    <w:rsid w:val="13645F7C"/>
    <w:rsid w:val="13722050"/>
    <w:rsid w:val="1380718A"/>
    <w:rsid w:val="139A4525"/>
    <w:rsid w:val="13B80076"/>
    <w:rsid w:val="13C9559E"/>
    <w:rsid w:val="13D548B6"/>
    <w:rsid w:val="13FC74D8"/>
    <w:rsid w:val="142A7BEE"/>
    <w:rsid w:val="1444099D"/>
    <w:rsid w:val="14461872"/>
    <w:rsid w:val="144954C7"/>
    <w:rsid w:val="144C4E21"/>
    <w:rsid w:val="14712E55"/>
    <w:rsid w:val="14761A1A"/>
    <w:rsid w:val="148E0471"/>
    <w:rsid w:val="14C72840"/>
    <w:rsid w:val="14CF10E5"/>
    <w:rsid w:val="14DB226E"/>
    <w:rsid w:val="14E20406"/>
    <w:rsid w:val="14F72E20"/>
    <w:rsid w:val="15143CDB"/>
    <w:rsid w:val="15566669"/>
    <w:rsid w:val="155F4841"/>
    <w:rsid w:val="156C7265"/>
    <w:rsid w:val="156F79DC"/>
    <w:rsid w:val="157F6CF7"/>
    <w:rsid w:val="158364B7"/>
    <w:rsid w:val="159B1214"/>
    <w:rsid w:val="159B3A07"/>
    <w:rsid w:val="15B11ACA"/>
    <w:rsid w:val="15B34359"/>
    <w:rsid w:val="15DC7A87"/>
    <w:rsid w:val="15FD2CC8"/>
    <w:rsid w:val="15FE2034"/>
    <w:rsid w:val="16014437"/>
    <w:rsid w:val="162131B7"/>
    <w:rsid w:val="16265859"/>
    <w:rsid w:val="1634307A"/>
    <w:rsid w:val="16AB0249"/>
    <w:rsid w:val="16AC1EED"/>
    <w:rsid w:val="16BD0727"/>
    <w:rsid w:val="16C84C6D"/>
    <w:rsid w:val="170535D2"/>
    <w:rsid w:val="17132A96"/>
    <w:rsid w:val="171449B6"/>
    <w:rsid w:val="171D4DF7"/>
    <w:rsid w:val="17574EEA"/>
    <w:rsid w:val="177B4DD4"/>
    <w:rsid w:val="177E4973"/>
    <w:rsid w:val="178A3AD7"/>
    <w:rsid w:val="17906421"/>
    <w:rsid w:val="17981645"/>
    <w:rsid w:val="17DD7339"/>
    <w:rsid w:val="17E07B9B"/>
    <w:rsid w:val="17EC4A4B"/>
    <w:rsid w:val="180112B4"/>
    <w:rsid w:val="180F7FB5"/>
    <w:rsid w:val="181724C0"/>
    <w:rsid w:val="1829382C"/>
    <w:rsid w:val="18562497"/>
    <w:rsid w:val="18795DA6"/>
    <w:rsid w:val="1880665C"/>
    <w:rsid w:val="18A1557C"/>
    <w:rsid w:val="18BD471F"/>
    <w:rsid w:val="18DB4575"/>
    <w:rsid w:val="18DD75EA"/>
    <w:rsid w:val="18E83E1B"/>
    <w:rsid w:val="193512E5"/>
    <w:rsid w:val="19420E83"/>
    <w:rsid w:val="195A614C"/>
    <w:rsid w:val="198F1242"/>
    <w:rsid w:val="19946F79"/>
    <w:rsid w:val="19962C07"/>
    <w:rsid w:val="19995A5F"/>
    <w:rsid w:val="19B63483"/>
    <w:rsid w:val="19BF04EF"/>
    <w:rsid w:val="19C257AA"/>
    <w:rsid w:val="19D13CB4"/>
    <w:rsid w:val="19E75211"/>
    <w:rsid w:val="1A0766C8"/>
    <w:rsid w:val="1A1104E0"/>
    <w:rsid w:val="1A117E6C"/>
    <w:rsid w:val="1A8057CE"/>
    <w:rsid w:val="1A8D2201"/>
    <w:rsid w:val="1AB54D1A"/>
    <w:rsid w:val="1ACE0321"/>
    <w:rsid w:val="1AE25105"/>
    <w:rsid w:val="1AE31236"/>
    <w:rsid w:val="1AF51BB0"/>
    <w:rsid w:val="1B1C229D"/>
    <w:rsid w:val="1B1F49AA"/>
    <w:rsid w:val="1B1F4E7E"/>
    <w:rsid w:val="1B251CB9"/>
    <w:rsid w:val="1B3C5A5C"/>
    <w:rsid w:val="1B6F7EB2"/>
    <w:rsid w:val="1B881BCF"/>
    <w:rsid w:val="1B8B6070"/>
    <w:rsid w:val="1BA432A8"/>
    <w:rsid w:val="1BAD5FE6"/>
    <w:rsid w:val="1BCE0379"/>
    <w:rsid w:val="1BD85578"/>
    <w:rsid w:val="1BE138BD"/>
    <w:rsid w:val="1BEC2B8B"/>
    <w:rsid w:val="1C13118C"/>
    <w:rsid w:val="1C21038E"/>
    <w:rsid w:val="1C4F35DE"/>
    <w:rsid w:val="1C5808EF"/>
    <w:rsid w:val="1C655C22"/>
    <w:rsid w:val="1C715719"/>
    <w:rsid w:val="1C7531BF"/>
    <w:rsid w:val="1C983CDD"/>
    <w:rsid w:val="1CBA7A2B"/>
    <w:rsid w:val="1CC04695"/>
    <w:rsid w:val="1CC052B0"/>
    <w:rsid w:val="1CD50372"/>
    <w:rsid w:val="1CD72C5D"/>
    <w:rsid w:val="1CDC4DD5"/>
    <w:rsid w:val="1CF377D0"/>
    <w:rsid w:val="1D1F4CC2"/>
    <w:rsid w:val="1D293D92"/>
    <w:rsid w:val="1D3A2733"/>
    <w:rsid w:val="1D554B87"/>
    <w:rsid w:val="1D580EBB"/>
    <w:rsid w:val="1D625055"/>
    <w:rsid w:val="1D687B11"/>
    <w:rsid w:val="1D8A4831"/>
    <w:rsid w:val="1D9C02F5"/>
    <w:rsid w:val="1DD01646"/>
    <w:rsid w:val="1DD166E5"/>
    <w:rsid w:val="1DDF5816"/>
    <w:rsid w:val="1DF65898"/>
    <w:rsid w:val="1E3D18A3"/>
    <w:rsid w:val="1E3E386E"/>
    <w:rsid w:val="1E4B73EA"/>
    <w:rsid w:val="1E6362EA"/>
    <w:rsid w:val="1E781ED5"/>
    <w:rsid w:val="1E7E3DC6"/>
    <w:rsid w:val="1E824CD3"/>
    <w:rsid w:val="1E883B95"/>
    <w:rsid w:val="1E9B3BB6"/>
    <w:rsid w:val="1E9D37A4"/>
    <w:rsid w:val="1EB678A8"/>
    <w:rsid w:val="1EDB2E6A"/>
    <w:rsid w:val="1F06438B"/>
    <w:rsid w:val="1F09535D"/>
    <w:rsid w:val="1F0E3FB6"/>
    <w:rsid w:val="1F244811"/>
    <w:rsid w:val="1F6F32B6"/>
    <w:rsid w:val="1F73609A"/>
    <w:rsid w:val="1F7479AC"/>
    <w:rsid w:val="1F775289"/>
    <w:rsid w:val="1F836B5D"/>
    <w:rsid w:val="1F8F28DE"/>
    <w:rsid w:val="1FB57B5F"/>
    <w:rsid w:val="1FF82DDD"/>
    <w:rsid w:val="1FFB2F47"/>
    <w:rsid w:val="1FFC753C"/>
    <w:rsid w:val="200745EF"/>
    <w:rsid w:val="200B2EB9"/>
    <w:rsid w:val="20160F60"/>
    <w:rsid w:val="201B7241"/>
    <w:rsid w:val="201D3F72"/>
    <w:rsid w:val="20543404"/>
    <w:rsid w:val="2077774B"/>
    <w:rsid w:val="20847C5E"/>
    <w:rsid w:val="20AA5AEF"/>
    <w:rsid w:val="20B80786"/>
    <w:rsid w:val="20C718EB"/>
    <w:rsid w:val="20CC16E5"/>
    <w:rsid w:val="20D71EA9"/>
    <w:rsid w:val="20F57A19"/>
    <w:rsid w:val="20FA5062"/>
    <w:rsid w:val="21577120"/>
    <w:rsid w:val="21585FC1"/>
    <w:rsid w:val="216212E6"/>
    <w:rsid w:val="216F2407"/>
    <w:rsid w:val="21845A3B"/>
    <w:rsid w:val="21B34742"/>
    <w:rsid w:val="21BA300B"/>
    <w:rsid w:val="21D1314A"/>
    <w:rsid w:val="21E87318"/>
    <w:rsid w:val="21F10250"/>
    <w:rsid w:val="22004A71"/>
    <w:rsid w:val="22101BA0"/>
    <w:rsid w:val="222A2C0A"/>
    <w:rsid w:val="222D0E8E"/>
    <w:rsid w:val="22522E8F"/>
    <w:rsid w:val="226B16FA"/>
    <w:rsid w:val="227A2B07"/>
    <w:rsid w:val="228A1FDB"/>
    <w:rsid w:val="22C04F40"/>
    <w:rsid w:val="22D17805"/>
    <w:rsid w:val="22E80CFA"/>
    <w:rsid w:val="22EB2F21"/>
    <w:rsid w:val="22F50136"/>
    <w:rsid w:val="231119A1"/>
    <w:rsid w:val="2331574F"/>
    <w:rsid w:val="2336273C"/>
    <w:rsid w:val="234436D4"/>
    <w:rsid w:val="234A65FD"/>
    <w:rsid w:val="2351249A"/>
    <w:rsid w:val="235B27CC"/>
    <w:rsid w:val="235B3AA1"/>
    <w:rsid w:val="23835CFB"/>
    <w:rsid w:val="23921DA8"/>
    <w:rsid w:val="23A96D2E"/>
    <w:rsid w:val="23B02287"/>
    <w:rsid w:val="23B966E8"/>
    <w:rsid w:val="23E03CCE"/>
    <w:rsid w:val="23F90167"/>
    <w:rsid w:val="240B14FD"/>
    <w:rsid w:val="24125839"/>
    <w:rsid w:val="24175BCA"/>
    <w:rsid w:val="241F1A7A"/>
    <w:rsid w:val="24294678"/>
    <w:rsid w:val="24322753"/>
    <w:rsid w:val="244C64A2"/>
    <w:rsid w:val="24967F5F"/>
    <w:rsid w:val="24B90928"/>
    <w:rsid w:val="24EE5F52"/>
    <w:rsid w:val="24F63A5D"/>
    <w:rsid w:val="24F84776"/>
    <w:rsid w:val="25284900"/>
    <w:rsid w:val="253A0094"/>
    <w:rsid w:val="25594B69"/>
    <w:rsid w:val="25666701"/>
    <w:rsid w:val="25915DD8"/>
    <w:rsid w:val="259D46D3"/>
    <w:rsid w:val="25BB0040"/>
    <w:rsid w:val="25CD6870"/>
    <w:rsid w:val="25CE7AEC"/>
    <w:rsid w:val="25D04018"/>
    <w:rsid w:val="25D3395B"/>
    <w:rsid w:val="25D437F8"/>
    <w:rsid w:val="25E025AD"/>
    <w:rsid w:val="25E94B1A"/>
    <w:rsid w:val="261763CA"/>
    <w:rsid w:val="26274E5E"/>
    <w:rsid w:val="26407789"/>
    <w:rsid w:val="26455707"/>
    <w:rsid w:val="264C049A"/>
    <w:rsid w:val="265D5088"/>
    <w:rsid w:val="266F0EB7"/>
    <w:rsid w:val="26724C4D"/>
    <w:rsid w:val="267E514F"/>
    <w:rsid w:val="26983D97"/>
    <w:rsid w:val="26A33E51"/>
    <w:rsid w:val="26A91803"/>
    <w:rsid w:val="26AB46C6"/>
    <w:rsid w:val="26E34B0F"/>
    <w:rsid w:val="26E52B87"/>
    <w:rsid w:val="26FE1308"/>
    <w:rsid w:val="27076EF2"/>
    <w:rsid w:val="271C4C09"/>
    <w:rsid w:val="27354A92"/>
    <w:rsid w:val="27377715"/>
    <w:rsid w:val="274B250D"/>
    <w:rsid w:val="274B7A2E"/>
    <w:rsid w:val="2764358E"/>
    <w:rsid w:val="2767173F"/>
    <w:rsid w:val="278A39CA"/>
    <w:rsid w:val="27AC7A9A"/>
    <w:rsid w:val="27AE573B"/>
    <w:rsid w:val="27C26A64"/>
    <w:rsid w:val="27F154AD"/>
    <w:rsid w:val="27F51441"/>
    <w:rsid w:val="280374C4"/>
    <w:rsid w:val="28075C22"/>
    <w:rsid w:val="28242CD1"/>
    <w:rsid w:val="282F23A9"/>
    <w:rsid w:val="283755B5"/>
    <w:rsid w:val="28476006"/>
    <w:rsid w:val="28757E8C"/>
    <w:rsid w:val="287E3C93"/>
    <w:rsid w:val="288051AE"/>
    <w:rsid w:val="289805CE"/>
    <w:rsid w:val="289B37F8"/>
    <w:rsid w:val="289F1CC1"/>
    <w:rsid w:val="28BA1D43"/>
    <w:rsid w:val="28C037FD"/>
    <w:rsid w:val="28CD28C6"/>
    <w:rsid w:val="28E245C9"/>
    <w:rsid w:val="28ED5930"/>
    <w:rsid w:val="28F94763"/>
    <w:rsid w:val="290C74DD"/>
    <w:rsid w:val="297C0913"/>
    <w:rsid w:val="297F1AD0"/>
    <w:rsid w:val="2988369D"/>
    <w:rsid w:val="298E7A49"/>
    <w:rsid w:val="29900DED"/>
    <w:rsid w:val="29982B94"/>
    <w:rsid w:val="29A92D11"/>
    <w:rsid w:val="29BD2F7D"/>
    <w:rsid w:val="29D715C5"/>
    <w:rsid w:val="29E54408"/>
    <w:rsid w:val="29EB2AFB"/>
    <w:rsid w:val="29F84EE5"/>
    <w:rsid w:val="2A18789B"/>
    <w:rsid w:val="2A204A85"/>
    <w:rsid w:val="2A246901"/>
    <w:rsid w:val="2A377480"/>
    <w:rsid w:val="2A535D7E"/>
    <w:rsid w:val="2A682472"/>
    <w:rsid w:val="2A700B8E"/>
    <w:rsid w:val="2A7319B4"/>
    <w:rsid w:val="2A7725E1"/>
    <w:rsid w:val="2A7B7BA7"/>
    <w:rsid w:val="2A8C5094"/>
    <w:rsid w:val="2A8D3BD7"/>
    <w:rsid w:val="2AAC1537"/>
    <w:rsid w:val="2AB54EB7"/>
    <w:rsid w:val="2AB81432"/>
    <w:rsid w:val="2ACD2D51"/>
    <w:rsid w:val="2AE36062"/>
    <w:rsid w:val="2B2250C2"/>
    <w:rsid w:val="2B277B63"/>
    <w:rsid w:val="2B3F053F"/>
    <w:rsid w:val="2B4812E7"/>
    <w:rsid w:val="2B856638"/>
    <w:rsid w:val="2B8647D1"/>
    <w:rsid w:val="2B8F5708"/>
    <w:rsid w:val="2B980A61"/>
    <w:rsid w:val="2BAB7766"/>
    <w:rsid w:val="2BAF0622"/>
    <w:rsid w:val="2BCA6741"/>
    <w:rsid w:val="2BD40C05"/>
    <w:rsid w:val="2BE36EAA"/>
    <w:rsid w:val="2BE36EED"/>
    <w:rsid w:val="2C2B5431"/>
    <w:rsid w:val="2C324A12"/>
    <w:rsid w:val="2C3A6D18"/>
    <w:rsid w:val="2C4D058B"/>
    <w:rsid w:val="2C585B0D"/>
    <w:rsid w:val="2C6B1F6E"/>
    <w:rsid w:val="2C721059"/>
    <w:rsid w:val="2C9203E8"/>
    <w:rsid w:val="2C99012E"/>
    <w:rsid w:val="2CC41AE0"/>
    <w:rsid w:val="2CDD4252"/>
    <w:rsid w:val="2D04389F"/>
    <w:rsid w:val="2D190B64"/>
    <w:rsid w:val="2D2F506F"/>
    <w:rsid w:val="2D3D1A71"/>
    <w:rsid w:val="2D3E7BA4"/>
    <w:rsid w:val="2D46629B"/>
    <w:rsid w:val="2D4F7BD9"/>
    <w:rsid w:val="2D517CDA"/>
    <w:rsid w:val="2D52384A"/>
    <w:rsid w:val="2D6629C0"/>
    <w:rsid w:val="2D6F134E"/>
    <w:rsid w:val="2D917516"/>
    <w:rsid w:val="2DAB7052"/>
    <w:rsid w:val="2DE33AEA"/>
    <w:rsid w:val="2DE516D7"/>
    <w:rsid w:val="2DEE3750"/>
    <w:rsid w:val="2DFF3EDF"/>
    <w:rsid w:val="2E070575"/>
    <w:rsid w:val="2E354356"/>
    <w:rsid w:val="2E510040"/>
    <w:rsid w:val="2E64110A"/>
    <w:rsid w:val="2E7944E4"/>
    <w:rsid w:val="2E867809"/>
    <w:rsid w:val="2E8829D4"/>
    <w:rsid w:val="2EAB748B"/>
    <w:rsid w:val="2EB72DCB"/>
    <w:rsid w:val="2EBF50F9"/>
    <w:rsid w:val="2ECC7EA0"/>
    <w:rsid w:val="2ED66A33"/>
    <w:rsid w:val="2EEC0526"/>
    <w:rsid w:val="2EF52DE8"/>
    <w:rsid w:val="2F0210BE"/>
    <w:rsid w:val="2F0F103A"/>
    <w:rsid w:val="2F4F4849"/>
    <w:rsid w:val="2F570620"/>
    <w:rsid w:val="2F8D01B1"/>
    <w:rsid w:val="2FAF3852"/>
    <w:rsid w:val="2FCC5E24"/>
    <w:rsid w:val="2FE25C42"/>
    <w:rsid w:val="2FE70BCE"/>
    <w:rsid w:val="30033820"/>
    <w:rsid w:val="30054793"/>
    <w:rsid w:val="30246934"/>
    <w:rsid w:val="303348B4"/>
    <w:rsid w:val="303F76FD"/>
    <w:rsid w:val="30460041"/>
    <w:rsid w:val="306C72CB"/>
    <w:rsid w:val="307817EC"/>
    <w:rsid w:val="30B11C7D"/>
    <w:rsid w:val="30B821F9"/>
    <w:rsid w:val="30BC19AE"/>
    <w:rsid w:val="30E107B4"/>
    <w:rsid w:val="31073CAC"/>
    <w:rsid w:val="312F02BE"/>
    <w:rsid w:val="31C12394"/>
    <w:rsid w:val="31C20197"/>
    <w:rsid w:val="31D273F4"/>
    <w:rsid w:val="31E3230A"/>
    <w:rsid w:val="32095B2F"/>
    <w:rsid w:val="32350D74"/>
    <w:rsid w:val="32367CA3"/>
    <w:rsid w:val="324A2279"/>
    <w:rsid w:val="325E1659"/>
    <w:rsid w:val="326C3A73"/>
    <w:rsid w:val="328225B9"/>
    <w:rsid w:val="329D253B"/>
    <w:rsid w:val="32BF7D60"/>
    <w:rsid w:val="32FE15F9"/>
    <w:rsid w:val="330509E3"/>
    <w:rsid w:val="331C1F78"/>
    <w:rsid w:val="331D4DAE"/>
    <w:rsid w:val="334C67F1"/>
    <w:rsid w:val="33661445"/>
    <w:rsid w:val="336C0B7A"/>
    <w:rsid w:val="33723626"/>
    <w:rsid w:val="33881450"/>
    <w:rsid w:val="33AA7494"/>
    <w:rsid w:val="33B31FC9"/>
    <w:rsid w:val="33B8687A"/>
    <w:rsid w:val="33C01761"/>
    <w:rsid w:val="33CF5D09"/>
    <w:rsid w:val="33D113AB"/>
    <w:rsid w:val="340A7AE5"/>
    <w:rsid w:val="340B0ED4"/>
    <w:rsid w:val="341B7804"/>
    <w:rsid w:val="34213B10"/>
    <w:rsid w:val="34404A18"/>
    <w:rsid w:val="344169F2"/>
    <w:rsid w:val="34627F80"/>
    <w:rsid w:val="346A6D13"/>
    <w:rsid w:val="348573A1"/>
    <w:rsid w:val="34BD32E6"/>
    <w:rsid w:val="34D36666"/>
    <w:rsid w:val="34D65D7C"/>
    <w:rsid w:val="350467A1"/>
    <w:rsid w:val="352718C6"/>
    <w:rsid w:val="353C1D44"/>
    <w:rsid w:val="354B4447"/>
    <w:rsid w:val="354D3BD6"/>
    <w:rsid w:val="35743D1B"/>
    <w:rsid w:val="3577244E"/>
    <w:rsid w:val="35883671"/>
    <w:rsid w:val="35AC4AF0"/>
    <w:rsid w:val="35B0061D"/>
    <w:rsid w:val="35C2279B"/>
    <w:rsid w:val="35CA09C8"/>
    <w:rsid w:val="35E84BB3"/>
    <w:rsid w:val="36057A6B"/>
    <w:rsid w:val="36084A48"/>
    <w:rsid w:val="36302FAA"/>
    <w:rsid w:val="363674A2"/>
    <w:rsid w:val="36531DAD"/>
    <w:rsid w:val="36A620D9"/>
    <w:rsid w:val="36AE4C99"/>
    <w:rsid w:val="36BB10D1"/>
    <w:rsid w:val="36D7205C"/>
    <w:rsid w:val="36D87F64"/>
    <w:rsid w:val="36DD2B68"/>
    <w:rsid w:val="3703182C"/>
    <w:rsid w:val="37071C11"/>
    <w:rsid w:val="371424FC"/>
    <w:rsid w:val="37182F27"/>
    <w:rsid w:val="372769B3"/>
    <w:rsid w:val="372C6501"/>
    <w:rsid w:val="372E5E2B"/>
    <w:rsid w:val="37701543"/>
    <w:rsid w:val="37701620"/>
    <w:rsid w:val="377D6AA9"/>
    <w:rsid w:val="37810FA8"/>
    <w:rsid w:val="37862A64"/>
    <w:rsid w:val="378816EF"/>
    <w:rsid w:val="379577EC"/>
    <w:rsid w:val="37A036E8"/>
    <w:rsid w:val="37AA2753"/>
    <w:rsid w:val="37C03C94"/>
    <w:rsid w:val="37D959A9"/>
    <w:rsid w:val="37E17227"/>
    <w:rsid w:val="37FA2D95"/>
    <w:rsid w:val="380826AE"/>
    <w:rsid w:val="38087539"/>
    <w:rsid w:val="381F77B8"/>
    <w:rsid w:val="38400EDD"/>
    <w:rsid w:val="386C1A40"/>
    <w:rsid w:val="387E2D8D"/>
    <w:rsid w:val="38B47289"/>
    <w:rsid w:val="38BB2EE9"/>
    <w:rsid w:val="38BC7B5A"/>
    <w:rsid w:val="38E73D11"/>
    <w:rsid w:val="38EC0C93"/>
    <w:rsid w:val="38FE0581"/>
    <w:rsid w:val="3909060A"/>
    <w:rsid w:val="39111E53"/>
    <w:rsid w:val="391D6E47"/>
    <w:rsid w:val="393A7C7D"/>
    <w:rsid w:val="39410F94"/>
    <w:rsid w:val="39504E18"/>
    <w:rsid w:val="395E4107"/>
    <w:rsid w:val="396F47B3"/>
    <w:rsid w:val="39985340"/>
    <w:rsid w:val="39B80502"/>
    <w:rsid w:val="39CA3E7F"/>
    <w:rsid w:val="39DA4A0D"/>
    <w:rsid w:val="39F32A04"/>
    <w:rsid w:val="3A0948D8"/>
    <w:rsid w:val="3A13227B"/>
    <w:rsid w:val="3A1F5EEF"/>
    <w:rsid w:val="3A2A6B9E"/>
    <w:rsid w:val="3A2C34BB"/>
    <w:rsid w:val="3A49651A"/>
    <w:rsid w:val="3A7B5946"/>
    <w:rsid w:val="3ABC7F98"/>
    <w:rsid w:val="3AD015FB"/>
    <w:rsid w:val="3AD57913"/>
    <w:rsid w:val="3AF15F05"/>
    <w:rsid w:val="3B013A79"/>
    <w:rsid w:val="3B1F44A1"/>
    <w:rsid w:val="3B37011A"/>
    <w:rsid w:val="3B4D156C"/>
    <w:rsid w:val="3B591B64"/>
    <w:rsid w:val="3B6224F2"/>
    <w:rsid w:val="3B7162F4"/>
    <w:rsid w:val="3B750477"/>
    <w:rsid w:val="3B782801"/>
    <w:rsid w:val="3B834192"/>
    <w:rsid w:val="3B8634F2"/>
    <w:rsid w:val="3BAA1375"/>
    <w:rsid w:val="3BAC2835"/>
    <w:rsid w:val="3BAC7C11"/>
    <w:rsid w:val="3BAF74BD"/>
    <w:rsid w:val="3BB1527B"/>
    <w:rsid w:val="3BBB356F"/>
    <w:rsid w:val="3BF515B8"/>
    <w:rsid w:val="3BFE63EB"/>
    <w:rsid w:val="3C08753D"/>
    <w:rsid w:val="3C367367"/>
    <w:rsid w:val="3C473D79"/>
    <w:rsid w:val="3C6D33C2"/>
    <w:rsid w:val="3C9260E6"/>
    <w:rsid w:val="3C9B2EBD"/>
    <w:rsid w:val="3CB7686D"/>
    <w:rsid w:val="3CCE38FF"/>
    <w:rsid w:val="3CF07AA9"/>
    <w:rsid w:val="3CFD62D3"/>
    <w:rsid w:val="3CFD6976"/>
    <w:rsid w:val="3D2E11A3"/>
    <w:rsid w:val="3D4C7041"/>
    <w:rsid w:val="3D7405F1"/>
    <w:rsid w:val="3D876DDA"/>
    <w:rsid w:val="3D913562"/>
    <w:rsid w:val="3DA8693A"/>
    <w:rsid w:val="3DB10DA8"/>
    <w:rsid w:val="3DC82E83"/>
    <w:rsid w:val="3DE511B8"/>
    <w:rsid w:val="3DE5659B"/>
    <w:rsid w:val="3DEE1076"/>
    <w:rsid w:val="3E174E80"/>
    <w:rsid w:val="3E24155F"/>
    <w:rsid w:val="3E66233D"/>
    <w:rsid w:val="3E892C53"/>
    <w:rsid w:val="3E937662"/>
    <w:rsid w:val="3E9F2522"/>
    <w:rsid w:val="3EB03DAC"/>
    <w:rsid w:val="3ED13F56"/>
    <w:rsid w:val="3EFB0699"/>
    <w:rsid w:val="3F0214DC"/>
    <w:rsid w:val="3F170B40"/>
    <w:rsid w:val="3F202593"/>
    <w:rsid w:val="3F2E007C"/>
    <w:rsid w:val="3F322434"/>
    <w:rsid w:val="3F45783C"/>
    <w:rsid w:val="3F56403F"/>
    <w:rsid w:val="3F61748E"/>
    <w:rsid w:val="3F697A25"/>
    <w:rsid w:val="3F7D1474"/>
    <w:rsid w:val="3F801B25"/>
    <w:rsid w:val="3FE66388"/>
    <w:rsid w:val="3FEA0081"/>
    <w:rsid w:val="4024421A"/>
    <w:rsid w:val="40516312"/>
    <w:rsid w:val="40590DC4"/>
    <w:rsid w:val="405A3128"/>
    <w:rsid w:val="405D00A9"/>
    <w:rsid w:val="407F4BE6"/>
    <w:rsid w:val="40834C2C"/>
    <w:rsid w:val="408D34F7"/>
    <w:rsid w:val="40B015DA"/>
    <w:rsid w:val="40B732E0"/>
    <w:rsid w:val="40C96B6F"/>
    <w:rsid w:val="40D57603"/>
    <w:rsid w:val="41184901"/>
    <w:rsid w:val="41195D48"/>
    <w:rsid w:val="41437F8C"/>
    <w:rsid w:val="415852A9"/>
    <w:rsid w:val="41801E2D"/>
    <w:rsid w:val="4194611B"/>
    <w:rsid w:val="41A90E7A"/>
    <w:rsid w:val="41AC04B1"/>
    <w:rsid w:val="41AC12B2"/>
    <w:rsid w:val="41B424FF"/>
    <w:rsid w:val="42053654"/>
    <w:rsid w:val="424A7FFF"/>
    <w:rsid w:val="42501182"/>
    <w:rsid w:val="425806F7"/>
    <w:rsid w:val="42621029"/>
    <w:rsid w:val="429F4FCB"/>
    <w:rsid w:val="42A709F7"/>
    <w:rsid w:val="42A82F9F"/>
    <w:rsid w:val="42E40F93"/>
    <w:rsid w:val="42F062AC"/>
    <w:rsid w:val="430119CF"/>
    <w:rsid w:val="430204EE"/>
    <w:rsid w:val="43037532"/>
    <w:rsid w:val="431A47EE"/>
    <w:rsid w:val="431C742A"/>
    <w:rsid w:val="43304A6B"/>
    <w:rsid w:val="434314A4"/>
    <w:rsid w:val="4352734A"/>
    <w:rsid w:val="4354032D"/>
    <w:rsid w:val="435926ED"/>
    <w:rsid w:val="435D1B49"/>
    <w:rsid w:val="43F44339"/>
    <w:rsid w:val="44025656"/>
    <w:rsid w:val="44076A26"/>
    <w:rsid w:val="440F6F8F"/>
    <w:rsid w:val="44265401"/>
    <w:rsid w:val="446C618F"/>
    <w:rsid w:val="44731002"/>
    <w:rsid w:val="44734328"/>
    <w:rsid w:val="449C7BD6"/>
    <w:rsid w:val="44AC6A32"/>
    <w:rsid w:val="44B80DDD"/>
    <w:rsid w:val="44E87F0C"/>
    <w:rsid w:val="44F42EA4"/>
    <w:rsid w:val="45047FAB"/>
    <w:rsid w:val="455410FD"/>
    <w:rsid w:val="455949BF"/>
    <w:rsid w:val="45670C9C"/>
    <w:rsid w:val="456E5935"/>
    <w:rsid w:val="45807869"/>
    <w:rsid w:val="45CD0EAF"/>
    <w:rsid w:val="45D50676"/>
    <w:rsid w:val="46006CD1"/>
    <w:rsid w:val="460817AD"/>
    <w:rsid w:val="46104C43"/>
    <w:rsid w:val="461922D2"/>
    <w:rsid w:val="461D47BC"/>
    <w:rsid w:val="462F1B6A"/>
    <w:rsid w:val="463D3AF4"/>
    <w:rsid w:val="464E343F"/>
    <w:rsid w:val="464F6201"/>
    <w:rsid w:val="466C4097"/>
    <w:rsid w:val="46945A37"/>
    <w:rsid w:val="46B03AF2"/>
    <w:rsid w:val="46BB3CF0"/>
    <w:rsid w:val="46C3792B"/>
    <w:rsid w:val="46DF533E"/>
    <w:rsid w:val="46F30C9C"/>
    <w:rsid w:val="46F54313"/>
    <w:rsid w:val="470E056C"/>
    <w:rsid w:val="47203E63"/>
    <w:rsid w:val="47324017"/>
    <w:rsid w:val="4733623A"/>
    <w:rsid w:val="474D674C"/>
    <w:rsid w:val="475C7277"/>
    <w:rsid w:val="478E3F34"/>
    <w:rsid w:val="479C2D32"/>
    <w:rsid w:val="47AE4665"/>
    <w:rsid w:val="47CD4B5F"/>
    <w:rsid w:val="47EB18A6"/>
    <w:rsid w:val="480765C5"/>
    <w:rsid w:val="481607C6"/>
    <w:rsid w:val="482D3D76"/>
    <w:rsid w:val="4840570E"/>
    <w:rsid w:val="48436C01"/>
    <w:rsid w:val="48563DEF"/>
    <w:rsid w:val="48595BE9"/>
    <w:rsid w:val="485F45BD"/>
    <w:rsid w:val="48831CF9"/>
    <w:rsid w:val="488C6C15"/>
    <w:rsid w:val="48BA27AC"/>
    <w:rsid w:val="48C3484A"/>
    <w:rsid w:val="48D07D3F"/>
    <w:rsid w:val="48D22655"/>
    <w:rsid w:val="48DB2586"/>
    <w:rsid w:val="48EA442D"/>
    <w:rsid w:val="48F161B9"/>
    <w:rsid w:val="48F83BEF"/>
    <w:rsid w:val="48FF0D93"/>
    <w:rsid w:val="4900334A"/>
    <w:rsid w:val="49052769"/>
    <w:rsid w:val="49085F68"/>
    <w:rsid w:val="492835D1"/>
    <w:rsid w:val="49286D5D"/>
    <w:rsid w:val="492928A1"/>
    <w:rsid w:val="49520049"/>
    <w:rsid w:val="495C7930"/>
    <w:rsid w:val="49601AC2"/>
    <w:rsid w:val="499C0B4B"/>
    <w:rsid w:val="49B4411A"/>
    <w:rsid w:val="49BA799D"/>
    <w:rsid w:val="49C66341"/>
    <w:rsid w:val="49CF5DAB"/>
    <w:rsid w:val="49D75CA3"/>
    <w:rsid w:val="49F368F6"/>
    <w:rsid w:val="49F746BA"/>
    <w:rsid w:val="4A2B5FB0"/>
    <w:rsid w:val="4A2F6DD6"/>
    <w:rsid w:val="4A3E412A"/>
    <w:rsid w:val="4A5C4098"/>
    <w:rsid w:val="4A673681"/>
    <w:rsid w:val="4A7B3ACD"/>
    <w:rsid w:val="4AA95AA7"/>
    <w:rsid w:val="4AD1388E"/>
    <w:rsid w:val="4ADD7DE7"/>
    <w:rsid w:val="4AE42934"/>
    <w:rsid w:val="4AF45B63"/>
    <w:rsid w:val="4B000530"/>
    <w:rsid w:val="4B111850"/>
    <w:rsid w:val="4B1B2D77"/>
    <w:rsid w:val="4B427968"/>
    <w:rsid w:val="4B44603B"/>
    <w:rsid w:val="4B6F67BD"/>
    <w:rsid w:val="4B8E7F0A"/>
    <w:rsid w:val="4BC972BF"/>
    <w:rsid w:val="4BD52DDC"/>
    <w:rsid w:val="4BEA0FB4"/>
    <w:rsid w:val="4C0249A2"/>
    <w:rsid w:val="4C1C049B"/>
    <w:rsid w:val="4C214069"/>
    <w:rsid w:val="4C2A6282"/>
    <w:rsid w:val="4C2B6930"/>
    <w:rsid w:val="4C35557C"/>
    <w:rsid w:val="4C3700F7"/>
    <w:rsid w:val="4C5424D5"/>
    <w:rsid w:val="4C5639AD"/>
    <w:rsid w:val="4C5C7E3A"/>
    <w:rsid w:val="4C9A400D"/>
    <w:rsid w:val="4CAC181F"/>
    <w:rsid w:val="4CC626E2"/>
    <w:rsid w:val="4CC87964"/>
    <w:rsid w:val="4CD0277B"/>
    <w:rsid w:val="4CEC5F52"/>
    <w:rsid w:val="4CF31274"/>
    <w:rsid w:val="4D063036"/>
    <w:rsid w:val="4D086A7E"/>
    <w:rsid w:val="4D3622A3"/>
    <w:rsid w:val="4D497AC4"/>
    <w:rsid w:val="4D5349B7"/>
    <w:rsid w:val="4D573E80"/>
    <w:rsid w:val="4D622DC1"/>
    <w:rsid w:val="4D680E41"/>
    <w:rsid w:val="4D6C2A76"/>
    <w:rsid w:val="4D987D9B"/>
    <w:rsid w:val="4DA67AB4"/>
    <w:rsid w:val="4DB36BDD"/>
    <w:rsid w:val="4DB72B71"/>
    <w:rsid w:val="4DCD4B10"/>
    <w:rsid w:val="4E1829AD"/>
    <w:rsid w:val="4E2B7E94"/>
    <w:rsid w:val="4E5125CC"/>
    <w:rsid w:val="4E51397A"/>
    <w:rsid w:val="4E554CFF"/>
    <w:rsid w:val="4E745BD4"/>
    <w:rsid w:val="4E8B7306"/>
    <w:rsid w:val="4E906841"/>
    <w:rsid w:val="4E930F31"/>
    <w:rsid w:val="4E9F469F"/>
    <w:rsid w:val="4EAC1FAA"/>
    <w:rsid w:val="4EB86BA1"/>
    <w:rsid w:val="4EBC2C8C"/>
    <w:rsid w:val="4EDA0DE5"/>
    <w:rsid w:val="4F0F15D1"/>
    <w:rsid w:val="4F122126"/>
    <w:rsid w:val="4F4B5119"/>
    <w:rsid w:val="4F526764"/>
    <w:rsid w:val="4F7203A8"/>
    <w:rsid w:val="4F8A3195"/>
    <w:rsid w:val="4F9842DC"/>
    <w:rsid w:val="4FB07C14"/>
    <w:rsid w:val="4FB4597F"/>
    <w:rsid w:val="4FC64000"/>
    <w:rsid w:val="4FDD1B8F"/>
    <w:rsid w:val="4FE545D6"/>
    <w:rsid w:val="4FEE2849"/>
    <w:rsid w:val="4FF33383"/>
    <w:rsid w:val="50057B86"/>
    <w:rsid w:val="501F573F"/>
    <w:rsid w:val="502122CE"/>
    <w:rsid w:val="50446EBB"/>
    <w:rsid w:val="50510E84"/>
    <w:rsid w:val="50583A88"/>
    <w:rsid w:val="50697A2F"/>
    <w:rsid w:val="50732DD3"/>
    <w:rsid w:val="50ED71E8"/>
    <w:rsid w:val="50F059E1"/>
    <w:rsid w:val="51454E2B"/>
    <w:rsid w:val="51974390"/>
    <w:rsid w:val="51A4340C"/>
    <w:rsid w:val="51AF0D01"/>
    <w:rsid w:val="51B549BF"/>
    <w:rsid w:val="51C00912"/>
    <w:rsid w:val="51C20B0C"/>
    <w:rsid w:val="51D75590"/>
    <w:rsid w:val="51DB37E2"/>
    <w:rsid w:val="51F84722"/>
    <w:rsid w:val="523C311F"/>
    <w:rsid w:val="525C5A95"/>
    <w:rsid w:val="52AD6B78"/>
    <w:rsid w:val="52BF006D"/>
    <w:rsid w:val="52D91C1D"/>
    <w:rsid w:val="52D925C4"/>
    <w:rsid w:val="52EA4502"/>
    <w:rsid w:val="52F33681"/>
    <w:rsid w:val="52F63E57"/>
    <w:rsid w:val="52FB189F"/>
    <w:rsid w:val="53195DC0"/>
    <w:rsid w:val="53405E5B"/>
    <w:rsid w:val="53534E91"/>
    <w:rsid w:val="53681D4A"/>
    <w:rsid w:val="53820061"/>
    <w:rsid w:val="53AE72D9"/>
    <w:rsid w:val="53B0186D"/>
    <w:rsid w:val="53BC5AEE"/>
    <w:rsid w:val="53D53FE3"/>
    <w:rsid w:val="53D855EF"/>
    <w:rsid w:val="53DE7084"/>
    <w:rsid w:val="53F33EDC"/>
    <w:rsid w:val="54161C73"/>
    <w:rsid w:val="5426635A"/>
    <w:rsid w:val="543071D9"/>
    <w:rsid w:val="5466366B"/>
    <w:rsid w:val="547B011F"/>
    <w:rsid w:val="54977258"/>
    <w:rsid w:val="54A74D1A"/>
    <w:rsid w:val="54AC437E"/>
    <w:rsid w:val="54BA2DD4"/>
    <w:rsid w:val="54C1387D"/>
    <w:rsid w:val="54C50A87"/>
    <w:rsid w:val="54E171D9"/>
    <w:rsid w:val="5515276F"/>
    <w:rsid w:val="55354400"/>
    <w:rsid w:val="5543279F"/>
    <w:rsid w:val="555B6E99"/>
    <w:rsid w:val="557467B6"/>
    <w:rsid w:val="560457FA"/>
    <w:rsid w:val="560A18B8"/>
    <w:rsid w:val="560A595D"/>
    <w:rsid w:val="56156687"/>
    <w:rsid w:val="56261658"/>
    <w:rsid w:val="562C1314"/>
    <w:rsid w:val="562E4292"/>
    <w:rsid w:val="56453A96"/>
    <w:rsid w:val="564D04DA"/>
    <w:rsid w:val="565D48B9"/>
    <w:rsid w:val="567243C1"/>
    <w:rsid w:val="568F59DF"/>
    <w:rsid w:val="56AA329E"/>
    <w:rsid w:val="56B92493"/>
    <w:rsid w:val="56BD175F"/>
    <w:rsid w:val="56CC1891"/>
    <w:rsid w:val="56DB17C4"/>
    <w:rsid w:val="56F664B8"/>
    <w:rsid w:val="57236788"/>
    <w:rsid w:val="5726667C"/>
    <w:rsid w:val="57585396"/>
    <w:rsid w:val="5759206A"/>
    <w:rsid w:val="57610106"/>
    <w:rsid w:val="577C0875"/>
    <w:rsid w:val="579209EA"/>
    <w:rsid w:val="57984BFF"/>
    <w:rsid w:val="57A53A3A"/>
    <w:rsid w:val="57AB1BA7"/>
    <w:rsid w:val="57C84AB0"/>
    <w:rsid w:val="57D62E39"/>
    <w:rsid w:val="57D91D4D"/>
    <w:rsid w:val="57D9752A"/>
    <w:rsid w:val="58207F8B"/>
    <w:rsid w:val="582E57DE"/>
    <w:rsid w:val="58415A18"/>
    <w:rsid w:val="584A6390"/>
    <w:rsid w:val="58627EBD"/>
    <w:rsid w:val="586B775F"/>
    <w:rsid w:val="58777E71"/>
    <w:rsid w:val="58951D01"/>
    <w:rsid w:val="58A237C7"/>
    <w:rsid w:val="58C2207B"/>
    <w:rsid w:val="58C3061C"/>
    <w:rsid w:val="58D35797"/>
    <w:rsid w:val="58D53CB9"/>
    <w:rsid w:val="58D82642"/>
    <w:rsid w:val="58EC49C1"/>
    <w:rsid w:val="58F03ED6"/>
    <w:rsid w:val="58F52847"/>
    <w:rsid w:val="591A2206"/>
    <w:rsid w:val="59282B75"/>
    <w:rsid w:val="593D76F1"/>
    <w:rsid w:val="593F7157"/>
    <w:rsid w:val="596764B7"/>
    <w:rsid w:val="597A0C6C"/>
    <w:rsid w:val="59936167"/>
    <w:rsid w:val="59AF0AA1"/>
    <w:rsid w:val="59E34D5D"/>
    <w:rsid w:val="59E461A0"/>
    <w:rsid w:val="59F72B45"/>
    <w:rsid w:val="59F97F00"/>
    <w:rsid w:val="5A037617"/>
    <w:rsid w:val="5A2644E1"/>
    <w:rsid w:val="5A306FC5"/>
    <w:rsid w:val="5A324F86"/>
    <w:rsid w:val="5A373E76"/>
    <w:rsid w:val="5A3B68D8"/>
    <w:rsid w:val="5A596455"/>
    <w:rsid w:val="5A673647"/>
    <w:rsid w:val="5A7F5056"/>
    <w:rsid w:val="5A907836"/>
    <w:rsid w:val="5AA44CA3"/>
    <w:rsid w:val="5ABF662D"/>
    <w:rsid w:val="5AD3393C"/>
    <w:rsid w:val="5ADD500E"/>
    <w:rsid w:val="5AE14D89"/>
    <w:rsid w:val="5AE44879"/>
    <w:rsid w:val="5AE92AFC"/>
    <w:rsid w:val="5AF251E8"/>
    <w:rsid w:val="5B2A75AF"/>
    <w:rsid w:val="5B305D11"/>
    <w:rsid w:val="5B4672E2"/>
    <w:rsid w:val="5B48305A"/>
    <w:rsid w:val="5B61236E"/>
    <w:rsid w:val="5B73253D"/>
    <w:rsid w:val="5B8532CF"/>
    <w:rsid w:val="5BBD6196"/>
    <w:rsid w:val="5BCF1F18"/>
    <w:rsid w:val="5BD64F5F"/>
    <w:rsid w:val="5BF66388"/>
    <w:rsid w:val="5C21236B"/>
    <w:rsid w:val="5C277096"/>
    <w:rsid w:val="5C3A115D"/>
    <w:rsid w:val="5C3E7EDE"/>
    <w:rsid w:val="5C507501"/>
    <w:rsid w:val="5C603A77"/>
    <w:rsid w:val="5C7922E1"/>
    <w:rsid w:val="5C7A43E9"/>
    <w:rsid w:val="5CB106D6"/>
    <w:rsid w:val="5CC2508E"/>
    <w:rsid w:val="5CDA5F34"/>
    <w:rsid w:val="5CEB6393"/>
    <w:rsid w:val="5D10371C"/>
    <w:rsid w:val="5D245401"/>
    <w:rsid w:val="5D322077"/>
    <w:rsid w:val="5D4C0850"/>
    <w:rsid w:val="5D505265"/>
    <w:rsid w:val="5D68315E"/>
    <w:rsid w:val="5D6D0B56"/>
    <w:rsid w:val="5D893E2D"/>
    <w:rsid w:val="5DB35446"/>
    <w:rsid w:val="5DCC4357"/>
    <w:rsid w:val="5E0251E2"/>
    <w:rsid w:val="5E147138"/>
    <w:rsid w:val="5E185D15"/>
    <w:rsid w:val="5E563426"/>
    <w:rsid w:val="5E7D301B"/>
    <w:rsid w:val="5E9F11E3"/>
    <w:rsid w:val="5EA50E39"/>
    <w:rsid w:val="5ED85791"/>
    <w:rsid w:val="5F1D4FFB"/>
    <w:rsid w:val="5F2711D9"/>
    <w:rsid w:val="5F38347F"/>
    <w:rsid w:val="5F447945"/>
    <w:rsid w:val="5F5C5087"/>
    <w:rsid w:val="5F684768"/>
    <w:rsid w:val="5F691611"/>
    <w:rsid w:val="5FAE62AC"/>
    <w:rsid w:val="5FB62C28"/>
    <w:rsid w:val="5FB67576"/>
    <w:rsid w:val="5FCC424D"/>
    <w:rsid w:val="5FD26BEC"/>
    <w:rsid w:val="5FDB3092"/>
    <w:rsid w:val="5FF5685F"/>
    <w:rsid w:val="5FF86BBC"/>
    <w:rsid w:val="600C32B1"/>
    <w:rsid w:val="60223F5E"/>
    <w:rsid w:val="6024395C"/>
    <w:rsid w:val="60371A35"/>
    <w:rsid w:val="604F2F3E"/>
    <w:rsid w:val="60593614"/>
    <w:rsid w:val="605D2C74"/>
    <w:rsid w:val="606B238A"/>
    <w:rsid w:val="60A70823"/>
    <w:rsid w:val="60AF66E1"/>
    <w:rsid w:val="60DE31C9"/>
    <w:rsid w:val="60E65B8C"/>
    <w:rsid w:val="60F2534F"/>
    <w:rsid w:val="60F84A8F"/>
    <w:rsid w:val="61165750"/>
    <w:rsid w:val="612B5BBD"/>
    <w:rsid w:val="61315319"/>
    <w:rsid w:val="613560BE"/>
    <w:rsid w:val="613751E1"/>
    <w:rsid w:val="61442516"/>
    <w:rsid w:val="61481763"/>
    <w:rsid w:val="616C4970"/>
    <w:rsid w:val="617050B9"/>
    <w:rsid w:val="61776B78"/>
    <w:rsid w:val="618E553F"/>
    <w:rsid w:val="61A741A6"/>
    <w:rsid w:val="61B66109"/>
    <w:rsid w:val="61C75031"/>
    <w:rsid w:val="61CB5D1D"/>
    <w:rsid w:val="61CD42B9"/>
    <w:rsid w:val="61E15F4B"/>
    <w:rsid w:val="61E231CC"/>
    <w:rsid w:val="622A32B4"/>
    <w:rsid w:val="62323312"/>
    <w:rsid w:val="62330D2B"/>
    <w:rsid w:val="623952FE"/>
    <w:rsid w:val="624509D0"/>
    <w:rsid w:val="624D681C"/>
    <w:rsid w:val="62637F9C"/>
    <w:rsid w:val="626F7561"/>
    <w:rsid w:val="62D06F53"/>
    <w:rsid w:val="62F415C5"/>
    <w:rsid w:val="63043E2F"/>
    <w:rsid w:val="631235E1"/>
    <w:rsid w:val="63206773"/>
    <w:rsid w:val="63363C7B"/>
    <w:rsid w:val="6339164C"/>
    <w:rsid w:val="635F6987"/>
    <w:rsid w:val="63A50B2C"/>
    <w:rsid w:val="63B14EA6"/>
    <w:rsid w:val="63B6121F"/>
    <w:rsid w:val="63BB7FC4"/>
    <w:rsid w:val="63BF189D"/>
    <w:rsid w:val="63F7408D"/>
    <w:rsid w:val="63FD2E52"/>
    <w:rsid w:val="640C599F"/>
    <w:rsid w:val="640D13A6"/>
    <w:rsid w:val="641C4827"/>
    <w:rsid w:val="642720BF"/>
    <w:rsid w:val="642D529C"/>
    <w:rsid w:val="6434445B"/>
    <w:rsid w:val="644F6C2F"/>
    <w:rsid w:val="64680078"/>
    <w:rsid w:val="648546FA"/>
    <w:rsid w:val="64B42230"/>
    <w:rsid w:val="64B715AC"/>
    <w:rsid w:val="64BC3EAA"/>
    <w:rsid w:val="64CE0EDE"/>
    <w:rsid w:val="64EA75F6"/>
    <w:rsid w:val="64F77F14"/>
    <w:rsid w:val="64FB0841"/>
    <w:rsid w:val="65203CA7"/>
    <w:rsid w:val="65390538"/>
    <w:rsid w:val="65391E54"/>
    <w:rsid w:val="6545027D"/>
    <w:rsid w:val="65792A57"/>
    <w:rsid w:val="65844209"/>
    <w:rsid w:val="658D5CD5"/>
    <w:rsid w:val="65BC40B5"/>
    <w:rsid w:val="65BE654C"/>
    <w:rsid w:val="65C16A74"/>
    <w:rsid w:val="65D40E26"/>
    <w:rsid w:val="66077E23"/>
    <w:rsid w:val="668F2A3A"/>
    <w:rsid w:val="66CD4D5B"/>
    <w:rsid w:val="66D2369B"/>
    <w:rsid w:val="66F14371"/>
    <w:rsid w:val="66F52035"/>
    <w:rsid w:val="67091D97"/>
    <w:rsid w:val="67153F02"/>
    <w:rsid w:val="671A44F6"/>
    <w:rsid w:val="671B5AC7"/>
    <w:rsid w:val="671B75EC"/>
    <w:rsid w:val="67295265"/>
    <w:rsid w:val="673377F5"/>
    <w:rsid w:val="673C73B2"/>
    <w:rsid w:val="674456EC"/>
    <w:rsid w:val="674A015A"/>
    <w:rsid w:val="67631874"/>
    <w:rsid w:val="6780592A"/>
    <w:rsid w:val="6783017D"/>
    <w:rsid w:val="67B4518C"/>
    <w:rsid w:val="67BE253B"/>
    <w:rsid w:val="67C567BE"/>
    <w:rsid w:val="67F5461D"/>
    <w:rsid w:val="68007156"/>
    <w:rsid w:val="68096D2E"/>
    <w:rsid w:val="680F56F1"/>
    <w:rsid w:val="68270810"/>
    <w:rsid w:val="683622A4"/>
    <w:rsid w:val="68493D36"/>
    <w:rsid w:val="68612B31"/>
    <w:rsid w:val="68685A44"/>
    <w:rsid w:val="686E216B"/>
    <w:rsid w:val="68B80736"/>
    <w:rsid w:val="68C06926"/>
    <w:rsid w:val="68C2545C"/>
    <w:rsid w:val="68F23071"/>
    <w:rsid w:val="68F7551F"/>
    <w:rsid w:val="69410B62"/>
    <w:rsid w:val="69423360"/>
    <w:rsid w:val="69456AA4"/>
    <w:rsid w:val="69525578"/>
    <w:rsid w:val="696A60FD"/>
    <w:rsid w:val="69740396"/>
    <w:rsid w:val="69756563"/>
    <w:rsid w:val="69AC0FE3"/>
    <w:rsid w:val="69AE253B"/>
    <w:rsid w:val="69AF4339"/>
    <w:rsid w:val="69C43E38"/>
    <w:rsid w:val="69DA3A17"/>
    <w:rsid w:val="69DF5E21"/>
    <w:rsid w:val="69FC1BE0"/>
    <w:rsid w:val="6A010FA4"/>
    <w:rsid w:val="6A043B72"/>
    <w:rsid w:val="6A181EC7"/>
    <w:rsid w:val="6A3273AF"/>
    <w:rsid w:val="6A522B8C"/>
    <w:rsid w:val="6A5A6DDA"/>
    <w:rsid w:val="6A6C3BDD"/>
    <w:rsid w:val="6A932BE4"/>
    <w:rsid w:val="6A9A28E6"/>
    <w:rsid w:val="6AAE536C"/>
    <w:rsid w:val="6AB9187F"/>
    <w:rsid w:val="6ABA07E9"/>
    <w:rsid w:val="6ADE3B6D"/>
    <w:rsid w:val="6AF205BC"/>
    <w:rsid w:val="6B1305B8"/>
    <w:rsid w:val="6B17495D"/>
    <w:rsid w:val="6B1D26F9"/>
    <w:rsid w:val="6B1E55ED"/>
    <w:rsid w:val="6B3626B8"/>
    <w:rsid w:val="6B3B4041"/>
    <w:rsid w:val="6B413622"/>
    <w:rsid w:val="6B417107"/>
    <w:rsid w:val="6B6F525C"/>
    <w:rsid w:val="6B722972"/>
    <w:rsid w:val="6B876054"/>
    <w:rsid w:val="6BB52698"/>
    <w:rsid w:val="6BD00FB0"/>
    <w:rsid w:val="6C101076"/>
    <w:rsid w:val="6C3A1F2E"/>
    <w:rsid w:val="6C414D7A"/>
    <w:rsid w:val="6C660B1B"/>
    <w:rsid w:val="6C853938"/>
    <w:rsid w:val="6CD85139"/>
    <w:rsid w:val="6CDA438A"/>
    <w:rsid w:val="6CE8600F"/>
    <w:rsid w:val="6D02049F"/>
    <w:rsid w:val="6D126C40"/>
    <w:rsid w:val="6D247CF7"/>
    <w:rsid w:val="6D314384"/>
    <w:rsid w:val="6D3C6B89"/>
    <w:rsid w:val="6D433682"/>
    <w:rsid w:val="6D470A5B"/>
    <w:rsid w:val="6D695200"/>
    <w:rsid w:val="6D785A21"/>
    <w:rsid w:val="6D91485D"/>
    <w:rsid w:val="6D9B170F"/>
    <w:rsid w:val="6DC07B4B"/>
    <w:rsid w:val="6DC36570"/>
    <w:rsid w:val="6DC50562"/>
    <w:rsid w:val="6DEB4FE8"/>
    <w:rsid w:val="6DF8446C"/>
    <w:rsid w:val="6E072891"/>
    <w:rsid w:val="6E204CEE"/>
    <w:rsid w:val="6E407BC1"/>
    <w:rsid w:val="6E566519"/>
    <w:rsid w:val="6E7837FF"/>
    <w:rsid w:val="6E784566"/>
    <w:rsid w:val="6E841DFD"/>
    <w:rsid w:val="6EA2131E"/>
    <w:rsid w:val="6EBD3C47"/>
    <w:rsid w:val="6EE85758"/>
    <w:rsid w:val="6EF10021"/>
    <w:rsid w:val="6EF44189"/>
    <w:rsid w:val="6EFF6F40"/>
    <w:rsid w:val="6F0A653A"/>
    <w:rsid w:val="6F0C1415"/>
    <w:rsid w:val="6F254430"/>
    <w:rsid w:val="6F330974"/>
    <w:rsid w:val="6F406874"/>
    <w:rsid w:val="6F625CDF"/>
    <w:rsid w:val="6F6611A3"/>
    <w:rsid w:val="6F715A26"/>
    <w:rsid w:val="6F963FDF"/>
    <w:rsid w:val="6F973F00"/>
    <w:rsid w:val="6F9B77A5"/>
    <w:rsid w:val="6FBB2C8A"/>
    <w:rsid w:val="6FBC56C3"/>
    <w:rsid w:val="6FC0720B"/>
    <w:rsid w:val="6FD7198F"/>
    <w:rsid w:val="6FEC5674"/>
    <w:rsid w:val="6FF670D1"/>
    <w:rsid w:val="700A69E8"/>
    <w:rsid w:val="7028502E"/>
    <w:rsid w:val="702B35D2"/>
    <w:rsid w:val="70313C65"/>
    <w:rsid w:val="703A372F"/>
    <w:rsid w:val="704722C9"/>
    <w:rsid w:val="70552804"/>
    <w:rsid w:val="707E7F25"/>
    <w:rsid w:val="708508F1"/>
    <w:rsid w:val="70A7516D"/>
    <w:rsid w:val="70C77757"/>
    <w:rsid w:val="70E277FC"/>
    <w:rsid w:val="710F0E02"/>
    <w:rsid w:val="7135505E"/>
    <w:rsid w:val="713E5355"/>
    <w:rsid w:val="716A0EEB"/>
    <w:rsid w:val="716D59D0"/>
    <w:rsid w:val="71755552"/>
    <w:rsid w:val="717903DF"/>
    <w:rsid w:val="71A617A0"/>
    <w:rsid w:val="71AB2167"/>
    <w:rsid w:val="71CE5AD5"/>
    <w:rsid w:val="71F23AE0"/>
    <w:rsid w:val="71F464F9"/>
    <w:rsid w:val="72031DEA"/>
    <w:rsid w:val="72071616"/>
    <w:rsid w:val="72121ED5"/>
    <w:rsid w:val="72190E55"/>
    <w:rsid w:val="721B6B33"/>
    <w:rsid w:val="721B7D37"/>
    <w:rsid w:val="72330169"/>
    <w:rsid w:val="72720073"/>
    <w:rsid w:val="727241ED"/>
    <w:rsid w:val="728A40FE"/>
    <w:rsid w:val="728B598D"/>
    <w:rsid w:val="72931A5C"/>
    <w:rsid w:val="72B172DF"/>
    <w:rsid w:val="72B21F8F"/>
    <w:rsid w:val="72C87C6A"/>
    <w:rsid w:val="731C2BEF"/>
    <w:rsid w:val="73230A1F"/>
    <w:rsid w:val="7339600C"/>
    <w:rsid w:val="736C10B3"/>
    <w:rsid w:val="737C5B3F"/>
    <w:rsid w:val="739279CB"/>
    <w:rsid w:val="73C66424"/>
    <w:rsid w:val="73DF45AA"/>
    <w:rsid w:val="73F8446C"/>
    <w:rsid w:val="740D6623"/>
    <w:rsid w:val="741513AA"/>
    <w:rsid w:val="74194A6B"/>
    <w:rsid w:val="7420471D"/>
    <w:rsid w:val="74234A72"/>
    <w:rsid w:val="74555BF7"/>
    <w:rsid w:val="7456581C"/>
    <w:rsid w:val="74651C58"/>
    <w:rsid w:val="74974DD6"/>
    <w:rsid w:val="74AD2552"/>
    <w:rsid w:val="74B524DC"/>
    <w:rsid w:val="74E76FE8"/>
    <w:rsid w:val="75000DDA"/>
    <w:rsid w:val="751D4FC3"/>
    <w:rsid w:val="75352E4E"/>
    <w:rsid w:val="7541494A"/>
    <w:rsid w:val="7587646F"/>
    <w:rsid w:val="759524DD"/>
    <w:rsid w:val="75A06178"/>
    <w:rsid w:val="76040350"/>
    <w:rsid w:val="761262E7"/>
    <w:rsid w:val="762670B4"/>
    <w:rsid w:val="7643534A"/>
    <w:rsid w:val="7666438C"/>
    <w:rsid w:val="76744F9D"/>
    <w:rsid w:val="767C122F"/>
    <w:rsid w:val="7682368F"/>
    <w:rsid w:val="76951159"/>
    <w:rsid w:val="76A61356"/>
    <w:rsid w:val="76B00C2A"/>
    <w:rsid w:val="76D66828"/>
    <w:rsid w:val="76F96EC3"/>
    <w:rsid w:val="77037490"/>
    <w:rsid w:val="772E0EFE"/>
    <w:rsid w:val="7737422A"/>
    <w:rsid w:val="77391F81"/>
    <w:rsid w:val="773D4968"/>
    <w:rsid w:val="77584D6E"/>
    <w:rsid w:val="7768432B"/>
    <w:rsid w:val="77721BAB"/>
    <w:rsid w:val="77825766"/>
    <w:rsid w:val="779A3D75"/>
    <w:rsid w:val="77DA6E30"/>
    <w:rsid w:val="77EE17B1"/>
    <w:rsid w:val="77F34EC9"/>
    <w:rsid w:val="77FC4E60"/>
    <w:rsid w:val="78200A7C"/>
    <w:rsid w:val="78A33F00"/>
    <w:rsid w:val="78AA5A8F"/>
    <w:rsid w:val="78E0091E"/>
    <w:rsid w:val="791B5F9E"/>
    <w:rsid w:val="794C483D"/>
    <w:rsid w:val="79565882"/>
    <w:rsid w:val="79735A29"/>
    <w:rsid w:val="798C3A5C"/>
    <w:rsid w:val="79AB2F93"/>
    <w:rsid w:val="79C97604"/>
    <w:rsid w:val="79CB37B3"/>
    <w:rsid w:val="79FB66A6"/>
    <w:rsid w:val="7A0A686D"/>
    <w:rsid w:val="7A155969"/>
    <w:rsid w:val="7A1D3C4A"/>
    <w:rsid w:val="7A1D7B0F"/>
    <w:rsid w:val="7A3A4172"/>
    <w:rsid w:val="7A3B474D"/>
    <w:rsid w:val="7A5B68B0"/>
    <w:rsid w:val="7A6854D4"/>
    <w:rsid w:val="7A7501FC"/>
    <w:rsid w:val="7A836262"/>
    <w:rsid w:val="7AB000A1"/>
    <w:rsid w:val="7ABE7190"/>
    <w:rsid w:val="7B25059C"/>
    <w:rsid w:val="7B297EEB"/>
    <w:rsid w:val="7B6E3C82"/>
    <w:rsid w:val="7BB420A9"/>
    <w:rsid w:val="7BB67714"/>
    <w:rsid w:val="7BBF0CBF"/>
    <w:rsid w:val="7BC81F33"/>
    <w:rsid w:val="7BE044AC"/>
    <w:rsid w:val="7C3254C5"/>
    <w:rsid w:val="7C3C2310"/>
    <w:rsid w:val="7C4B4FA9"/>
    <w:rsid w:val="7C5463F4"/>
    <w:rsid w:val="7C57180C"/>
    <w:rsid w:val="7C5C764D"/>
    <w:rsid w:val="7C7D3495"/>
    <w:rsid w:val="7C976802"/>
    <w:rsid w:val="7C9F0CF4"/>
    <w:rsid w:val="7CA67789"/>
    <w:rsid w:val="7CAC23F6"/>
    <w:rsid w:val="7CF41D10"/>
    <w:rsid w:val="7D096A56"/>
    <w:rsid w:val="7D0F3580"/>
    <w:rsid w:val="7D1E1A15"/>
    <w:rsid w:val="7D1E1DE6"/>
    <w:rsid w:val="7D37782B"/>
    <w:rsid w:val="7D441A2B"/>
    <w:rsid w:val="7D66781B"/>
    <w:rsid w:val="7DAD23D0"/>
    <w:rsid w:val="7DBB2571"/>
    <w:rsid w:val="7DBF6D54"/>
    <w:rsid w:val="7DD76E8C"/>
    <w:rsid w:val="7DE40968"/>
    <w:rsid w:val="7DF25B0B"/>
    <w:rsid w:val="7E1742C1"/>
    <w:rsid w:val="7E175980"/>
    <w:rsid w:val="7E236173"/>
    <w:rsid w:val="7E441591"/>
    <w:rsid w:val="7E4D35A7"/>
    <w:rsid w:val="7E536BA0"/>
    <w:rsid w:val="7E60695F"/>
    <w:rsid w:val="7E7A1A2F"/>
    <w:rsid w:val="7EBC033C"/>
    <w:rsid w:val="7EC4357D"/>
    <w:rsid w:val="7ED35A7C"/>
    <w:rsid w:val="7ED60F14"/>
    <w:rsid w:val="7EDA19DB"/>
    <w:rsid w:val="7EE10DD5"/>
    <w:rsid w:val="7EEF3E42"/>
    <w:rsid w:val="7F086780"/>
    <w:rsid w:val="7F2A48F7"/>
    <w:rsid w:val="7F3E1BCE"/>
    <w:rsid w:val="7F575E5D"/>
    <w:rsid w:val="7F7A0E30"/>
    <w:rsid w:val="7FB07B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1"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uiPriority="99" w:name="Salutation"/>
    <w:lsdException w:qFormat="1"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8">
    <w:name w:val="heading 1"/>
    <w:basedOn w:val="1"/>
    <w:next w:val="1"/>
    <w:link w:val="75"/>
    <w:qFormat/>
    <w:uiPriority w:val="0"/>
    <w:pPr>
      <w:keepNext/>
      <w:keepLines/>
      <w:spacing w:before="340" w:after="330" w:line="576" w:lineRule="auto"/>
      <w:outlineLvl w:val="0"/>
    </w:pPr>
    <w:rPr>
      <w:rFonts w:ascii="Times New Roman" w:hAnsi="Times New Roman" w:eastAsia="宋体" w:cs="Times New Roman"/>
      <w:b/>
      <w:kern w:val="44"/>
      <w:sz w:val="44"/>
      <w:szCs w:val="20"/>
    </w:rPr>
  </w:style>
  <w:style w:type="paragraph" w:styleId="9">
    <w:name w:val="heading 2"/>
    <w:basedOn w:val="1"/>
    <w:next w:val="1"/>
    <w:link w:val="67"/>
    <w:qFormat/>
    <w:uiPriority w:val="0"/>
    <w:pPr>
      <w:keepNext/>
      <w:keepLines/>
      <w:spacing w:before="260" w:after="260" w:line="413" w:lineRule="auto"/>
      <w:outlineLvl w:val="1"/>
    </w:pPr>
    <w:rPr>
      <w:rFonts w:ascii="Arial" w:hAnsi="Arial" w:eastAsia="黑体" w:cs="Times New Roman"/>
      <w:b/>
      <w:sz w:val="32"/>
      <w:szCs w:val="20"/>
    </w:rPr>
  </w:style>
  <w:style w:type="paragraph" w:styleId="10">
    <w:name w:val="heading 3"/>
    <w:basedOn w:val="1"/>
    <w:next w:val="1"/>
    <w:link w:val="76"/>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11">
    <w:name w:val="heading 4"/>
    <w:basedOn w:val="1"/>
    <w:next w:val="1"/>
    <w:link w:val="77"/>
    <w:qFormat/>
    <w:uiPriority w:val="99"/>
    <w:pPr>
      <w:keepNext/>
      <w:keepLines/>
      <w:spacing w:line="360" w:lineRule="auto"/>
      <w:outlineLvl w:val="3"/>
    </w:pPr>
    <w:rPr>
      <w:rFonts w:ascii="Arial" w:hAnsi="Arial" w:eastAsia="宋体" w:cs="Times New Roman"/>
      <w:b/>
      <w:szCs w:val="20"/>
    </w:rPr>
  </w:style>
  <w:style w:type="paragraph" w:styleId="12">
    <w:name w:val="heading 5"/>
    <w:basedOn w:val="1"/>
    <w:next w:val="1"/>
    <w:link w:val="78"/>
    <w:qFormat/>
    <w:uiPriority w:val="99"/>
    <w:pPr>
      <w:keepNext/>
      <w:keepLines/>
      <w:spacing w:before="280" w:after="290" w:line="372" w:lineRule="auto"/>
      <w:outlineLvl w:val="4"/>
    </w:pPr>
    <w:rPr>
      <w:rFonts w:ascii="Calibri" w:hAnsi="Calibri" w:eastAsia="宋体" w:cs="Times New Roman"/>
      <w:b/>
      <w:bCs/>
      <w:sz w:val="28"/>
      <w:szCs w:val="28"/>
    </w:rPr>
  </w:style>
  <w:style w:type="paragraph" w:styleId="13">
    <w:name w:val="heading 6"/>
    <w:basedOn w:val="1"/>
    <w:next w:val="1"/>
    <w:link w:val="79"/>
    <w:qFormat/>
    <w:uiPriority w:val="0"/>
    <w:pPr>
      <w:keepNext/>
      <w:keepLines/>
      <w:spacing w:before="240" w:after="64" w:line="317" w:lineRule="auto"/>
      <w:outlineLvl w:val="5"/>
    </w:pPr>
    <w:rPr>
      <w:rFonts w:ascii="Cambria" w:hAnsi="Cambria" w:eastAsia="宋体" w:cs="Times New Roman"/>
      <w:b/>
      <w:bCs/>
      <w:sz w:val="24"/>
      <w:szCs w:val="24"/>
    </w:rPr>
  </w:style>
  <w:style w:type="paragraph" w:styleId="14">
    <w:name w:val="heading 7"/>
    <w:basedOn w:val="1"/>
    <w:next w:val="1"/>
    <w:link w:val="80"/>
    <w:qFormat/>
    <w:uiPriority w:val="0"/>
    <w:pPr>
      <w:keepNext/>
      <w:keepLines/>
      <w:spacing w:before="240" w:after="64" w:line="317" w:lineRule="auto"/>
      <w:outlineLvl w:val="6"/>
    </w:pPr>
    <w:rPr>
      <w:rFonts w:ascii="Calibri" w:hAnsi="Calibri" w:eastAsia="宋体" w:cs="Times New Roman"/>
      <w:b/>
      <w:bCs/>
      <w:sz w:val="24"/>
      <w:szCs w:val="24"/>
    </w:rPr>
  </w:style>
  <w:style w:type="paragraph" w:styleId="15">
    <w:name w:val="heading 8"/>
    <w:basedOn w:val="1"/>
    <w:next w:val="1"/>
    <w:link w:val="81"/>
    <w:qFormat/>
    <w:uiPriority w:val="0"/>
    <w:pPr>
      <w:keepNext/>
      <w:keepLines/>
      <w:spacing w:before="240" w:after="64" w:line="317" w:lineRule="auto"/>
      <w:outlineLvl w:val="7"/>
    </w:pPr>
    <w:rPr>
      <w:rFonts w:ascii="Cambria" w:hAnsi="Cambria" w:eastAsia="宋体" w:cs="Times New Roman"/>
      <w:sz w:val="24"/>
      <w:szCs w:val="24"/>
    </w:rPr>
  </w:style>
  <w:style w:type="paragraph" w:styleId="16">
    <w:name w:val="heading 9"/>
    <w:basedOn w:val="1"/>
    <w:next w:val="1"/>
    <w:link w:val="82"/>
    <w:qFormat/>
    <w:uiPriority w:val="1"/>
    <w:pPr>
      <w:keepNext/>
      <w:keepLines/>
      <w:spacing w:before="240" w:after="64" w:line="317" w:lineRule="auto"/>
      <w:outlineLvl w:val="8"/>
    </w:pPr>
    <w:rPr>
      <w:rFonts w:ascii="Cambria" w:hAnsi="Cambria" w:eastAsia="宋体" w:cs="Times New Roman"/>
      <w:szCs w:val="21"/>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5"/>
    <w:link w:val="199"/>
    <w:qFormat/>
    <w:uiPriority w:val="0"/>
    <w:pPr>
      <w:adjustRightInd/>
      <w:spacing w:after="120" w:line="240" w:lineRule="auto"/>
      <w:ind w:left="0" w:leftChars="0" w:right="0" w:rightChars="0" w:firstLine="420" w:firstLineChars="100"/>
      <w:jc w:val="both"/>
      <w:textAlignment w:val="auto"/>
    </w:pPr>
    <w:rPr>
      <w:szCs w:val="24"/>
    </w:rPr>
  </w:style>
  <w:style w:type="paragraph" w:styleId="3">
    <w:name w:val="Body Text"/>
    <w:basedOn w:val="1"/>
    <w:next w:val="4"/>
    <w:link w:val="105"/>
    <w:qFormat/>
    <w:uiPriority w:val="0"/>
    <w:pPr>
      <w:adjustRightInd w:val="0"/>
      <w:spacing w:after="60" w:line="360" w:lineRule="atLeast"/>
      <w:ind w:left="72" w:leftChars="30" w:right="30" w:rightChars="30"/>
      <w:jc w:val="center"/>
      <w:textAlignment w:val="baseline"/>
    </w:pPr>
    <w:rPr>
      <w:rFonts w:ascii="Times New Roman" w:hAnsi="Times New Roman"/>
    </w:rPr>
  </w:style>
  <w:style w:type="paragraph" w:styleId="4">
    <w:name w:val="Body Text 2"/>
    <w:basedOn w:val="1"/>
    <w:next w:val="3"/>
    <w:link w:val="173"/>
    <w:qFormat/>
    <w:uiPriority w:val="0"/>
    <w:pPr>
      <w:spacing w:line="500" w:lineRule="exact"/>
      <w:jc w:val="center"/>
    </w:pPr>
    <w:rPr>
      <w:rFonts w:ascii="Times New Roman" w:hAnsi="宋体" w:eastAsia="方正小标宋_GBK" w:cs="Times New Roman"/>
      <w:spacing w:val="-20"/>
      <w:sz w:val="44"/>
      <w:szCs w:val="20"/>
    </w:rPr>
  </w:style>
  <w:style w:type="paragraph" w:styleId="5">
    <w:name w:val="Body Text First Indent 2"/>
    <w:basedOn w:val="6"/>
    <w:next w:val="1"/>
    <w:link w:val="238"/>
    <w:unhideWhenUsed/>
    <w:qFormat/>
    <w:uiPriority w:val="99"/>
    <w:pPr>
      <w:tabs>
        <w:tab w:val="left" w:pos="0"/>
        <w:tab w:val="left" w:pos="993"/>
        <w:tab w:val="left" w:pos="1134"/>
      </w:tabs>
      <w:ind w:firstLine="420"/>
    </w:pPr>
  </w:style>
  <w:style w:type="paragraph" w:styleId="6">
    <w:name w:val="Body Text Indent"/>
    <w:basedOn w:val="1"/>
    <w:next w:val="7"/>
    <w:link w:val="167"/>
    <w:qFormat/>
    <w:uiPriority w:val="0"/>
    <w:pPr>
      <w:spacing w:after="120"/>
      <w:ind w:left="420" w:leftChars="200"/>
    </w:pPr>
    <w:rPr>
      <w:rFonts w:ascii="Times New Roman" w:hAnsi="Times New Roman" w:eastAsia="宋体" w:cs="Times New Roman"/>
      <w:szCs w:val="20"/>
    </w:rPr>
  </w:style>
  <w:style w:type="paragraph" w:styleId="7">
    <w:name w:val="envelope return"/>
    <w:basedOn w:val="1"/>
    <w:unhideWhenUsed/>
    <w:qFormat/>
    <w:uiPriority w:val="99"/>
    <w:pPr>
      <w:snapToGrid w:val="0"/>
    </w:pPr>
    <w:rPr>
      <w:rFonts w:ascii="Arial" w:hAnsi="Arial" w:eastAsia="宋体" w:cs="Times New Roman"/>
      <w:szCs w:val="20"/>
    </w:rPr>
  </w:style>
  <w:style w:type="paragraph" w:styleId="17">
    <w:name w:val="List 3"/>
    <w:basedOn w:val="1"/>
    <w:qFormat/>
    <w:uiPriority w:val="0"/>
    <w:pPr>
      <w:ind w:left="100" w:leftChars="400" w:hanging="200" w:hangingChars="200"/>
    </w:pPr>
    <w:rPr>
      <w:rFonts w:ascii="Times New Roman" w:hAnsi="Times New Roman" w:eastAsia="宋体" w:cs="Times New Roman"/>
      <w:szCs w:val="20"/>
    </w:rPr>
  </w:style>
  <w:style w:type="paragraph" w:styleId="18">
    <w:name w:val="toc 7"/>
    <w:basedOn w:val="1"/>
    <w:next w:val="1"/>
    <w:qFormat/>
    <w:uiPriority w:val="39"/>
    <w:pPr>
      <w:ind w:left="2520" w:leftChars="1200"/>
    </w:pPr>
    <w:rPr>
      <w:rFonts w:ascii="Times New Roman" w:hAnsi="Times New Roman" w:eastAsia="宋体" w:cs="Times New Roman"/>
      <w:szCs w:val="24"/>
    </w:rPr>
  </w:style>
  <w:style w:type="paragraph" w:styleId="19">
    <w:name w:val="List Number"/>
    <w:basedOn w:val="1"/>
    <w:qFormat/>
    <w:uiPriority w:val="0"/>
    <w:pPr>
      <w:widowControl/>
      <w:numPr>
        <w:ilvl w:val="0"/>
        <w:numId w:val="1"/>
      </w:numPr>
      <w:spacing w:before="100" w:beforeAutospacing="1" w:after="100" w:afterAutospacing="1"/>
      <w:ind w:left="0" w:firstLine="0"/>
      <w:jc w:val="left"/>
    </w:pPr>
    <w:rPr>
      <w:rFonts w:ascii="宋体" w:hAnsi="宋体" w:eastAsia="宋体" w:cs="宋体"/>
      <w:kern w:val="0"/>
      <w:sz w:val="24"/>
      <w:szCs w:val="24"/>
    </w:rPr>
  </w:style>
  <w:style w:type="paragraph" w:styleId="20">
    <w:name w:val="Normal Indent"/>
    <w:basedOn w:val="1"/>
    <w:link w:val="229"/>
    <w:qFormat/>
    <w:uiPriority w:val="0"/>
    <w:pPr>
      <w:adjustRightInd w:val="0"/>
      <w:ind w:firstLine="420"/>
      <w:jc w:val="left"/>
      <w:textAlignment w:val="baseline"/>
    </w:pPr>
    <w:rPr>
      <w:rFonts w:ascii="Times New Roman" w:hAnsi="Times New Roman" w:eastAsia="楷体_GB2312" w:cs="Times New Roman"/>
      <w:sz w:val="24"/>
      <w:szCs w:val="20"/>
    </w:rPr>
  </w:style>
  <w:style w:type="paragraph" w:styleId="21">
    <w:name w:val="caption"/>
    <w:basedOn w:val="1"/>
    <w:next w:val="1"/>
    <w:link w:val="272"/>
    <w:qFormat/>
    <w:uiPriority w:val="0"/>
    <w:rPr>
      <w:rFonts w:ascii="Cambria" w:hAnsi="Cambria" w:eastAsia="黑体" w:cs="Times New Roman"/>
      <w:sz w:val="20"/>
      <w:szCs w:val="20"/>
    </w:rPr>
  </w:style>
  <w:style w:type="paragraph" w:styleId="22">
    <w:name w:val="Document Map"/>
    <w:basedOn w:val="1"/>
    <w:link w:val="133"/>
    <w:qFormat/>
    <w:uiPriority w:val="0"/>
    <w:pPr>
      <w:shd w:val="clear" w:color="auto" w:fill="000080"/>
    </w:pPr>
  </w:style>
  <w:style w:type="paragraph" w:styleId="23">
    <w:name w:val="toa heading"/>
    <w:basedOn w:val="1"/>
    <w:next w:val="1"/>
    <w:unhideWhenUsed/>
    <w:qFormat/>
    <w:uiPriority w:val="99"/>
    <w:pPr>
      <w:spacing w:before="120"/>
    </w:pPr>
    <w:rPr>
      <w:rFonts w:ascii="Cambria" w:hAnsi="Cambria" w:eastAsia="宋体" w:cs="Times New Roman"/>
      <w:sz w:val="24"/>
    </w:rPr>
  </w:style>
  <w:style w:type="paragraph" w:styleId="24">
    <w:name w:val="annotation text"/>
    <w:basedOn w:val="1"/>
    <w:link w:val="126"/>
    <w:qFormat/>
    <w:uiPriority w:val="0"/>
    <w:pPr>
      <w:jc w:val="left"/>
    </w:pPr>
  </w:style>
  <w:style w:type="paragraph" w:styleId="25">
    <w:name w:val="Body Text 3"/>
    <w:basedOn w:val="1"/>
    <w:link w:val="171"/>
    <w:qFormat/>
    <w:uiPriority w:val="0"/>
    <w:pPr>
      <w:spacing w:after="120"/>
    </w:pPr>
    <w:rPr>
      <w:rFonts w:ascii="Times New Roman" w:hAnsi="Times New Roman" w:eastAsia="宋体" w:cs="Times New Roman"/>
      <w:sz w:val="16"/>
      <w:szCs w:val="16"/>
    </w:rPr>
  </w:style>
  <w:style w:type="paragraph" w:styleId="26">
    <w:name w:val="List 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7">
    <w:name w:val="index 4"/>
    <w:basedOn w:val="1"/>
    <w:next w:val="1"/>
    <w:qFormat/>
    <w:uiPriority w:val="0"/>
    <w:pPr>
      <w:ind w:left="600" w:leftChars="600"/>
    </w:pPr>
    <w:rPr>
      <w:rFonts w:ascii="Times New Roman" w:hAnsi="Times New Roman" w:eastAsia="宋体" w:cs="Times New Roman"/>
      <w:szCs w:val="24"/>
    </w:rPr>
  </w:style>
  <w:style w:type="paragraph" w:styleId="28">
    <w:name w:val="toc 5"/>
    <w:basedOn w:val="1"/>
    <w:next w:val="1"/>
    <w:qFormat/>
    <w:uiPriority w:val="39"/>
    <w:pPr>
      <w:ind w:left="1680" w:leftChars="800"/>
    </w:pPr>
    <w:rPr>
      <w:rFonts w:ascii="Times New Roman" w:hAnsi="Times New Roman" w:eastAsia="宋体" w:cs="Times New Roman"/>
      <w:szCs w:val="24"/>
    </w:rPr>
  </w:style>
  <w:style w:type="paragraph" w:styleId="29">
    <w:name w:val="toc 3"/>
    <w:basedOn w:val="1"/>
    <w:next w:val="1"/>
    <w:qFormat/>
    <w:uiPriority w:val="39"/>
    <w:pPr>
      <w:tabs>
        <w:tab w:val="right" w:leader="dot" w:pos="9060"/>
      </w:tabs>
      <w:ind w:left="540" w:leftChars="257" w:firstLine="1"/>
    </w:pPr>
    <w:rPr>
      <w:rFonts w:ascii="Times New Roman" w:hAnsi="Times New Roman" w:eastAsia="宋体" w:cs="Times New Roman"/>
      <w:szCs w:val="20"/>
    </w:rPr>
  </w:style>
  <w:style w:type="paragraph" w:styleId="30">
    <w:name w:val="Plain Text"/>
    <w:basedOn w:val="1"/>
    <w:next w:val="1"/>
    <w:link w:val="168"/>
    <w:qFormat/>
    <w:uiPriority w:val="0"/>
    <w:rPr>
      <w:rFonts w:ascii="宋体" w:hAnsi="Courier New" w:eastAsia="宋体" w:cs="Times New Roman"/>
      <w:szCs w:val="20"/>
    </w:rPr>
  </w:style>
  <w:style w:type="paragraph" w:styleId="31">
    <w:name w:val="toc 8"/>
    <w:basedOn w:val="1"/>
    <w:next w:val="1"/>
    <w:qFormat/>
    <w:uiPriority w:val="39"/>
    <w:pPr>
      <w:ind w:left="2940" w:leftChars="1400"/>
    </w:pPr>
    <w:rPr>
      <w:rFonts w:ascii="Times New Roman" w:hAnsi="Times New Roman" w:eastAsia="宋体" w:cs="Times New Roman"/>
      <w:szCs w:val="24"/>
    </w:rPr>
  </w:style>
  <w:style w:type="paragraph" w:styleId="32">
    <w:name w:val="Date"/>
    <w:basedOn w:val="1"/>
    <w:next w:val="1"/>
    <w:link w:val="87"/>
    <w:unhideWhenUsed/>
    <w:qFormat/>
    <w:uiPriority w:val="0"/>
    <w:pPr>
      <w:ind w:left="100" w:leftChars="2500"/>
    </w:pPr>
    <w:rPr>
      <w:rFonts w:ascii="Times New Roman" w:hAnsi="Times New Roman" w:eastAsia="宋体" w:cs="Times New Roman"/>
      <w:szCs w:val="24"/>
    </w:rPr>
  </w:style>
  <w:style w:type="paragraph" w:styleId="33">
    <w:name w:val="Body Text Indent 2"/>
    <w:basedOn w:val="1"/>
    <w:link w:val="164"/>
    <w:qFormat/>
    <w:uiPriority w:val="0"/>
    <w:pPr>
      <w:spacing w:after="120" w:line="480" w:lineRule="auto"/>
      <w:ind w:left="420" w:leftChars="200"/>
    </w:pPr>
    <w:rPr>
      <w:rFonts w:ascii="Times New Roman" w:hAnsi="Times New Roman" w:eastAsia="宋体" w:cs="Times New Roman"/>
      <w:szCs w:val="20"/>
    </w:rPr>
  </w:style>
  <w:style w:type="paragraph" w:styleId="34">
    <w:name w:val="Balloon Text"/>
    <w:basedOn w:val="1"/>
    <w:link w:val="88"/>
    <w:qFormat/>
    <w:uiPriority w:val="0"/>
    <w:rPr>
      <w:sz w:val="18"/>
      <w:szCs w:val="18"/>
    </w:rPr>
  </w:style>
  <w:style w:type="paragraph" w:styleId="35">
    <w:name w:val="footer"/>
    <w:basedOn w:val="1"/>
    <w:link w:val="83"/>
    <w:unhideWhenUsed/>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36">
    <w:name w:val="header"/>
    <w:basedOn w:val="1"/>
    <w:link w:val="84"/>
    <w:unhideWhenUsed/>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37">
    <w:name w:val="toc 1"/>
    <w:basedOn w:val="1"/>
    <w:next w:val="1"/>
    <w:qFormat/>
    <w:uiPriority w:val="39"/>
    <w:rPr>
      <w:rFonts w:ascii="Times New Roman" w:hAnsi="Times New Roman" w:eastAsia="宋体" w:cs="Times New Roman"/>
      <w:szCs w:val="20"/>
    </w:rPr>
  </w:style>
  <w:style w:type="paragraph" w:styleId="38">
    <w:name w:val="toc 4"/>
    <w:basedOn w:val="1"/>
    <w:next w:val="1"/>
    <w:qFormat/>
    <w:uiPriority w:val="39"/>
    <w:pPr>
      <w:ind w:left="1260" w:leftChars="600"/>
    </w:pPr>
    <w:rPr>
      <w:rFonts w:ascii="Times New Roman" w:hAnsi="Times New Roman" w:eastAsia="宋体" w:cs="Times New Roman"/>
      <w:szCs w:val="24"/>
    </w:rPr>
  </w:style>
  <w:style w:type="paragraph" w:styleId="39">
    <w:name w:val="Subtitle"/>
    <w:basedOn w:val="1"/>
    <w:next w:val="1"/>
    <w:link w:val="117"/>
    <w:qFormat/>
    <w:uiPriority w:val="0"/>
    <w:pPr>
      <w:spacing w:before="240" w:after="60" w:line="312" w:lineRule="auto"/>
      <w:jc w:val="center"/>
      <w:outlineLvl w:val="1"/>
    </w:pPr>
    <w:rPr>
      <w:rFonts w:ascii="Cambria" w:hAnsi="Cambria"/>
      <w:b/>
      <w:kern w:val="28"/>
      <w:sz w:val="32"/>
    </w:rPr>
  </w:style>
  <w:style w:type="paragraph" w:styleId="40">
    <w:name w:val="toc 6"/>
    <w:basedOn w:val="1"/>
    <w:next w:val="1"/>
    <w:qFormat/>
    <w:uiPriority w:val="39"/>
    <w:pPr>
      <w:spacing w:line="240" w:lineRule="exact"/>
      <w:ind w:left="71" w:leftChars="34" w:firstLine="1"/>
    </w:pPr>
    <w:rPr>
      <w:rFonts w:ascii="Times New Roman" w:hAnsi="Times New Roman" w:eastAsia="宋体" w:cs="Times New Roman"/>
      <w:szCs w:val="24"/>
    </w:rPr>
  </w:style>
  <w:style w:type="paragraph" w:styleId="41">
    <w:name w:val="Body Text Indent 3"/>
    <w:basedOn w:val="1"/>
    <w:link w:val="162"/>
    <w:qFormat/>
    <w:uiPriority w:val="0"/>
    <w:pPr>
      <w:ind w:firstLine="420" w:firstLineChars="200"/>
    </w:pPr>
    <w:rPr>
      <w:rFonts w:ascii="宋体" w:hAnsi="宋体" w:eastAsia="宋体" w:cs="Times New Roman"/>
      <w:szCs w:val="20"/>
    </w:rPr>
  </w:style>
  <w:style w:type="paragraph" w:styleId="42">
    <w:name w:val="toc 2"/>
    <w:basedOn w:val="1"/>
    <w:next w:val="1"/>
    <w:qFormat/>
    <w:uiPriority w:val="39"/>
    <w:pPr>
      <w:ind w:left="420" w:leftChars="200"/>
    </w:pPr>
    <w:rPr>
      <w:rFonts w:ascii="Times New Roman" w:hAnsi="Times New Roman" w:eastAsia="宋体" w:cs="Times New Roman"/>
      <w:szCs w:val="20"/>
    </w:rPr>
  </w:style>
  <w:style w:type="paragraph" w:styleId="43">
    <w:name w:val="toc 9"/>
    <w:basedOn w:val="1"/>
    <w:next w:val="1"/>
    <w:qFormat/>
    <w:uiPriority w:val="39"/>
    <w:pPr>
      <w:ind w:left="3360" w:leftChars="1600"/>
    </w:pPr>
    <w:rPr>
      <w:rFonts w:ascii="Times New Roman" w:hAnsi="Times New Roman" w:eastAsia="宋体" w:cs="Times New Roman"/>
      <w:szCs w:val="24"/>
    </w:rPr>
  </w:style>
  <w:style w:type="paragraph" w:styleId="44">
    <w:name w:val="Message Header"/>
    <w:basedOn w:val="1"/>
    <w:next w:val="1"/>
    <w:link w:val="16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0"/>
    </w:rPr>
  </w:style>
  <w:style w:type="paragraph" w:styleId="45">
    <w:name w:val="Normal (Web)"/>
    <w:basedOn w:val="1"/>
    <w:qFormat/>
    <w:uiPriority w:val="0"/>
    <w:pPr>
      <w:widowControl/>
      <w:spacing w:before="100" w:beforeAutospacing="1" w:after="100" w:afterAutospacing="1"/>
      <w:jc w:val="left"/>
    </w:pPr>
    <w:rPr>
      <w:rFonts w:hint="eastAsia" w:ascii="宋体" w:hAnsi="宋体" w:eastAsia="宋体" w:cs="Times New Roman"/>
      <w:kern w:val="0"/>
      <w:sz w:val="24"/>
      <w:szCs w:val="20"/>
    </w:rPr>
  </w:style>
  <w:style w:type="paragraph" w:styleId="46">
    <w:name w:val="Title"/>
    <w:basedOn w:val="1"/>
    <w:link w:val="148"/>
    <w:qFormat/>
    <w:uiPriority w:val="0"/>
    <w:pPr>
      <w:spacing w:before="120" w:after="60"/>
      <w:jc w:val="center"/>
    </w:pPr>
    <w:rPr>
      <w:rFonts w:ascii="Arial" w:hAnsi="Arial"/>
      <w:b/>
      <w:sz w:val="44"/>
    </w:rPr>
  </w:style>
  <w:style w:type="paragraph" w:styleId="47">
    <w:name w:val="annotation subject"/>
    <w:basedOn w:val="24"/>
    <w:next w:val="24"/>
    <w:link w:val="113"/>
    <w:qFormat/>
    <w:uiPriority w:val="0"/>
    <w:rPr>
      <w:rFonts w:ascii="宋体"/>
      <w:b/>
      <w:sz w:val="28"/>
    </w:rPr>
  </w:style>
  <w:style w:type="table" w:styleId="49">
    <w:name w:val="Table Grid"/>
    <w:basedOn w:val="4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qFormat/>
    <w:uiPriority w:val="0"/>
    <w:rPr>
      <w:b/>
      <w:bCs/>
    </w:rPr>
  </w:style>
  <w:style w:type="character" w:styleId="52">
    <w:name w:val="page number"/>
    <w:basedOn w:val="50"/>
    <w:qFormat/>
    <w:uiPriority w:val="0"/>
  </w:style>
  <w:style w:type="character" w:styleId="53">
    <w:name w:val="FollowedHyperlink"/>
    <w:basedOn w:val="50"/>
    <w:qFormat/>
    <w:uiPriority w:val="0"/>
    <w:rPr>
      <w:color w:val="333333"/>
      <w:u w:val="none"/>
    </w:rPr>
  </w:style>
  <w:style w:type="character" w:styleId="54">
    <w:name w:val="Emphasis"/>
    <w:basedOn w:val="50"/>
    <w:qFormat/>
    <w:uiPriority w:val="0"/>
    <w:rPr>
      <w:rFonts w:cs="Times New Roman"/>
      <w:i/>
    </w:rPr>
  </w:style>
  <w:style w:type="character" w:styleId="55">
    <w:name w:val="HTML Definition"/>
    <w:basedOn w:val="50"/>
    <w:qFormat/>
    <w:uiPriority w:val="0"/>
  </w:style>
  <w:style w:type="character" w:styleId="56">
    <w:name w:val="HTML Typewriter"/>
    <w:basedOn w:val="50"/>
    <w:qFormat/>
    <w:uiPriority w:val="0"/>
    <w:rPr>
      <w:rFonts w:hint="default" w:ascii="monospace" w:hAnsi="monospace" w:eastAsia="monospace" w:cs="monospace"/>
      <w:sz w:val="20"/>
    </w:rPr>
  </w:style>
  <w:style w:type="character" w:styleId="57">
    <w:name w:val="HTML Acronym"/>
    <w:basedOn w:val="50"/>
    <w:qFormat/>
    <w:uiPriority w:val="0"/>
  </w:style>
  <w:style w:type="character" w:styleId="58">
    <w:name w:val="HTML Variable"/>
    <w:basedOn w:val="50"/>
    <w:qFormat/>
    <w:uiPriority w:val="0"/>
  </w:style>
  <w:style w:type="character" w:styleId="59">
    <w:name w:val="Hyperlink"/>
    <w:basedOn w:val="50"/>
    <w:qFormat/>
    <w:uiPriority w:val="0"/>
    <w:rPr>
      <w:color w:val="333333"/>
      <w:u w:val="none"/>
    </w:rPr>
  </w:style>
  <w:style w:type="character" w:styleId="60">
    <w:name w:val="HTML Code"/>
    <w:basedOn w:val="50"/>
    <w:qFormat/>
    <w:uiPriority w:val="0"/>
    <w:rPr>
      <w:rFonts w:hint="default" w:ascii="monospace" w:hAnsi="monospace" w:eastAsia="monospace" w:cs="monospace"/>
      <w:sz w:val="20"/>
    </w:rPr>
  </w:style>
  <w:style w:type="character" w:styleId="61">
    <w:name w:val="annotation reference"/>
    <w:basedOn w:val="50"/>
    <w:qFormat/>
    <w:uiPriority w:val="0"/>
    <w:rPr>
      <w:rFonts w:cs="Times New Roman"/>
      <w:sz w:val="21"/>
    </w:rPr>
  </w:style>
  <w:style w:type="character" w:styleId="62">
    <w:name w:val="HTML Cite"/>
    <w:basedOn w:val="50"/>
    <w:qFormat/>
    <w:uiPriority w:val="0"/>
  </w:style>
  <w:style w:type="character" w:styleId="63">
    <w:name w:val="HTML Keyboard"/>
    <w:basedOn w:val="50"/>
    <w:qFormat/>
    <w:uiPriority w:val="0"/>
    <w:rPr>
      <w:rFonts w:hint="default" w:ascii="monospace" w:hAnsi="monospace" w:eastAsia="monospace" w:cs="monospace"/>
      <w:sz w:val="20"/>
    </w:rPr>
  </w:style>
  <w:style w:type="character" w:styleId="64">
    <w:name w:val="HTML Sample"/>
    <w:basedOn w:val="50"/>
    <w:qFormat/>
    <w:uiPriority w:val="0"/>
    <w:rPr>
      <w:rFonts w:ascii="monospace" w:hAnsi="monospace" w:eastAsia="monospace" w:cs="monospace"/>
    </w:rPr>
  </w:style>
  <w:style w:type="paragraph" w:customStyle="1" w:styleId="65">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66">
    <w:name w:val="目录 51"/>
    <w:next w:val="1"/>
    <w:qFormat/>
    <w:uiPriority w:val="0"/>
    <w:pPr>
      <w:wordWrap w:val="0"/>
      <w:ind w:left="1700"/>
      <w:jc w:val="both"/>
    </w:pPr>
    <w:rPr>
      <w:rFonts w:ascii="Times New Roman" w:hAnsi="Times New Roman" w:eastAsia="Calibri" w:cs="Times New Roman"/>
      <w:sz w:val="21"/>
      <w:lang w:val="en-US" w:eastAsia="zh-CN" w:bidi="ar-SA"/>
    </w:rPr>
  </w:style>
  <w:style w:type="character" w:customStyle="1" w:styleId="67">
    <w:name w:val="标题 2 Char"/>
    <w:basedOn w:val="50"/>
    <w:link w:val="9"/>
    <w:qFormat/>
    <w:uiPriority w:val="0"/>
    <w:rPr>
      <w:rFonts w:ascii="Arial" w:hAnsi="Arial" w:eastAsia="黑体" w:cs="Times New Roman"/>
      <w:b/>
      <w:sz w:val="32"/>
      <w:szCs w:val="20"/>
    </w:rPr>
  </w:style>
  <w:style w:type="paragraph" w:customStyle="1" w:styleId="68">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70">
    <w:name w:val="NormalIndent"/>
    <w:basedOn w:val="1"/>
    <w:qFormat/>
    <w:uiPriority w:val="0"/>
    <w:pPr>
      <w:ind w:firstLine="420" w:firstLineChars="200"/>
      <w:textAlignment w:val="baseline"/>
    </w:pPr>
  </w:style>
  <w:style w:type="paragraph" w:customStyle="1" w:styleId="71">
    <w:name w:val="Default"/>
    <w:next w:val="72"/>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72">
    <w:name w:val="大标题"/>
    <w:basedOn w:val="1"/>
    <w:next w:val="5"/>
    <w:qFormat/>
    <w:uiPriority w:val="0"/>
    <w:pPr>
      <w:jc w:val="center"/>
    </w:pPr>
    <w:rPr>
      <w:rFonts w:ascii="Arial" w:hAnsi="Arial"/>
      <w:b/>
      <w:sz w:val="28"/>
    </w:rPr>
  </w:style>
  <w:style w:type="paragraph" w:customStyle="1" w:styleId="73">
    <w:name w:val="style4"/>
    <w:basedOn w:val="1"/>
    <w:next w:val="74"/>
    <w:qFormat/>
    <w:uiPriority w:val="0"/>
    <w:pPr>
      <w:widowControl/>
      <w:spacing w:before="280" w:after="280"/>
    </w:pPr>
    <w:rPr>
      <w:rFonts w:ascii="宋体" w:hAnsi="Times New Roman" w:eastAsia="宋体" w:cs="Times New Roman"/>
      <w:sz w:val="18"/>
      <w:szCs w:val="20"/>
    </w:rPr>
  </w:style>
  <w:style w:type="paragraph" w:customStyle="1" w:styleId="74">
    <w:name w:val="2"/>
    <w:next w:val="1"/>
    <w:qFormat/>
    <w:uiPriority w:val="0"/>
    <w:pPr>
      <w:widowControl w:val="0"/>
      <w:jc w:val="both"/>
    </w:pPr>
    <w:rPr>
      <w:rFonts w:ascii="Times New Roman" w:hAnsi="Times New Roman" w:eastAsia="宋体" w:cs="Times New Roman"/>
      <w:sz w:val="21"/>
      <w:szCs w:val="22"/>
      <w:lang w:val="en-US" w:eastAsia="zh-CN" w:bidi="ar-SA"/>
    </w:rPr>
  </w:style>
  <w:style w:type="character" w:customStyle="1" w:styleId="75">
    <w:name w:val="标题 1 Char"/>
    <w:basedOn w:val="50"/>
    <w:link w:val="8"/>
    <w:qFormat/>
    <w:uiPriority w:val="0"/>
    <w:rPr>
      <w:rFonts w:ascii="Times New Roman" w:hAnsi="Times New Roman" w:eastAsia="宋体" w:cs="Times New Roman"/>
      <w:b/>
      <w:kern w:val="44"/>
      <w:sz w:val="44"/>
      <w:szCs w:val="20"/>
    </w:rPr>
  </w:style>
  <w:style w:type="character" w:customStyle="1" w:styleId="76">
    <w:name w:val="标题 3 Char"/>
    <w:basedOn w:val="50"/>
    <w:link w:val="10"/>
    <w:qFormat/>
    <w:uiPriority w:val="0"/>
    <w:rPr>
      <w:rFonts w:ascii="Times New Roman" w:hAnsi="Times New Roman" w:eastAsia="宋体" w:cs="Times New Roman"/>
      <w:b/>
      <w:sz w:val="32"/>
      <w:szCs w:val="20"/>
    </w:rPr>
  </w:style>
  <w:style w:type="character" w:customStyle="1" w:styleId="77">
    <w:name w:val="标题 4 Char"/>
    <w:basedOn w:val="50"/>
    <w:link w:val="11"/>
    <w:qFormat/>
    <w:uiPriority w:val="99"/>
    <w:rPr>
      <w:rFonts w:ascii="Arial" w:hAnsi="Arial" w:eastAsia="宋体" w:cs="Times New Roman"/>
      <w:b/>
      <w:szCs w:val="20"/>
    </w:rPr>
  </w:style>
  <w:style w:type="character" w:customStyle="1" w:styleId="78">
    <w:name w:val="标题 5 Char"/>
    <w:basedOn w:val="50"/>
    <w:link w:val="12"/>
    <w:qFormat/>
    <w:uiPriority w:val="99"/>
    <w:rPr>
      <w:rFonts w:ascii="Calibri" w:hAnsi="Calibri" w:eastAsia="宋体" w:cs="Times New Roman"/>
      <w:b/>
      <w:bCs/>
      <w:sz w:val="28"/>
      <w:szCs w:val="28"/>
    </w:rPr>
  </w:style>
  <w:style w:type="character" w:customStyle="1" w:styleId="79">
    <w:name w:val="标题 6 Char"/>
    <w:basedOn w:val="50"/>
    <w:link w:val="13"/>
    <w:qFormat/>
    <w:uiPriority w:val="0"/>
    <w:rPr>
      <w:rFonts w:ascii="Cambria" w:hAnsi="Cambria" w:eastAsia="宋体" w:cs="Times New Roman"/>
      <w:b/>
      <w:bCs/>
      <w:sz w:val="24"/>
      <w:szCs w:val="24"/>
    </w:rPr>
  </w:style>
  <w:style w:type="character" w:customStyle="1" w:styleId="80">
    <w:name w:val="标题 7 Char"/>
    <w:basedOn w:val="50"/>
    <w:link w:val="14"/>
    <w:qFormat/>
    <w:uiPriority w:val="0"/>
    <w:rPr>
      <w:rFonts w:ascii="Calibri" w:hAnsi="Calibri" w:eastAsia="宋体" w:cs="Times New Roman"/>
      <w:b/>
      <w:bCs/>
      <w:sz w:val="24"/>
      <w:szCs w:val="24"/>
    </w:rPr>
  </w:style>
  <w:style w:type="character" w:customStyle="1" w:styleId="81">
    <w:name w:val="标题 8 Char"/>
    <w:basedOn w:val="50"/>
    <w:link w:val="15"/>
    <w:qFormat/>
    <w:uiPriority w:val="0"/>
    <w:rPr>
      <w:rFonts w:ascii="Cambria" w:hAnsi="Cambria" w:eastAsia="宋体" w:cs="Times New Roman"/>
      <w:sz w:val="24"/>
      <w:szCs w:val="24"/>
    </w:rPr>
  </w:style>
  <w:style w:type="character" w:customStyle="1" w:styleId="82">
    <w:name w:val="标题 9 Char"/>
    <w:basedOn w:val="50"/>
    <w:link w:val="16"/>
    <w:qFormat/>
    <w:uiPriority w:val="1"/>
    <w:rPr>
      <w:rFonts w:ascii="Cambria" w:hAnsi="Cambria" w:eastAsia="宋体" w:cs="Times New Roman"/>
      <w:szCs w:val="21"/>
    </w:rPr>
  </w:style>
  <w:style w:type="character" w:customStyle="1" w:styleId="83">
    <w:name w:val="页脚 Char"/>
    <w:basedOn w:val="50"/>
    <w:link w:val="35"/>
    <w:qFormat/>
    <w:uiPriority w:val="99"/>
    <w:rPr>
      <w:rFonts w:ascii="Times New Roman" w:hAnsi="Times New Roman" w:eastAsia="宋体" w:cs="Times New Roman"/>
      <w:sz w:val="18"/>
      <w:szCs w:val="18"/>
    </w:rPr>
  </w:style>
  <w:style w:type="character" w:customStyle="1" w:styleId="84">
    <w:name w:val="页眉 Char"/>
    <w:basedOn w:val="50"/>
    <w:link w:val="36"/>
    <w:qFormat/>
    <w:uiPriority w:val="0"/>
    <w:rPr>
      <w:rFonts w:ascii="Times New Roman" w:hAnsi="Times New Roman" w:eastAsia="宋体" w:cs="Times New Roman"/>
      <w:sz w:val="18"/>
      <w:szCs w:val="18"/>
    </w:rPr>
  </w:style>
  <w:style w:type="character" w:customStyle="1" w:styleId="85">
    <w:name w:val="页眉 Char1"/>
    <w:basedOn w:val="50"/>
    <w:semiHidden/>
    <w:qFormat/>
    <w:uiPriority w:val="99"/>
    <w:rPr>
      <w:sz w:val="18"/>
      <w:szCs w:val="18"/>
    </w:rPr>
  </w:style>
  <w:style w:type="character" w:customStyle="1" w:styleId="86">
    <w:name w:val="页脚 Char1"/>
    <w:basedOn w:val="50"/>
    <w:semiHidden/>
    <w:qFormat/>
    <w:uiPriority w:val="99"/>
    <w:rPr>
      <w:sz w:val="18"/>
      <w:szCs w:val="18"/>
    </w:rPr>
  </w:style>
  <w:style w:type="character" w:customStyle="1" w:styleId="87">
    <w:name w:val="日期 Char"/>
    <w:basedOn w:val="50"/>
    <w:link w:val="32"/>
    <w:qFormat/>
    <w:uiPriority w:val="0"/>
    <w:rPr>
      <w:rFonts w:ascii="Times New Roman" w:hAnsi="Times New Roman" w:eastAsia="宋体" w:cs="Times New Roman"/>
      <w:szCs w:val="24"/>
    </w:rPr>
  </w:style>
  <w:style w:type="character" w:customStyle="1" w:styleId="88">
    <w:name w:val="批注框文本 Char"/>
    <w:link w:val="34"/>
    <w:qFormat/>
    <w:locked/>
    <w:uiPriority w:val="0"/>
    <w:rPr>
      <w:sz w:val="18"/>
      <w:szCs w:val="18"/>
    </w:rPr>
  </w:style>
  <w:style w:type="character" w:customStyle="1" w:styleId="89">
    <w:name w:val="不明显参考1"/>
    <w:basedOn w:val="50"/>
    <w:qFormat/>
    <w:uiPriority w:val="0"/>
    <w:rPr>
      <w:rFonts w:cs="Times New Roman"/>
      <w:smallCaps/>
      <w:color w:val="C0504D"/>
      <w:u w:val="single"/>
    </w:rPr>
  </w:style>
  <w:style w:type="character" w:customStyle="1" w:styleId="90">
    <w:name w:val="不明显强调1"/>
    <w:basedOn w:val="50"/>
    <w:qFormat/>
    <w:uiPriority w:val="0"/>
    <w:rPr>
      <w:rFonts w:cs="Times New Roman"/>
      <w:i/>
      <w:color w:val="808080"/>
    </w:rPr>
  </w:style>
  <w:style w:type="character" w:customStyle="1" w:styleId="91">
    <w:name w:val="不明显强调2"/>
    <w:qFormat/>
    <w:uiPriority w:val="19"/>
    <w:rPr>
      <w:i/>
      <w:iCs/>
      <w:color w:val="808080"/>
    </w:rPr>
  </w:style>
  <w:style w:type="character" w:customStyle="1" w:styleId="92">
    <w:name w:val="明显参考1"/>
    <w:qFormat/>
    <w:uiPriority w:val="0"/>
    <w:rPr>
      <w:b/>
      <w:bCs/>
      <w:smallCaps/>
      <w:color w:val="C0504D"/>
      <w:spacing w:val="5"/>
      <w:u w:val="single"/>
    </w:rPr>
  </w:style>
  <w:style w:type="character" w:customStyle="1" w:styleId="93">
    <w:name w:val="Char Char11"/>
    <w:basedOn w:val="50"/>
    <w:qFormat/>
    <w:locked/>
    <w:uiPriority w:val="0"/>
    <w:rPr>
      <w:rFonts w:ascii="Cambria" w:hAnsi="Cambria" w:eastAsia="宋体"/>
      <w:kern w:val="2"/>
      <w:sz w:val="24"/>
      <w:szCs w:val="24"/>
      <w:lang w:val="en-US" w:eastAsia="zh-CN" w:bidi="ar-SA"/>
    </w:rPr>
  </w:style>
  <w:style w:type="character" w:customStyle="1" w:styleId="94">
    <w:name w:val="明显引用 Char"/>
    <w:link w:val="95"/>
    <w:qFormat/>
    <w:uiPriority w:val="0"/>
    <w:rPr>
      <w:b/>
      <w:bCs/>
      <w:i/>
      <w:iCs/>
      <w:color w:val="4F81BD"/>
    </w:rPr>
  </w:style>
  <w:style w:type="paragraph" w:styleId="95">
    <w:name w:val="Intense Quote"/>
    <w:basedOn w:val="1"/>
    <w:next w:val="1"/>
    <w:link w:val="94"/>
    <w:qFormat/>
    <w:uiPriority w:val="0"/>
    <w:pPr>
      <w:pBdr>
        <w:bottom w:val="single" w:color="4F81BD" w:sz="4" w:space="4"/>
      </w:pBdr>
      <w:spacing w:before="200" w:after="280"/>
      <w:ind w:left="936" w:right="936"/>
    </w:pPr>
    <w:rPr>
      <w:b/>
      <w:bCs/>
      <w:i/>
      <w:iCs/>
      <w:color w:val="4F81BD"/>
    </w:rPr>
  </w:style>
  <w:style w:type="character" w:customStyle="1" w:styleId="96">
    <w:name w:val="Char Char9"/>
    <w:qFormat/>
    <w:locked/>
    <w:uiPriority w:val="0"/>
    <w:rPr>
      <w:rFonts w:eastAsia="宋体"/>
      <w:kern w:val="2"/>
      <w:sz w:val="28"/>
      <w:lang w:val="en-US" w:eastAsia="zh-CN" w:bidi="ar-SA"/>
    </w:rPr>
  </w:style>
  <w:style w:type="character" w:customStyle="1" w:styleId="97">
    <w:name w:val="Char Char17"/>
    <w:basedOn w:val="50"/>
    <w:qFormat/>
    <w:uiPriority w:val="0"/>
    <w:rPr>
      <w:rFonts w:ascii="Arial" w:hAnsi="Arial" w:eastAsia="黑体"/>
      <w:b/>
      <w:kern w:val="2"/>
      <w:sz w:val="32"/>
      <w:lang w:val="en-US" w:eastAsia="zh-CN"/>
    </w:rPr>
  </w:style>
  <w:style w:type="character" w:customStyle="1" w:styleId="98">
    <w:name w:val="dash6b63_6587__char1"/>
    <w:qFormat/>
    <w:uiPriority w:val="0"/>
    <w:rPr>
      <w:rFonts w:hint="default" w:ascii="Calibri" w:hAnsi="Calibri" w:cs="Calibri"/>
      <w:sz w:val="20"/>
      <w:szCs w:val="20"/>
    </w:rPr>
  </w:style>
  <w:style w:type="character" w:customStyle="1" w:styleId="99">
    <w:name w:val="Title Char"/>
    <w:qFormat/>
    <w:locked/>
    <w:uiPriority w:val="0"/>
    <w:rPr>
      <w:rFonts w:ascii="Cambria" w:hAnsi="Cambria"/>
      <w:b/>
      <w:kern w:val="2"/>
      <w:sz w:val="32"/>
    </w:rPr>
  </w:style>
  <w:style w:type="character" w:customStyle="1" w:styleId="100">
    <w:name w:val="批注文字 Char Char"/>
    <w:qFormat/>
    <w:uiPriority w:val="0"/>
    <w:rPr>
      <w:rFonts w:ascii="宋体" w:hAnsi="Times New Roman" w:eastAsia="宋体"/>
      <w:sz w:val="20"/>
    </w:rPr>
  </w:style>
  <w:style w:type="character" w:customStyle="1" w:styleId="101">
    <w:name w:val="textcontents"/>
    <w:qFormat/>
    <w:uiPriority w:val="0"/>
  </w:style>
  <w:style w:type="character" w:customStyle="1" w:styleId="102">
    <w:name w:val="Char Char7"/>
    <w:qFormat/>
    <w:locked/>
    <w:uiPriority w:val="0"/>
    <w:rPr>
      <w:rFonts w:eastAsia="宋体"/>
      <w:kern w:val="2"/>
      <w:sz w:val="21"/>
      <w:lang w:val="en-US" w:eastAsia="zh-CN" w:bidi="ar-SA"/>
    </w:rPr>
  </w:style>
  <w:style w:type="character" w:customStyle="1" w:styleId="103">
    <w:name w:val="引用 Char"/>
    <w:link w:val="104"/>
    <w:qFormat/>
    <w:uiPriority w:val="0"/>
    <w:rPr>
      <w:i/>
      <w:iCs/>
      <w:color w:val="000000"/>
    </w:rPr>
  </w:style>
  <w:style w:type="paragraph" w:styleId="104">
    <w:name w:val="Quote"/>
    <w:basedOn w:val="1"/>
    <w:next w:val="1"/>
    <w:link w:val="103"/>
    <w:qFormat/>
    <w:uiPriority w:val="0"/>
    <w:rPr>
      <w:i/>
      <w:iCs/>
      <w:color w:val="000000"/>
    </w:rPr>
  </w:style>
  <w:style w:type="character" w:customStyle="1" w:styleId="105">
    <w:name w:val="正文文本 Char"/>
    <w:link w:val="3"/>
    <w:qFormat/>
    <w:locked/>
    <w:uiPriority w:val="0"/>
    <w:rPr>
      <w:rFonts w:ascii="Times New Roman" w:hAnsi="Times New Roman"/>
    </w:rPr>
  </w:style>
  <w:style w:type="character" w:customStyle="1" w:styleId="106">
    <w:name w:val="Char Char10"/>
    <w:basedOn w:val="50"/>
    <w:qFormat/>
    <w:locked/>
    <w:uiPriority w:val="0"/>
    <w:rPr>
      <w:rFonts w:ascii="Cambria" w:hAnsi="Cambria" w:eastAsia="宋体"/>
      <w:kern w:val="2"/>
      <w:sz w:val="21"/>
      <w:szCs w:val="21"/>
      <w:lang w:val="en-US" w:eastAsia="zh-CN" w:bidi="ar-SA"/>
    </w:rPr>
  </w:style>
  <w:style w:type="character" w:customStyle="1" w:styleId="107">
    <w:name w:val="标题5 Char Char"/>
    <w:link w:val="108"/>
    <w:qFormat/>
    <w:locked/>
    <w:uiPriority w:val="0"/>
    <w:rPr>
      <w:rFonts w:ascii="Arial" w:hAnsi="Arial"/>
      <w:b/>
      <w:sz w:val="32"/>
    </w:rPr>
  </w:style>
  <w:style w:type="paragraph" w:customStyle="1" w:styleId="108">
    <w:name w:val="标题5"/>
    <w:basedOn w:val="10"/>
    <w:link w:val="107"/>
    <w:qFormat/>
    <w:uiPriority w:val="0"/>
    <w:rPr>
      <w:rFonts w:ascii="Arial" w:hAnsi="Arial" w:eastAsiaTheme="minorEastAsia" w:cstheme="minorBidi"/>
      <w:szCs w:val="22"/>
    </w:rPr>
  </w:style>
  <w:style w:type="character" w:customStyle="1" w:styleId="109">
    <w:name w:val="Char Char Char Char Char Char"/>
    <w:basedOn w:val="50"/>
    <w:link w:val="110"/>
    <w:qFormat/>
    <w:uiPriority w:val="0"/>
    <w:rPr>
      <w:rFonts w:ascii="Tahoma" w:hAnsi="Tahoma"/>
      <w:sz w:val="24"/>
    </w:rPr>
  </w:style>
  <w:style w:type="paragraph" w:customStyle="1" w:styleId="110">
    <w:name w:val="Char Char Char Char"/>
    <w:basedOn w:val="1"/>
    <w:link w:val="109"/>
    <w:qFormat/>
    <w:uiPriority w:val="0"/>
    <w:rPr>
      <w:rFonts w:ascii="Tahoma" w:hAnsi="Tahoma"/>
      <w:sz w:val="24"/>
    </w:rPr>
  </w:style>
  <w:style w:type="character" w:customStyle="1" w:styleId="111">
    <w:name w:val="Quote Char1"/>
    <w:basedOn w:val="50"/>
    <w:qFormat/>
    <w:locked/>
    <w:uiPriority w:val="0"/>
    <w:rPr>
      <w:rFonts w:cs="Times New Roman"/>
      <w:i/>
      <w:iCs/>
      <w:color w:val="000000"/>
    </w:rPr>
  </w:style>
  <w:style w:type="character" w:customStyle="1" w:styleId="112">
    <w:name w:val="Heading 1 Char"/>
    <w:basedOn w:val="50"/>
    <w:qFormat/>
    <w:locked/>
    <w:uiPriority w:val="0"/>
    <w:rPr>
      <w:rFonts w:cs="Times New Roman"/>
      <w:b/>
      <w:kern w:val="44"/>
      <w:sz w:val="44"/>
    </w:rPr>
  </w:style>
  <w:style w:type="character" w:customStyle="1" w:styleId="113">
    <w:name w:val="批注主题 Char"/>
    <w:link w:val="47"/>
    <w:qFormat/>
    <w:locked/>
    <w:uiPriority w:val="0"/>
    <w:rPr>
      <w:rFonts w:ascii="宋体"/>
      <w:b/>
      <w:sz w:val="28"/>
    </w:rPr>
  </w:style>
  <w:style w:type="character" w:customStyle="1" w:styleId="114">
    <w:name w:val="Subtitle Char1"/>
    <w:basedOn w:val="50"/>
    <w:qFormat/>
    <w:locked/>
    <w:uiPriority w:val="0"/>
    <w:rPr>
      <w:rFonts w:ascii="Cambria" w:hAnsi="Cambria" w:cs="Times New Roman"/>
      <w:b/>
      <w:bCs/>
      <w:kern w:val="28"/>
      <w:sz w:val="32"/>
      <w:szCs w:val="32"/>
    </w:rPr>
  </w:style>
  <w:style w:type="character" w:customStyle="1" w:styleId="115">
    <w:name w:val="批注框文本 Char1"/>
    <w:qFormat/>
    <w:uiPriority w:val="0"/>
    <w:rPr>
      <w:kern w:val="2"/>
      <w:sz w:val="18"/>
    </w:rPr>
  </w:style>
  <w:style w:type="character" w:customStyle="1" w:styleId="116">
    <w:name w:val="Char Char15"/>
    <w:basedOn w:val="50"/>
    <w:qFormat/>
    <w:uiPriority w:val="0"/>
    <w:rPr>
      <w:rFonts w:ascii="Arial" w:hAnsi="Arial" w:eastAsia="宋体"/>
      <w:b/>
      <w:kern w:val="2"/>
      <w:sz w:val="21"/>
      <w:lang w:val="en-US" w:eastAsia="zh-CN"/>
    </w:rPr>
  </w:style>
  <w:style w:type="character" w:customStyle="1" w:styleId="117">
    <w:name w:val="副标题 Char"/>
    <w:link w:val="39"/>
    <w:qFormat/>
    <w:locked/>
    <w:uiPriority w:val="0"/>
    <w:rPr>
      <w:rFonts w:ascii="Cambria" w:hAnsi="Cambria"/>
      <w:b/>
      <w:kern w:val="28"/>
      <w:sz w:val="32"/>
    </w:rPr>
  </w:style>
  <w:style w:type="character" w:customStyle="1" w:styleId="118">
    <w:name w:val="书籍标题1"/>
    <w:qFormat/>
    <w:uiPriority w:val="33"/>
    <w:rPr>
      <w:b/>
      <w:bCs/>
      <w:smallCaps/>
      <w:spacing w:val="5"/>
    </w:rPr>
  </w:style>
  <w:style w:type="character" w:customStyle="1" w:styleId="119">
    <w:name w:val="Char Char16"/>
    <w:basedOn w:val="50"/>
    <w:qFormat/>
    <w:uiPriority w:val="0"/>
    <w:rPr>
      <w:rFonts w:eastAsia="宋体"/>
      <w:b/>
      <w:kern w:val="2"/>
      <w:sz w:val="32"/>
      <w:lang w:val="en-US" w:eastAsia="zh-CN"/>
    </w:rPr>
  </w:style>
  <w:style w:type="character" w:customStyle="1" w:styleId="120">
    <w:name w:val="Intense Quote Char1"/>
    <w:basedOn w:val="50"/>
    <w:qFormat/>
    <w:locked/>
    <w:uiPriority w:val="0"/>
    <w:rPr>
      <w:rFonts w:cs="Times New Roman"/>
      <w:b/>
      <w:bCs/>
      <w:i/>
      <w:iCs/>
      <w:color w:val="4F81BD"/>
    </w:rPr>
  </w:style>
  <w:style w:type="character" w:customStyle="1" w:styleId="121">
    <w:name w:val="文档结构图 Char1"/>
    <w:qFormat/>
    <w:uiPriority w:val="0"/>
    <w:rPr>
      <w:rFonts w:ascii="宋体"/>
      <w:kern w:val="2"/>
      <w:sz w:val="18"/>
    </w:rPr>
  </w:style>
  <w:style w:type="character" w:customStyle="1" w:styleId="122">
    <w:name w:val="明显强调1"/>
    <w:basedOn w:val="50"/>
    <w:qFormat/>
    <w:uiPriority w:val="0"/>
    <w:rPr>
      <w:rFonts w:cs="Times New Roman"/>
      <w:b/>
      <w:i/>
      <w:color w:val="4F81BD"/>
    </w:rPr>
  </w:style>
  <w:style w:type="character" w:customStyle="1" w:styleId="123">
    <w:name w:val="Char Char5"/>
    <w:qFormat/>
    <w:locked/>
    <w:uiPriority w:val="0"/>
    <w:rPr>
      <w:rFonts w:eastAsia="宋体"/>
      <w:kern w:val="2"/>
      <w:sz w:val="21"/>
      <w:lang w:val="en-US" w:eastAsia="zh-CN" w:bidi="ar-SA"/>
    </w:rPr>
  </w:style>
  <w:style w:type="character" w:customStyle="1" w:styleId="124">
    <w:name w:val="Char Char8"/>
    <w:qFormat/>
    <w:locked/>
    <w:uiPriority w:val="0"/>
    <w:rPr>
      <w:rFonts w:eastAsia="宋体"/>
      <w:kern w:val="2"/>
      <w:sz w:val="18"/>
      <w:lang w:val="en-US" w:eastAsia="zh-CN" w:bidi="ar-SA"/>
    </w:rPr>
  </w:style>
  <w:style w:type="character" w:customStyle="1" w:styleId="125">
    <w:name w:val="Heading 2 Char"/>
    <w:basedOn w:val="50"/>
    <w:qFormat/>
    <w:locked/>
    <w:uiPriority w:val="0"/>
    <w:rPr>
      <w:rFonts w:ascii="Cambria" w:hAnsi="Cambria" w:eastAsia="宋体" w:cs="Times New Roman"/>
      <w:b/>
      <w:kern w:val="2"/>
      <w:sz w:val="32"/>
    </w:rPr>
  </w:style>
  <w:style w:type="character" w:customStyle="1" w:styleId="126">
    <w:name w:val="批注文字 Char"/>
    <w:link w:val="24"/>
    <w:qFormat/>
    <w:locked/>
    <w:uiPriority w:val="0"/>
  </w:style>
  <w:style w:type="character" w:customStyle="1" w:styleId="127">
    <w:name w:val="标题4 Char Char"/>
    <w:link w:val="128"/>
    <w:qFormat/>
    <w:locked/>
    <w:uiPriority w:val="0"/>
    <w:rPr>
      <w:rFonts w:ascii="Arial" w:hAnsi="Arial"/>
      <w:b/>
      <w:sz w:val="32"/>
    </w:rPr>
  </w:style>
  <w:style w:type="paragraph" w:customStyle="1" w:styleId="128">
    <w:name w:val="标题4"/>
    <w:basedOn w:val="9"/>
    <w:next w:val="27"/>
    <w:link w:val="127"/>
    <w:qFormat/>
    <w:uiPriority w:val="0"/>
    <w:rPr>
      <w:rFonts w:eastAsiaTheme="minorEastAsia" w:cstheme="minorBidi"/>
      <w:szCs w:val="22"/>
    </w:rPr>
  </w:style>
  <w:style w:type="character" w:customStyle="1" w:styleId="129">
    <w:name w:val="Heading 3 Char"/>
    <w:basedOn w:val="50"/>
    <w:qFormat/>
    <w:locked/>
    <w:uiPriority w:val="0"/>
    <w:rPr>
      <w:rFonts w:cs="Times New Roman"/>
      <w:b/>
      <w:kern w:val="2"/>
      <w:sz w:val="32"/>
    </w:rPr>
  </w:style>
  <w:style w:type="character" w:customStyle="1" w:styleId="130">
    <w:name w:val="首行缩进两字 Char1"/>
    <w:basedOn w:val="50"/>
    <w:link w:val="131"/>
    <w:qFormat/>
    <w:uiPriority w:val="0"/>
    <w:rPr>
      <w:rFonts w:ascii="宋体" w:hAnsi="宋体"/>
      <w:color w:val="000000"/>
      <w:sz w:val="28"/>
    </w:rPr>
  </w:style>
  <w:style w:type="paragraph" w:customStyle="1" w:styleId="131">
    <w:name w:val="首行缩进两字"/>
    <w:basedOn w:val="1"/>
    <w:link w:val="130"/>
    <w:qFormat/>
    <w:uiPriority w:val="0"/>
    <w:pPr>
      <w:ind w:firstLine="549" w:firstLineChars="200"/>
      <w:jc w:val="left"/>
    </w:pPr>
    <w:rPr>
      <w:rFonts w:ascii="宋体" w:hAnsi="宋体"/>
      <w:color w:val="000000"/>
      <w:sz w:val="28"/>
    </w:rPr>
  </w:style>
  <w:style w:type="character" w:customStyle="1" w:styleId="132">
    <w:name w:val="Char Char13"/>
    <w:basedOn w:val="50"/>
    <w:qFormat/>
    <w:locked/>
    <w:uiPriority w:val="0"/>
    <w:rPr>
      <w:rFonts w:ascii="Cambria" w:hAnsi="Cambria" w:eastAsia="宋体"/>
      <w:b/>
      <w:bCs/>
      <w:kern w:val="2"/>
      <w:sz w:val="24"/>
      <w:szCs w:val="24"/>
      <w:lang w:val="en-US" w:eastAsia="zh-CN" w:bidi="ar-SA"/>
    </w:rPr>
  </w:style>
  <w:style w:type="character" w:customStyle="1" w:styleId="133">
    <w:name w:val="文档结构图 Char"/>
    <w:link w:val="22"/>
    <w:qFormat/>
    <w:locked/>
    <w:uiPriority w:val="0"/>
    <w:rPr>
      <w:shd w:val="clear" w:color="auto" w:fill="000080"/>
    </w:rPr>
  </w:style>
  <w:style w:type="character" w:customStyle="1" w:styleId="134">
    <w:name w:val="Char Char4"/>
    <w:qFormat/>
    <w:locked/>
    <w:uiPriority w:val="0"/>
    <w:rPr>
      <w:rFonts w:eastAsia="宋体"/>
      <w:kern w:val="2"/>
      <w:sz w:val="18"/>
      <w:szCs w:val="18"/>
      <w:lang w:val="en-US" w:eastAsia="zh-CN" w:bidi="ar-SA"/>
    </w:rPr>
  </w:style>
  <w:style w:type="character" w:customStyle="1" w:styleId="135">
    <w:name w:val="不明显参考2"/>
    <w:qFormat/>
    <w:uiPriority w:val="0"/>
    <w:rPr>
      <w:smallCaps/>
      <w:color w:val="C0504D"/>
      <w:u w:val="single"/>
    </w:rPr>
  </w:style>
  <w:style w:type="character" w:customStyle="1" w:styleId="136">
    <w:name w:val="明显参考11"/>
    <w:basedOn w:val="50"/>
    <w:qFormat/>
    <w:uiPriority w:val="0"/>
    <w:rPr>
      <w:rFonts w:cs="Times New Roman"/>
      <w:b/>
      <w:smallCaps/>
      <w:color w:val="C0504D"/>
      <w:spacing w:val="5"/>
      <w:u w:val="single"/>
    </w:rPr>
  </w:style>
  <w:style w:type="character" w:customStyle="1" w:styleId="137">
    <w:name w:val="标题 Char1"/>
    <w:basedOn w:val="50"/>
    <w:qFormat/>
    <w:uiPriority w:val="10"/>
    <w:rPr>
      <w:rFonts w:ascii="Cambria" w:hAnsi="Cambria" w:cs="Times New Roman"/>
      <w:b/>
      <w:bCs/>
      <w:kern w:val="2"/>
      <w:sz w:val="32"/>
      <w:szCs w:val="32"/>
    </w:rPr>
  </w:style>
  <w:style w:type="character" w:customStyle="1" w:styleId="138">
    <w:name w:val="Char Char3"/>
    <w:basedOn w:val="50"/>
    <w:qFormat/>
    <w:uiPriority w:val="0"/>
    <w:rPr>
      <w:rFonts w:ascii="Arial" w:hAnsi="Arial" w:eastAsia="宋体"/>
      <w:b/>
      <w:kern w:val="2"/>
      <w:sz w:val="44"/>
      <w:lang w:val="en-US" w:eastAsia="zh-CN" w:bidi="ar-SA"/>
    </w:rPr>
  </w:style>
  <w:style w:type="character" w:customStyle="1" w:styleId="139">
    <w:name w:val="Char Char14"/>
    <w:basedOn w:val="50"/>
    <w:qFormat/>
    <w:locked/>
    <w:uiPriority w:val="0"/>
    <w:rPr>
      <w:rFonts w:ascii="Calibri" w:hAnsi="Calibri" w:eastAsia="宋体"/>
      <w:b/>
      <w:bCs/>
      <w:kern w:val="2"/>
      <w:sz w:val="28"/>
      <w:szCs w:val="28"/>
      <w:lang w:val="en-US" w:eastAsia="zh-CN" w:bidi="ar-SA"/>
    </w:rPr>
  </w:style>
  <w:style w:type="character" w:customStyle="1" w:styleId="140">
    <w:name w:val="引用 Char1"/>
    <w:basedOn w:val="50"/>
    <w:qFormat/>
    <w:uiPriority w:val="29"/>
    <w:rPr>
      <w:i/>
      <w:iCs/>
      <w:color w:val="000000"/>
      <w:kern w:val="2"/>
      <w:sz w:val="21"/>
    </w:rPr>
  </w:style>
  <w:style w:type="character" w:customStyle="1" w:styleId="141">
    <w:name w:val="明显强调2"/>
    <w:qFormat/>
    <w:uiPriority w:val="0"/>
    <w:rPr>
      <w:b/>
      <w:bCs/>
      <w:i/>
      <w:iCs/>
      <w:color w:val="4F81BD"/>
    </w:rPr>
  </w:style>
  <w:style w:type="character" w:customStyle="1" w:styleId="142">
    <w:name w:val="Quote Char"/>
    <w:link w:val="143"/>
    <w:qFormat/>
    <w:locked/>
    <w:uiPriority w:val="0"/>
    <w:rPr>
      <w:i/>
      <w:color w:val="000000"/>
      <w:sz w:val="22"/>
    </w:rPr>
  </w:style>
  <w:style w:type="paragraph" w:customStyle="1" w:styleId="143">
    <w:name w:val="引用1"/>
    <w:basedOn w:val="1"/>
    <w:next w:val="1"/>
    <w:link w:val="142"/>
    <w:qFormat/>
    <w:uiPriority w:val="0"/>
    <w:rPr>
      <w:i/>
      <w:color w:val="000000"/>
      <w:sz w:val="22"/>
    </w:rPr>
  </w:style>
  <w:style w:type="character" w:customStyle="1" w:styleId="144">
    <w:name w:val="副标题 Char1"/>
    <w:basedOn w:val="50"/>
    <w:qFormat/>
    <w:uiPriority w:val="11"/>
    <w:rPr>
      <w:rFonts w:ascii="Cambria" w:hAnsi="Cambria" w:cs="Times New Roman"/>
      <w:b/>
      <w:bCs/>
      <w:kern w:val="28"/>
      <w:sz w:val="32"/>
      <w:szCs w:val="32"/>
    </w:rPr>
  </w:style>
  <w:style w:type="character" w:customStyle="1" w:styleId="145">
    <w:name w:val="书籍标题11"/>
    <w:basedOn w:val="50"/>
    <w:qFormat/>
    <w:uiPriority w:val="0"/>
    <w:rPr>
      <w:rFonts w:cs="Times New Roman"/>
      <w:b/>
      <w:smallCaps/>
      <w:spacing w:val="5"/>
    </w:rPr>
  </w:style>
  <w:style w:type="character" w:customStyle="1" w:styleId="146">
    <w:name w:val="明显引用 Char1"/>
    <w:basedOn w:val="50"/>
    <w:qFormat/>
    <w:uiPriority w:val="30"/>
    <w:rPr>
      <w:b/>
      <w:bCs/>
      <w:i/>
      <w:iCs/>
      <w:color w:val="4F81BD"/>
      <w:kern w:val="2"/>
      <w:sz w:val="21"/>
    </w:rPr>
  </w:style>
  <w:style w:type="character" w:customStyle="1" w:styleId="147">
    <w:name w:val="Char Char6"/>
    <w:qFormat/>
    <w:locked/>
    <w:uiPriority w:val="0"/>
    <w:rPr>
      <w:rFonts w:eastAsia="宋体"/>
      <w:kern w:val="2"/>
      <w:sz w:val="18"/>
      <w:lang w:val="en-US" w:eastAsia="zh-CN" w:bidi="ar-SA"/>
    </w:rPr>
  </w:style>
  <w:style w:type="character" w:customStyle="1" w:styleId="148">
    <w:name w:val="标题 Char"/>
    <w:basedOn w:val="50"/>
    <w:link w:val="46"/>
    <w:qFormat/>
    <w:uiPriority w:val="0"/>
    <w:rPr>
      <w:rFonts w:ascii="Arial" w:hAnsi="Arial"/>
      <w:b/>
      <w:sz w:val="44"/>
    </w:rPr>
  </w:style>
  <w:style w:type="character" w:customStyle="1" w:styleId="149">
    <w:name w:val="批注主题 Char1"/>
    <w:qFormat/>
    <w:uiPriority w:val="0"/>
    <w:rPr>
      <w:b/>
      <w:kern w:val="2"/>
      <w:sz w:val="22"/>
    </w:rPr>
  </w:style>
  <w:style w:type="character" w:customStyle="1" w:styleId="150">
    <w:name w:val="Char Char18"/>
    <w:basedOn w:val="50"/>
    <w:qFormat/>
    <w:uiPriority w:val="0"/>
    <w:rPr>
      <w:rFonts w:eastAsia="宋体"/>
      <w:b/>
      <w:kern w:val="44"/>
      <w:sz w:val="44"/>
      <w:lang w:val="en-US" w:eastAsia="zh-CN" w:bidi="ar-SA"/>
    </w:rPr>
  </w:style>
  <w:style w:type="character" w:customStyle="1" w:styleId="151">
    <w:name w:val="正文文本 Char1"/>
    <w:qFormat/>
    <w:uiPriority w:val="0"/>
    <w:rPr>
      <w:kern w:val="2"/>
      <w:sz w:val="22"/>
    </w:rPr>
  </w:style>
  <w:style w:type="character" w:customStyle="1" w:styleId="152">
    <w:name w:val="日期 Char1"/>
    <w:qFormat/>
    <w:uiPriority w:val="0"/>
    <w:rPr>
      <w:kern w:val="2"/>
      <w:sz w:val="22"/>
    </w:rPr>
  </w:style>
  <w:style w:type="character" w:customStyle="1" w:styleId="153">
    <w:name w:val="Heading 4 Char"/>
    <w:basedOn w:val="50"/>
    <w:qFormat/>
    <w:locked/>
    <w:uiPriority w:val="0"/>
    <w:rPr>
      <w:rFonts w:ascii="Cambria" w:hAnsi="Cambria" w:eastAsia="宋体" w:cs="Times New Roman"/>
      <w:b/>
      <w:kern w:val="2"/>
      <w:sz w:val="28"/>
    </w:rPr>
  </w:style>
  <w:style w:type="character" w:customStyle="1" w:styleId="154">
    <w:name w:val="Title Char1"/>
    <w:basedOn w:val="50"/>
    <w:qFormat/>
    <w:locked/>
    <w:uiPriority w:val="0"/>
    <w:rPr>
      <w:rFonts w:ascii="Cambria" w:hAnsi="Cambria" w:cs="Times New Roman"/>
      <w:b/>
      <w:bCs/>
      <w:sz w:val="32"/>
      <w:szCs w:val="32"/>
    </w:rPr>
  </w:style>
  <w:style w:type="character" w:customStyle="1" w:styleId="155">
    <w:name w:val="Intense Quote Char"/>
    <w:link w:val="156"/>
    <w:qFormat/>
    <w:locked/>
    <w:uiPriority w:val="0"/>
    <w:rPr>
      <w:b/>
      <w:i/>
      <w:color w:val="4F81BD"/>
      <w:sz w:val="22"/>
    </w:rPr>
  </w:style>
  <w:style w:type="paragraph" w:customStyle="1" w:styleId="156">
    <w:name w:val="明显引用1"/>
    <w:basedOn w:val="1"/>
    <w:next w:val="1"/>
    <w:link w:val="155"/>
    <w:qFormat/>
    <w:uiPriority w:val="0"/>
    <w:pPr>
      <w:pBdr>
        <w:bottom w:val="single" w:color="4F81BD" w:sz="4" w:space="4"/>
      </w:pBdr>
      <w:spacing w:before="200" w:after="280"/>
      <w:ind w:left="936" w:right="936"/>
    </w:pPr>
    <w:rPr>
      <w:b/>
      <w:i/>
      <w:color w:val="4F81BD"/>
      <w:sz w:val="22"/>
    </w:rPr>
  </w:style>
  <w:style w:type="character" w:customStyle="1" w:styleId="157">
    <w:name w:val="Char Char12"/>
    <w:basedOn w:val="50"/>
    <w:qFormat/>
    <w:locked/>
    <w:uiPriority w:val="0"/>
    <w:rPr>
      <w:rFonts w:ascii="Calibri" w:hAnsi="Calibri" w:eastAsia="宋体"/>
      <w:b/>
      <w:bCs/>
      <w:kern w:val="2"/>
      <w:sz w:val="24"/>
      <w:szCs w:val="24"/>
      <w:lang w:val="en-US" w:eastAsia="zh-CN" w:bidi="ar-SA"/>
    </w:rPr>
  </w:style>
  <w:style w:type="paragraph" w:customStyle="1" w:styleId="158">
    <w:name w:val="节标题"/>
    <w:basedOn w:val="1"/>
    <w:next w:val="1"/>
    <w:qFormat/>
    <w:uiPriority w:val="0"/>
    <w:pPr>
      <w:widowControl/>
      <w:spacing w:line="289" w:lineRule="atLeast"/>
      <w:jc w:val="center"/>
      <w:textAlignment w:val="baseline"/>
    </w:pPr>
    <w:rPr>
      <w:rFonts w:ascii="Times New Roman" w:hAnsi="Times New Roman" w:eastAsia="宋体" w:cs="Times New Roman"/>
      <w:color w:val="000000"/>
      <w:kern w:val="0"/>
      <w:sz w:val="28"/>
      <w:szCs w:val="20"/>
      <w:u w:color="000000"/>
    </w:rPr>
  </w:style>
  <w:style w:type="character" w:customStyle="1" w:styleId="159">
    <w:name w:val="标题 Char2"/>
    <w:basedOn w:val="50"/>
    <w:qFormat/>
    <w:uiPriority w:val="10"/>
    <w:rPr>
      <w:rFonts w:eastAsia="宋体" w:asciiTheme="majorHAnsi" w:hAnsiTheme="majorHAnsi" w:cstheme="majorBidi"/>
      <w:b/>
      <w:bCs/>
      <w:sz w:val="32"/>
      <w:szCs w:val="32"/>
    </w:rPr>
  </w:style>
  <w:style w:type="paragraph" w:customStyle="1" w:styleId="160">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0"/>
    </w:rPr>
  </w:style>
  <w:style w:type="character" w:customStyle="1" w:styleId="161">
    <w:name w:val="信息标题 Char"/>
    <w:basedOn w:val="50"/>
    <w:link w:val="44"/>
    <w:qFormat/>
    <w:uiPriority w:val="0"/>
    <w:rPr>
      <w:rFonts w:ascii="Cambria" w:hAnsi="Cambria" w:eastAsia="宋体" w:cs="Times New Roman"/>
      <w:sz w:val="24"/>
      <w:szCs w:val="20"/>
      <w:shd w:val="pct20" w:color="auto" w:fill="auto"/>
    </w:rPr>
  </w:style>
  <w:style w:type="character" w:customStyle="1" w:styleId="162">
    <w:name w:val="正文文本缩进 3 Char"/>
    <w:basedOn w:val="50"/>
    <w:link w:val="41"/>
    <w:qFormat/>
    <w:uiPriority w:val="0"/>
    <w:rPr>
      <w:rFonts w:ascii="宋体" w:hAnsi="宋体" w:eastAsia="宋体" w:cs="Times New Roman"/>
      <w:szCs w:val="20"/>
    </w:rPr>
  </w:style>
  <w:style w:type="paragraph" w:customStyle="1" w:styleId="163">
    <w:name w:val="Char1 Char Char Char"/>
    <w:basedOn w:val="1"/>
    <w:qFormat/>
    <w:uiPriority w:val="0"/>
    <w:rPr>
      <w:rFonts w:ascii="Times New Roman" w:hAnsi="Times New Roman" w:eastAsia="宋体" w:cs="Times New Roman"/>
      <w:szCs w:val="20"/>
    </w:rPr>
  </w:style>
  <w:style w:type="character" w:customStyle="1" w:styleId="164">
    <w:name w:val="正文文本缩进 2 Char"/>
    <w:basedOn w:val="50"/>
    <w:link w:val="33"/>
    <w:qFormat/>
    <w:uiPriority w:val="0"/>
    <w:rPr>
      <w:rFonts w:ascii="Times New Roman" w:hAnsi="Times New Roman" w:eastAsia="宋体" w:cs="Times New Roman"/>
      <w:szCs w:val="20"/>
    </w:rPr>
  </w:style>
  <w:style w:type="character" w:customStyle="1" w:styleId="165">
    <w:name w:val="文档结构图 Char2"/>
    <w:basedOn w:val="50"/>
    <w:semiHidden/>
    <w:qFormat/>
    <w:uiPriority w:val="99"/>
    <w:rPr>
      <w:rFonts w:ascii="宋体" w:eastAsia="宋体"/>
      <w:sz w:val="18"/>
      <w:szCs w:val="18"/>
    </w:rPr>
  </w:style>
  <w:style w:type="character" w:customStyle="1" w:styleId="166">
    <w:name w:val="日期 Char2"/>
    <w:basedOn w:val="50"/>
    <w:semiHidden/>
    <w:qFormat/>
    <w:uiPriority w:val="99"/>
    <w:rPr>
      <w:kern w:val="2"/>
      <w:sz w:val="21"/>
    </w:rPr>
  </w:style>
  <w:style w:type="character" w:customStyle="1" w:styleId="167">
    <w:name w:val="正文文本缩进 Char"/>
    <w:basedOn w:val="50"/>
    <w:link w:val="6"/>
    <w:qFormat/>
    <w:uiPriority w:val="0"/>
    <w:rPr>
      <w:rFonts w:ascii="Times New Roman" w:hAnsi="Times New Roman" w:eastAsia="宋体" w:cs="Times New Roman"/>
      <w:szCs w:val="20"/>
    </w:rPr>
  </w:style>
  <w:style w:type="character" w:customStyle="1" w:styleId="168">
    <w:name w:val="纯文本 Char"/>
    <w:basedOn w:val="50"/>
    <w:link w:val="30"/>
    <w:qFormat/>
    <w:uiPriority w:val="0"/>
    <w:rPr>
      <w:rFonts w:ascii="宋体" w:hAnsi="Courier New" w:eastAsia="宋体" w:cs="Times New Roman"/>
      <w:szCs w:val="20"/>
    </w:rPr>
  </w:style>
  <w:style w:type="paragraph" w:styleId="169">
    <w:name w:val="No Spacing"/>
    <w:link w:val="283"/>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70">
    <w:name w:val="正文文本 Char2"/>
    <w:basedOn w:val="50"/>
    <w:semiHidden/>
    <w:qFormat/>
    <w:uiPriority w:val="99"/>
  </w:style>
  <w:style w:type="character" w:customStyle="1" w:styleId="171">
    <w:name w:val="正文文本 3 Char"/>
    <w:basedOn w:val="50"/>
    <w:link w:val="25"/>
    <w:qFormat/>
    <w:uiPriority w:val="0"/>
    <w:rPr>
      <w:rFonts w:ascii="Times New Roman" w:hAnsi="Times New Roman" w:eastAsia="宋体" w:cs="Times New Roman"/>
      <w:sz w:val="16"/>
      <w:szCs w:val="16"/>
    </w:rPr>
  </w:style>
  <w:style w:type="character" w:customStyle="1" w:styleId="172">
    <w:name w:val="批注文字 Char1"/>
    <w:basedOn w:val="50"/>
    <w:semiHidden/>
    <w:qFormat/>
    <w:uiPriority w:val="99"/>
  </w:style>
  <w:style w:type="character" w:customStyle="1" w:styleId="173">
    <w:name w:val="正文文本 2 Char"/>
    <w:basedOn w:val="50"/>
    <w:link w:val="4"/>
    <w:qFormat/>
    <w:uiPriority w:val="0"/>
    <w:rPr>
      <w:rFonts w:ascii="Times New Roman" w:hAnsi="宋体" w:eastAsia="方正小标宋_GBK" w:cs="Times New Roman"/>
      <w:spacing w:val="-20"/>
      <w:sz w:val="44"/>
      <w:szCs w:val="20"/>
    </w:rPr>
  </w:style>
  <w:style w:type="paragraph" w:customStyle="1" w:styleId="174">
    <w:name w:val="修订1"/>
    <w:qFormat/>
    <w:uiPriority w:val="0"/>
    <w:rPr>
      <w:rFonts w:ascii="Times New Roman" w:hAnsi="Times New Roman" w:eastAsia="宋体" w:cs="Times New Roman"/>
      <w:kern w:val="2"/>
      <w:sz w:val="21"/>
      <w:szCs w:val="24"/>
      <w:lang w:val="en-US" w:eastAsia="zh-CN" w:bidi="ar-SA"/>
    </w:rPr>
  </w:style>
  <w:style w:type="character" w:customStyle="1" w:styleId="175">
    <w:name w:val="批注框文本 Char2"/>
    <w:basedOn w:val="50"/>
    <w:semiHidden/>
    <w:qFormat/>
    <w:uiPriority w:val="99"/>
    <w:rPr>
      <w:sz w:val="18"/>
      <w:szCs w:val="18"/>
    </w:rPr>
  </w:style>
  <w:style w:type="paragraph" w:customStyle="1" w:styleId="176">
    <w:name w:val="p0"/>
    <w:basedOn w:val="1"/>
    <w:qFormat/>
    <w:uiPriority w:val="0"/>
    <w:pPr>
      <w:widowControl/>
      <w:spacing w:line="365" w:lineRule="atLeast"/>
      <w:ind w:left="1"/>
      <w:textAlignment w:val="bottom"/>
    </w:pPr>
    <w:rPr>
      <w:rFonts w:ascii="Times New Roman" w:hAnsi="Times New Roman" w:eastAsia="宋体" w:cs="Times New Roman"/>
      <w:kern w:val="0"/>
      <w:sz w:val="20"/>
      <w:szCs w:val="20"/>
    </w:rPr>
  </w:style>
  <w:style w:type="paragraph" w:customStyle="1" w:styleId="177">
    <w:name w:val="列出段落1"/>
    <w:basedOn w:val="1"/>
    <w:qFormat/>
    <w:uiPriority w:val="0"/>
    <w:pPr>
      <w:ind w:firstLine="420" w:firstLineChars="200"/>
    </w:pPr>
    <w:rPr>
      <w:rFonts w:ascii="Calibri" w:hAnsi="Calibri" w:eastAsia="宋体" w:cs="Times New Roman"/>
    </w:rPr>
  </w:style>
  <w:style w:type="character" w:customStyle="1" w:styleId="178">
    <w:name w:val="副标题 Char2"/>
    <w:basedOn w:val="50"/>
    <w:qFormat/>
    <w:uiPriority w:val="11"/>
    <w:rPr>
      <w:rFonts w:eastAsia="宋体" w:asciiTheme="majorHAnsi" w:hAnsiTheme="majorHAnsi" w:cstheme="majorBidi"/>
      <w:b/>
      <w:bCs/>
      <w:kern w:val="28"/>
      <w:sz w:val="32"/>
      <w:szCs w:val="32"/>
    </w:rPr>
  </w:style>
  <w:style w:type="paragraph" w:styleId="179">
    <w:name w:val="List Paragraph"/>
    <w:basedOn w:val="1"/>
    <w:qFormat/>
    <w:uiPriority w:val="1"/>
    <w:pPr>
      <w:ind w:firstLine="420" w:firstLineChars="200"/>
    </w:pPr>
    <w:rPr>
      <w:rFonts w:ascii="Calibri" w:hAnsi="Calibri" w:eastAsia="宋体" w:cs="Times New Roman"/>
    </w:rPr>
  </w:style>
  <w:style w:type="character" w:customStyle="1" w:styleId="180">
    <w:name w:val="批注主题 Char2"/>
    <w:basedOn w:val="172"/>
    <w:semiHidden/>
    <w:qFormat/>
    <w:uiPriority w:val="99"/>
    <w:rPr>
      <w:b/>
      <w:bCs/>
    </w:rPr>
  </w:style>
  <w:style w:type="paragraph" w:customStyle="1" w:styleId="181">
    <w:name w:val="样式3"/>
    <w:basedOn w:val="30"/>
    <w:qFormat/>
    <w:uiPriority w:val="0"/>
    <w:pPr>
      <w:spacing w:line="0" w:lineRule="atLeast"/>
      <w:outlineLvl w:val="0"/>
    </w:pPr>
    <w:rPr>
      <w:sz w:val="28"/>
    </w:rPr>
  </w:style>
  <w:style w:type="paragraph" w:customStyle="1" w:styleId="182">
    <w:name w:val="索引 6 New"/>
    <w:qFormat/>
    <w:uiPriority w:val="0"/>
    <w:rPr>
      <w:rFonts w:ascii="Times New Roman" w:hAnsi="Times New Roman" w:eastAsia="宋体" w:cs="Times New Roman"/>
      <w:sz w:val="24"/>
      <w:szCs w:val="24"/>
      <w:lang w:val="en-US" w:eastAsia="zh-CN" w:bidi="en-US"/>
    </w:rPr>
  </w:style>
  <w:style w:type="paragraph" w:customStyle="1" w:styleId="183">
    <w:name w:val="Char1 Char Char Char1"/>
    <w:basedOn w:val="1"/>
    <w:qFormat/>
    <w:uiPriority w:val="0"/>
    <w:rPr>
      <w:rFonts w:ascii="Times New Roman" w:hAnsi="Times New Roman" w:eastAsia="宋体" w:cs="Times New Roman"/>
      <w:szCs w:val="20"/>
    </w:rPr>
  </w:style>
  <w:style w:type="paragraph" w:customStyle="1" w:styleId="184">
    <w:name w:val="0"/>
    <w:basedOn w:val="1"/>
    <w:qFormat/>
    <w:uiPriority w:val="0"/>
    <w:pPr>
      <w:widowControl/>
      <w:snapToGrid w:val="0"/>
    </w:pPr>
    <w:rPr>
      <w:rFonts w:ascii="Times New Roman" w:hAnsi="Times New Roman" w:eastAsia="宋体" w:cs="Times New Roman"/>
      <w:kern w:val="0"/>
      <w:szCs w:val="20"/>
    </w:rPr>
  </w:style>
  <w:style w:type="paragraph" w:customStyle="1" w:styleId="185">
    <w:name w:val="空半行"/>
    <w:basedOn w:val="1"/>
    <w:qFormat/>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186">
    <w:name w:val="样式 标题 3 + (中文) 黑体 小四 非加粗 段前: 7.8 磅 段后: 0 磅 行距: 固定值 20 磅"/>
    <w:basedOn w:val="10"/>
    <w:qFormat/>
    <w:uiPriority w:val="0"/>
    <w:pPr>
      <w:spacing w:before="0" w:after="0" w:line="400" w:lineRule="exact"/>
    </w:pPr>
    <w:rPr>
      <w:rFonts w:eastAsia="黑体" w:cs="宋体"/>
      <w:b w:val="0"/>
      <w:sz w:val="24"/>
    </w:rPr>
  </w:style>
  <w:style w:type="paragraph" w:customStyle="1" w:styleId="187">
    <w:name w:val="默认段落字体 Para Char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character" w:customStyle="1" w:styleId="188">
    <w:name w:val="明显引用 Char2"/>
    <w:basedOn w:val="50"/>
    <w:qFormat/>
    <w:uiPriority w:val="30"/>
    <w:rPr>
      <w:b/>
      <w:bCs/>
      <w:i/>
      <w:iCs/>
      <w:color w:val="4F81BD" w:themeColor="accent1"/>
      <w14:textFill>
        <w14:solidFill>
          <w14:schemeClr w14:val="accent1"/>
        </w14:solidFill>
      </w14:textFill>
    </w:rPr>
  </w:style>
  <w:style w:type="paragraph" w:customStyle="1" w:styleId="189">
    <w:name w:val="Char"/>
    <w:basedOn w:val="1"/>
    <w:qFormat/>
    <w:uiPriority w:val="0"/>
    <w:pPr>
      <w:snapToGrid w:val="0"/>
      <w:spacing w:line="360" w:lineRule="auto"/>
      <w:ind w:firstLine="200" w:firstLineChars="200"/>
    </w:pPr>
    <w:rPr>
      <w:rFonts w:ascii="Times New Roman" w:hAnsi="Times New Roman" w:eastAsia="仿宋_GB2312" w:cs="Times New Roman"/>
      <w:sz w:val="24"/>
      <w:szCs w:val="20"/>
    </w:rPr>
  </w:style>
  <w:style w:type="paragraph" w:customStyle="1" w:styleId="190">
    <w:name w:val="修订2"/>
    <w:qFormat/>
    <w:uiPriority w:val="0"/>
    <w:rPr>
      <w:rFonts w:ascii="Times New Roman" w:hAnsi="Times New Roman" w:eastAsia="宋体" w:cs="Times New Roman"/>
      <w:kern w:val="2"/>
      <w:sz w:val="21"/>
      <w:szCs w:val="24"/>
      <w:lang w:val="en-US" w:eastAsia="zh-CN" w:bidi="ar-SA"/>
    </w:rPr>
  </w:style>
  <w:style w:type="paragraph" w:customStyle="1" w:styleId="191">
    <w:name w:val="Char1"/>
    <w:basedOn w:val="1"/>
    <w:qFormat/>
    <w:uiPriority w:val="0"/>
    <w:pPr>
      <w:snapToGrid w:val="0"/>
      <w:spacing w:line="360" w:lineRule="auto"/>
      <w:ind w:firstLine="200" w:firstLineChars="200"/>
    </w:pPr>
    <w:rPr>
      <w:rFonts w:ascii="Times New Roman" w:hAnsi="Times New Roman" w:eastAsia="宋体" w:cs="Times New Roman"/>
      <w:szCs w:val="20"/>
    </w:rPr>
  </w:style>
  <w:style w:type="character" w:customStyle="1" w:styleId="192">
    <w:name w:val="引用 Char2"/>
    <w:basedOn w:val="50"/>
    <w:qFormat/>
    <w:uiPriority w:val="29"/>
    <w:rPr>
      <w:i/>
      <w:iCs/>
      <w:color w:val="000000" w:themeColor="text1"/>
      <w14:textFill>
        <w14:solidFill>
          <w14:schemeClr w14:val="tx1"/>
        </w14:solidFill>
      </w14:textFill>
    </w:rPr>
  </w:style>
  <w:style w:type="paragraph" w:customStyle="1" w:styleId="193">
    <w:name w:val="dash6b63_65871"/>
    <w:basedOn w:val="1"/>
    <w:qFormat/>
    <w:uiPriority w:val="0"/>
    <w:pPr>
      <w:widowControl/>
    </w:pPr>
    <w:rPr>
      <w:rFonts w:ascii="Calibri" w:hAnsi="Calibri" w:eastAsia="宋体" w:cs="Calibri"/>
      <w:kern w:val="0"/>
      <w:sz w:val="20"/>
      <w:szCs w:val="20"/>
    </w:rPr>
  </w:style>
  <w:style w:type="paragraph" w:customStyle="1" w:styleId="194">
    <w:name w:val="样式 标题 2 + Times New Roman 四号 非加粗 段前: 5 磅 段后: 0 磅 行距: 固定值 20..."/>
    <w:basedOn w:val="9"/>
    <w:qFormat/>
    <w:uiPriority w:val="0"/>
    <w:pPr>
      <w:spacing w:before="100" w:after="0" w:line="400" w:lineRule="exact"/>
    </w:pPr>
    <w:rPr>
      <w:rFonts w:ascii="Times New Roman" w:hAnsi="Times New Roman" w:cs="宋体"/>
      <w:b w:val="0"/>
      <w:kern w:val="0"/>
      <w:sz w:val="28"/>
    </w:rPr>
  </w:style>
  <w:style w:type="paragraph" w:customStyle="1" w:styleId="195">
    <w:name w:val="TOC 标题1"/>
    <w:basedOn w:val="8"/>
    <w:next w:val="1"/>
    <w:qFormat/>
    <w:uiPriority w:val="0"/>
    <w:pPr>
      <w:spacing w:line="578" w:lineRule="auto"/>
      <w:outlineLvl w:val="9"/>
    </w:pPr>
    <w:rPr>
      <w:bCs/>
      <w:szCs w:val="44"/>
    </w:rPr>
  </w:style>
  <w:style w:type="paragraph" w:customStyle="1" w:styleId="196">
    <w:name w:val="TOC 标题11"/>
    <w:basedOn w:val="8"/>
    <w:next w:val="1"/>
    <w:qFormat/>
    <w:uiPriority w:val="0"/>
    <w:pPr>
      <w:outlineLvl w:val="9"/>
    </w:pPr>
    <w:rPr>
      <w:rFonts w:ascii="Calibri" w:hAnsi="Calibri"/>
      <w:bCs/>
      <w:szCs w:val="44"/>
    </w:rPr>
  </w:style>
  <w:style w:type="paragraph" w:customStyle="1" w:styleId="197">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table" w:customStyle="1" w:styleId="198">
    <w:name w:val="网格型1"/>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9">
    <w:name w:val="正文首行缩进 Char"/>
    <w:basedOn w:val="170"/>
    <w:link w:val="2"/>
    <w:qFormat/>
    <w:uiPriority w:val="0"/>
    <w:rPr>
      <w:rFonts w:ascii="Times New Roman" w:hAnsi="Times New Roman"/>
      <w:szCs w:val="24"/>
    </w:rPr>
  </w:style>
  <w:style w:type="paragraph" w:customStyle="1" w:styleId="200">
    <w:name w:val="p"/>
    <w:basedOn w:val="1"/>
    <w:qFormat/>
    <w:uiPriority w:val="0"/>
    <w:pPr>
      <w:widowControl/>
      <w:spacing w:line="432" w:lineRule="auto"/>
      <w:jc w:val="left"/>
    </w:pPr>
    <w:rPr>
      <w:rFonts w:ascii="宋体" w:hAnsi="宋体" w:eastAsia="宋体" w:cs="宋体"/>
      <w:kern w:val="0"/>
      <w:sz w:val="24"/>
      <w:szCs w:val="24"/>
    </w:rPr>
  </w:style>
  <w:style w:type="paragraph" w:customStyle="1" w:styleId="201">
    <w:name w:val="xl66"/>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02">
    <w:name w:val="xl67"/>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eastAsia="宋体" w:cs="宋体"/>
      <w:kern w:val="0"/>
      <w:sz w:val="24"/>
      <w:szCs w:val="24"/>
    </w:rPr>
  </w:style>
  <w:style w:type="paragraph" w:customStyle="1" w:styleId="203">
    <w:name w:val="xl68"/>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04">
    <w:name w:val="xl69"/>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right"/>
      <w:textAlignment w:val="center"/>
    </w:pPr>
    <w:rPr>
      <w:rFonts w:ascii="宋体" w:hAnsi="宋体" w:eastAsia="宋体" w:cs="宋体"/>
      <w:kern w:val="0"/>
      <w:sz w:val="24"/>
      <w:szCs w:val="24"/>
    </w:rPr>
  </w:style>
  <w:style w:type="paragraph" w:customStyle="1" w:styleId="205">
    <w:name w:val="xl70"/>
    <w:basedOn w:val="1"/>
    <w:qFormat/>
    <w:uiPriority w:val="0"/>
    <w:pPr>
      <w:widowControl/>
      <w:pBdr>
        <w:top w:val="single" w:color="000000" w:sz="4" w:space="0"/>
        <w:left w:val="single" w:color="000000" w:sz="4" w:space="0"/>
        <w:bottom w:val="single" w:color="000000" w:sz="4" w:space="0"/>
        <w:right w:val="single" w:color="000000" w:sz="8"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06">
    <w:name w:val="xl71"/>
    <w:basedOn w:val="1"/>
    <w:qFormat/>
    <w:uiPriority w:val="0"/>
    <w:pPr>
      <w:widowControl/>
      <w:pBdr>
        <w:top w:val="single" w:color="000000" w:sz="4" w:space="0"/>
        <w:left w:val="single" w:color="000000" w:sz="4" w:space="0"/>
        <w:bottom w:val="single" w:color="000000" w:sz="4" w:space="0"/>
        <w:right w:val="single" w:color="000000" w:sz="8" w:space="0"/>
      </w:pBdr>
      <w:shd w:val="clear" w:color="FFFFFF" w:fill="FFFFFF"/>
      <w:spacing w:before="100" w:beforeAutospacing="1" w:after="100" w:afterAutospacing="1"/>
      <w:jc w:val="right"/>
      <w:textAlignment w:val="center"/>
    </w:pPr>
    <w:rPr>
      <w:rFonts w:ascii="宋体" w:hAnsi="宋体" w:eastAsia="宋体" w:cs="宋体"/>
      <w:kern w:val="0"/>
      <w:sz w:val="24"/>
      <w:szCs w:val="24"/>
    </w:rPr>
  </w:style>
  <w:style w:type="paragraph" w:customStyle="1" w:styleId="207">
    <w:name w:val="xl72"/>
    <w:basedOn w:val="1"/>
    <w:qFormat/>
    <w:uiPriority w:val="0"/>
    <w:pPr>
      <w:widowControl/>
      <w:pBdr>
        <w:top w:val="single" w:color="000000" w:sz="4" w:space="0"/>
        <w:left w:val="single" w:color="000000" w:sz="4" w:space="0"/>
        <w:bottom w:val="single" w:color="000000" w:sz="8" w:space="0"/>
        <w:right w:val="single" w:color="000000" w:sz="8" w:space="0"/>
      </w:pBdr>
      <w:shd w:val="clear" w:color="FFFFFF" w:fill="FFFFFF"/>
      <w:spacing w:before="100" w:beforeAutospacing="1" w:after="100" w:afterAutospacing="1"/>
      <w:jc w:val="right"/>
      <w:textAlignment w:val="center"/>
    </w:pPr>
    <w:rPr>
      <w:rFonts w:ascii="宋体" w:hAnsi="宋体" w:eastAsia="宋体" w:cs="宋体"/>
      <w:kern w:val="0"/>
      <w:sz w:val="24"/>
      <w:szCs w:val="24"/>
    </w:rPr>
  </w:style>
  <w:style w:type="paragraph" w:customStyle="1" w:styleId="208">
    <w:name w:val="xl73"/>
    <w:basedOn w:val="1"/>
    <w:qFormat/>
    <w:uiPriority w:val="0"/>
    <w:pPr>
      <w:widowControl/>
      <w:pBdr>
        <w:top w:val="single" w:color="000000" w:sz="8" w:space="0"/>
        <w:left w:val="single" w:color="000000" w:sz="4" w:space="0"/>
        <w:bottom w:val="single" w:color="000000" w:sz="8" w:space="0"/>
        <w:right w:val="single" w:color="000000" w:sz="8" w:space="0"/>
      </w:pBdr>
      <w:shd w:val="clear" w:color="FFFFFF" w:fill="FFFFFF"/>
      <w:spacing w:before="100" w:beforeAutospacing="1" w:after="100" w:afterAutospacing="1"/>
      <w:jc w:val="right"/>
      <w:textAlignment w:val="center"/>
    </w:pPr>
    <w:rPr>
      <w:rFonts w:ascii="宋体" w:hAnsi="宋体" w:eastAsia="宋体" w:cs="宋体"/>
      <w:kern w:val="0"/>
      <w:sz w:val="24"/>
      <w:szCs w:val="24"/>
    </w:rPr>
  </w:style>
  <w:style w:type="paragraph" w:customStyle="1" w:styleId="209">
    <w:name w:val="xl74"/>
    <w:basedOn w:val="1"/>
    <w:qFormat/>
    <w:uiPriority w:val="0"/>
    <w:pPr>
      <w:widowControl/>
      <w:shd w:val="clear" w:color="FFFFFF" w:fill="FFFFFF"/>
      <w:spacing w:before="100" w:beforeAutospacing="1" w:after="100" w:afterAutospacing="1"/>
      <w:jc w:val="left"/>
      <w:textAlignment w:val="top"/>
    </w:pPr>
    <w:rPr>
      <w:rFonts w:ascii="宋体" w:hAnsi="宋体" w:eastAsia="宋体" w:cs="宋体"/>
      <w:kern w:val="0"/>
      <w:sz w:val="24"/>
      <w:szCs w:val="24"/>
    </w:rPr>
  </w:style>
  <w:style w:type="paragraph" w:customStyle="1" w:styleId="210">
    <w:name w:val="xl75"/>
    <w:basedOn w:val="1"/>
    <w:qFormat/>
    <w:uiPriority w:val="0"/>
    <w:pPr>
      <w:widowControl/>
      <w:shd w:val="clear" w:color="FFFFFF" w:fill="FFFFFF"/>
      <w:spacing w:before="100" w:beforeAutospacing="1" w:after="100" w:afterAutospacing="1"/>
      <w:jc w:val="left"/>
      <w:textAlignment w:val="top"/>
    </w:pPr>
    <w:rPr>
      <w:rFonts w:ascii="宋体" w:hAnsi="宋体" w:eastAsia="宋体" w:cs="宋体"/>
      <w:kern w:val="0"/>
      <w:sz w:val="24"/>
      <w:szCs w:val="24"/>
      <w:u w:val="single"/>
    </w:rPr>
  </w:style>
  <w:style w:type="paragraph" w:customStyle="1" w:styleId="211">
    <w:name w:val="xl76"/>
    <w:basedOn w:val="1"/>
    <w:qFormat/>
    <w:uiPriority w:val="0"/>
    <w:pPr>
      <w:widowControl/>
      <w:shd w:val="clear" w:color="FFFFFF" w:fill="FFFFFF"/>
      <w:spacing w:before="100" w:beforeAutospacing="1" w:after="100" w:afterAutospacing="1"/>
      <w:jc w:val="right"/>
      <w:textAlignment w:val="top"/>
    </w:pPr>
    <w:rPr>
      <w:rFonts w:ascii="宋体" w:hAnsi="宋体" w:eastAsia="宋体" w:cs="宋体"/>
      <w:kern w:val="0"/>
      <w:sz w:val="24"/>
      <w:szCs w:val="24"/>
    </w:rPr>
  </w:style>
  <w:style w:type="paragraph" w:customStyle="1" w:styleId="212">
    <w:name w:val="xl77"/>
    <w:basedOn w:val="1"/>
    <w:qFormat/>
    <w:uiPriority w:val="0"/>
    <w:pPr>
      <w:widowControl/>
      <w:shd w:val="clear" w:color="FFFFFF" w:fill="FFFFFF"/>
      <w:spacing w:before="100" w:beforeAutospacing="1" w:after="100" w:afterAutospacing="1"/>
      <w:jc w:val="left"/>
    </w:pPr>
    <w:rPr>
      <w:rFonts w:ascii="宋体" w:hAnsi="宋体" w:eastAsia="宋体" w:cs="宋体"/>
      <w:kern w:val="0"/>
      <w:sz w:val="24"/>
      <w:szCs w:val="24"/>
    </w:rPr>
  </w:style>
  <w:style w:type="paragraph" w:customStyle="1" w:styleId="213">
    <w:name w:val="xl78"/>
    <w:basedOn w:val="1"/>
    <w:qFormat/>
    <w:uiPriority w:val="0"/>
    <w:pPr>
      <w:widowControl/>
      <w:shd w:val="clear" w:color="FFFFFF" w:fill="FFFFFF"/>
      <w:spacing w:before="100" w:beforeAutospacing="1" w:after="100" w:afterAutospacing="1"/>
      <w:jc w:val="right"/>
    </w:pPr>
    <w:rPr>
      <w:rFonts w:ascii="宋体" w:hAnsi="宋体" w:eastAsia="宋体" w:cs="宋体"/>
      <w:kern w:val="0"/>
      <w:sz w:val="24"/>
      <w:szCs w:val="24"/>
    </w:rPr>
  </w:style>
  <w:style w:type="paragraph" w:customStyle="1" w:styleId="214">
    <w:name w:val="xl79"/>
    <w:basedOn w:val="1"/>
    <w:qFormat/>
    <w:uiPriority w:val="0"/>
    <w:pPr>
      <w:widowControl/>
      <w:pBdr>
        <w:top w:val="single" w:color="000000" w:sz="8" w:space="0"/>
        <w:left w:val="single" w:color="000000" w:sz="8"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15">
    <w:name w:val="xl80"/>
    <w:basedOn w:val="1"/>
    <w:qFormat/>
    <w:uiPriority w:val="0"/>
    <w:pPr>
      <w:widowControl/>
      <w:pBdr>
        <w:top w:val="single" w:color="000000" w:sz="8" w:space="0"/>
        <w:left w:val="single" w:color="000000" w:sz="4"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16">
    <w:name w:val="xl81"/>
    <w:basedOn w:val="1"/>
    <w:qFormat/>
    <w:uiPriority w:val="0"/>
    <w:pPr>
      <w:widowControl/>
      <w:pBdr>
        <w:top w:val="single" w:color="000000" w:sz="8" w:space="0"/>
        <w:left w:val="single" w:color="000000" w:sz="4" w:space="0"/>
        <w:bottom w:val="single" w:color="000000" w:sz="8" w:space="0"/>
        <w:right w:val="single" w:color="000000" w:sz="4" w:space="0"/>
      </w:pBdr>
      <w:shd w:val="clear" w:color="FFFFFF" w:fill="FFFFFF"/>
      <w:spacing w:before="100" w:beforeAutospacing="1" w:after="100" w:afterAutospacing="1"/>
      <w:jc w:val="right"/>
      <w:textAlignment w:val="center"/>
    </w:pPr>
    <w:rPr>
      <w:rFonts w:ascii="宋体" w:hAnsi="宋体" w:eastAsia="宋体" w:cs="宋体"/>
      <w:kern w:val="0"/>
      <w:sz w:val="24"/>
      <w:szCs w:val="24"/>
    </w:rPr>
  </w:style>
  <w:style w:type="paragraph" w:customStyle="1" w:styleId="217">
    <w:name w:val="xl82"/>
    <w:basedOn w:val="1"/>
    <w:qFormat/>
    <w:uiPriority w:val="0"/>
    <w:pPr>
      <w:widowControl/>
      <w:shd w:val="clear" w:color="FFFFFF" w:fill="FFFFFF"/>
      <w:spacing w:before="100" w:beforeAutospacing="1" w:after="100" w:afterAutospacing="1"/>
      <w:jc w:val="center"/>
      <w:textAlignment w:val="center"/>
    </w:pPr>
    <w:rPr>
      <w:rFonts w:ascii="宋体" w:hAnsi="宋体" w:eastAsia="宋体" w:cs="宋体"/>
      <w:b/>
      <w:bCs/>
      <w:kern w:val="0"/>
      <w:sz w:val="40"/>
      <w:szCs w:val="40"/>
    </w:rPr>
  </w:style>
  <w:style w:type="paragraph" w:customStyle="1" w:styleId="218">
    <w:name w:val="xl83"/>
    <w:basedOn w:val="1"/>
    <w:qFormat/>
    <w:uiPriority w:val="0"/>
    <w:pPr>
      <w:widowControl/>
      <w:shd w:val="clear" w:color="FFFFFF" w:fill="FFFFFF"/>
      <w:spacing w:before="100" w:beforeAutospacing="1" w:after="100" w:afterAutospacing="1"/>
      <w:jc w:val="right"/>
      <w:textAlignment w:val="center"/>
    </w:pPr>
    <w:rPr>
      <w:rFonts w:ascii="宋体" w:hAnsi="宋体" w:eastAsia="宋体" w:cs="宋体"/>
      <w:b/>
      <w:bCs/>
      <w:kern w:val="0"/>
      <w:sz w:val="40"/>
      <w:szCs w:val="40"/>
    </w:rPr>
  </w:style>
  <w:style w:type="paragraph" w:customStyle="1" w:styleId="219">
    <w:name w:val="xl84"/>
    <w:basedOn w:val="1"/>
    <w:qFormat/>
    <w:uiPriority w:val="0"/>
    <w:pPr>
      <w:widowControl/>
      <w:pBdr>
        <w:top w:val="single" w:color="000000" w:sz="4" w:space="0"/>
        <w:left w:val="single" w:color="000000" w:sz="8"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20">
    <w:name w:val="xl85"/>
    <w:basedOn w:val="1"/>
    <w:qFormat/>
    <w:uiPriority w:val="0"/>
    <w:pPr>
      <w:widowControl/>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21">
    <w:name w:val="xl86"/>
    <w:basedOn w:val="1"/>
    <w:qFormat/>
    <w:uiPriority w:val="0"/>
    <w:pPr>
      <w:widowControl/>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right"/>
      <w:textAlignment w:val="center"/>
    </w:pPr>
    <w:rPr>
      <w:rFonts w:ascii="宋体" w:hAnsi="宋体" w:eastAsia="宋体" w:cs="宋体"/>
      <w:kern w:val="0"/>
      <w:sz w:val="24"/>
      <w:szCs w:val="24"/>
    </w:rPr>
  </w:style>
  <w:style w:type="paragraph" w:customStyle="1" w:styleId="222">
    <w:name w:val="xl87"/>
    <w:basedOn w:val="1"/>
    <w:qFormat/>
    <w:uiPriority w:val="0"/>
    <w:pPr>
      <w:widowControl/>
      <w:pBdr>
        <w:top w:val="single" w:color="000000" w:sz="8"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23">
    <w:name w:val="xl88"/>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24">
    <w:name w:val="xl89"/>
    <w:basedOn w:val="1"/>
    <w:qFormat/>
    <w:uiPriority w:val="0"/>
    <w:pPr>
      <w:widowControl/>
      <w:pBdr>
        <w:top w:val="single" w:color="000000" w:sz="8"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25">
    <w:name w:val="xl90"/>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26">
    <w:name w:val="xl91"/>
    <w:basedOn w:val="1"/>
    <w:qFormat/>
    <w:uiPriority w:val="0"/>
    <w:pPr>
      <w:widowControl/>
      <w:pBdr>
        <w:top w:val="single" w:color="000000" w:sz="8" w:space="0"/>
        <w:left w:val="single" w:color="000000" w:sz="4" w:space="0"/>
        <w:bottom w:val="single" w:color="000000" w:sz="4" w:space="0"/>
        <w:right w:val="single" w:color="000000" w:sz="8" w:space="0"/>
      </w:pBdr>
      <w:shd w:val="clear" w:color="FFFFFF"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27">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character" w:customStyle="1" w:styleId="228">
    <w:name w:val="apple-converted-space"/>
    <w:basedOn w:val="50"/>
    <w:qFormat/>
    <w:uiPriority w:val="0"/>
  </w:style>
  <w:style w:type="character" w:customStyle="1" w:styleId="229">
    <w:name w:val="正文缩进 Char"/>
    <w:link w:val="20"/>
    <w:qFormat/>
    <w:uiPriority w:val="0"/>
    <w:rPr>
      <w:rFonts w:ascii="Times New Roman" w:hAnsi="Times New Roman" w:eastAsia="楷体_GB2312" w:cs="Times New Roman"/>
      <w:sz w:val="24"/>
      <w:szCs w:val="20"/>
    </w:rPr>
  </w:style>
  <w:style w:type="paragraph" w:customStyle="1" w:styleId="230">
    <w:name w:val="defaul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1">
    <w:name w:val="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2">
    <w:name w:val="plain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3">
    <w:name w:val="paracharcharcharcharcharcharcharcharchar1charcharcharcha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34">
    <w:name w:val="纯文本 Char1"/>
    <w:basedOn w:val="50"/>
    <w:semiHidden/>
    <w:qFormat/>
    <w:uiPriority w:val="99"/>
    <w:rPr>
      <w:rFonts w:ascii="宋体" w:hAnsi="Courier New" w:cs="Courier New"/>
      <w:kern w:val="2"/>
      <w:sz w:val="21"/>
      <w:szCs w:val="21"/>
    </w:rPr>
  </w:style>
  <w:style w:type="paragraph" w:customStyle="1" w:styleId="235">
    <w:name w:val="a0"/>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236">
    <w:name w:val="网格型2"/>
    <w:basedOn w:val="48"/>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37">
    <w:name w:val="标书正文 Char Char1"/>
    <w:basedOn w:val="1"/>
    <w:qFormat/>
    <w:uiPriority w:val="0"/>
    <w:pPr>
      <w:spacing w:line="360" w:lineRule="auto"/>
      <w:ind w:firstLine="480" w:firstLineChars="200"/>
    </w:pPr>
    <w:rPr>
      <w:rFonts w:ascii="宋体" w:hAnsi="宋体" w:eastAsia="宋体" w:cs="Times New Roman"/>
      <w:sz w:val="24"/>
      <w:szCs w:val="20"/>
    </w:rPr>
  </w:style>
  <w:style w:type="character" w:customStyle="1" w:styleId="238">
    <w:name w:val="正文首行缩进 2 Char"/>
    <w:basedOn w:val="167"/>
    <w:link w:val="5"/>
    <w:qFormat/>
    <w:uiPriority w:val="99"/>
    <w:rPr>
      <w:rFonts w:ascii="Times New Roman" w:hAnsi="Times New Roman" w:eastAsia="宋体" w:cs="Times New Roman"/>
      <w:szCs w:val="20"/>
    </w:rPr>
  </w:style>
  <w:style w:type="paragraph" w:customStyle="1" w:styleId="239">
    <w:name w:val="无间隔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0">
    <w:name w:val="列出段落2"/>
    <w:basedOn w:val="1"/>
    <w:qFormat/>
    <w:uiPriority w:val="34"/>
    <w:pPr>
      <w:ind w:firstLine="420" w:firstLineChars="200"/>
    </w:pPr>
    <w:rPr>
      <w:rFonts w:ascii="Times New Roman" w:hAnsi="Times New Roman" w:eastAsia="宋体" w:cs="Times New Roman"/>
      <w:szCs w:val="20"/>
    </w:rPr>
  </w:style>
  <w:style w:type="paragraph" w:customStyle="1" w:styleId="241">
    <w:name w:val="Table Paragraph"/>
    <w:basedOn w:val="1"/>
    <w:qFormat/>
    <w:uiPriority w:val="1"/>
    <w:pPr>
      <w:autoSpaceDE w:val="0"/>
      <w:autoSpaceDN w:val="0"/>
      <w:jc w:val="left"/>
    </w:pPr>
    <w:rPr>
      <w:rFonts w:ascii="宋体" w:hAnsi="宋体" w:eastAsia="宋体" w:cs="宋体"/>
      <w:kern w:val="0"/>
      <w:sz w:val="22"/>
      <w:lang w:eastAsia="en-US"/>
    </w:rPr>
  </w:style>
  <w:style w:type="character" w:customStyle="1" w:styleId="242">
    <w:name w:val="font31"/>
    <w:qFormat/>
    <w:uiPriority w:val="0"/>
    <w:rPr>
      <w:rFonts w:hint="eastAsia" w:ascii="宋体" w:hAnsi="宋体" w:eastAsia="宋体" w:cs="宋体"/>
      <w:color w:val="FF0000"/>
      <w:sz w:val="24"/>
      <w:szCs w:val="24"/>
      <w:u w:val="none"/>
    </w:rPr>
  </w:style>
  <w:style w:type="character" w:customStyle="1" w:styleId="243">
    <w:name w:val="font41"/>
    <w:qFormat/>
    <w:uiPriority w:val="0"/>
    <w:rPr>
      <w:rFonts w:hint="eastAsia" w:ascii="宋体" w:hAnsi="宋体" w:eastAsia="宋体" w:cs="宋体"/>
      <w:color w:val="000000"/>
      <w:sz w:val="24"/>
      <w:szCs w:val="24"/>
      <w:u w:val="none"/>
    </w:rPr>
  </w:style>
  <w:style w:type="paragraph" w:customStyle="1" w:styleId="244">
    <w:name w:val="列出段落111"/>
    <w:basedOn w:val="1"/>
    <w:qFormat/>
    <w:uiPriority w:val="0"/>
    <w:pPr>
      <w:ind w:firstLine="420" w:firstLineChars="200"/>
    </w:pPr>
    <w:rPr>
      <w:rFonts w:ascii="Calibri" w:hAnsi="Calibri" w:eastAsia="宋体" w:cs="Times New Roman"/>
      <w:szCs w:val="24"/>
    </w:rPr>
  </w:style>
  <w:style w:type="paragraph" w:customStyle="1" w:styleId="245">
    <w:name w:val="纯文本1"/>
    <w:basedOn w:val="1"/>
    <w:qFormat/>
    <w:uiPriority w:val="0"/>
    <w:pPr>
      <w:spacing w:beforeLines="50" w:afterLines="50" w:line="400" w:lineRule="atLeast"/>
    </w:pPr>
    <w:rPr>
      <w:rFonts w:hint="eastAsia" w:ascii="宋体" w:hAnsi="Courier New" w:eastAsia="宋体" w:cs="Times New Roman"/>
      <w:sz w:val="24"/>
      <w:szCs w:val="20"/>
    </w:rPr>
  </w:style>
  <w:style w:type="table" w:customStyle="1" w:styleId="246">
    <w:name w:val="网格型3"/>
    <w:basedOn w:val="48"/>
    <w:unhideWhenUsed/>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7">
    <w:name w:val="标题 1 字符"/>
    <w:qFormat/>
    <w:uiPriority w:val="9"/>
    <w:rPr>
      <w:rFonts w:ascii="宋体" w:hAnsi="宋体" w:cs="宋体"/>
      <w:b/>
      <w:bCs/>
      <w:sz w:val="28"/>
      <w:szCs w:val="28"/>
      <w:lang w:val="zh-CN" w:bidi="zh-CN"/>
    </w:rPr>
  </w:style>
  <w:style w:type="character" w:customStyle="1" w:styleId="248">
    <w:name w:val="页眉 字符"/>
    <w:qFormat/>
    <w:uiPriority w:val="0"/>
    <w:rPr>
      <w:kern w:val="2"/>
      <w:sz w:val="18"/>
      <w:szCs w:val="18"/>
    </w:rPr>
  </w:style>
  <w:style w:type="character" w:customStyle="1" w:styleId="249">
    <w:name w:val="批注框文本 字符"/>
    <w:qFormat/>
    <w:uiPriority w:val="0"/>
    <w:rPr>
      <w:kern w:val="2"/>
      <w:sz w:val="18"/>
      <w:szCs w:val="18"/>
    </w:rPr>
  </w:style>
  <w:style w:type="character" w:customStyle="1" w:styleId="250">
    <w:name w:val="正文文本 字符"/>
    <w:qFormat/>
    <w:uiPriority w:val="0"/>
    <w:rPr>
      <w:kern w:val="2"/>
      <w:sz w:val="21"/>
      <w:szCs w:val="24"/>
    </w:rPr>
  </w:style>
  <w:style w:type="character" w:customStyle="1" w:styleId="251">
    <w:name w:val="页脚 字符"/>
    <w:qFormat/>
    <w:uiPriority w:val="0"/>
    <w:rPr>
      <w:kern w:val="2"/>
      <w:sz w:val="18"/>
      <w:szCs w:val="18"/>
    </w:rPr>
  </w:style>
  <w:style w:type="table" w:customStyle="1" w:styleId="252">
    <w:name w:val="网格型4"/>
    <w:basedOn w:val="48"/>
    <w:unhideWhenUsed/>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3">
    <w:name w:val="font11"/>
    <w:qFormat/>
    <w:uiPriority w:val="0"/>
    <w:rPr>
      <w:rFonts w:hint="eastAsia" w:ascii="宋体" w:hAnsi="宋体" w:eastAsia="宋体" w:cs="宋体"/>
      <w:color w:val="000000"/>
      <w:sz w:val="20"/>
      <w:szCs w:val="20"/>
      <w:u w:val="none"/>
    </w:rPr>
  </w:style>
  <w:style w:type="character" w:customStyle="1" w:styleId="254">
    <w:name w:val="font01"/>
    <w:qFormat/>
    <w:uiPriority w:val="0"/>
    <w:rPr>
      <w:rFonts w:hint="eastAsia" w:ascii="宋体" w:hAnsi="宋体" w:eastAsia="宋体" w:cs="宋体"/>
      <w:color w:val="FF0000"/>
      <w:sz w:val="20"/>
      <w:szCs w:val="20"/>
      <w:u w:val="none"/>
    </w:rPr>
  </w:style>
  <w:style w:type="paragraph" w:customStyle="1" w:styleId="255">
    <w:name w:val="WPSOffice手动目录 1"/>
    <w:qFormat/>
    <w:uiPriority w:val="0"/>
    <w:rPr>
      <w:rFonts w:ascii="Times New Roman" w:hAnsi="Times New Roman" w:eastAsia="宋体" w:cs="Calibri"/>
      <w:lang w:val="en-US" w:eastAsia="zh-CN" w:bidi="ar-SA"/>
    </w:rPr>
  </w:style>
  <w:style w:type="paragraph" w:customStyle="1" w:styleId="256">
    <w:name w:val="纯文本11"/>
    <w:basedOn w:val="1"/>
    <w:qFormat/>
    <w:uiPriority w:val="0"/>
    <w:pPr>
      <w:spacing w:beforeLines="50" w:afterLines="50" w:line="400" w:lineRule="atLeast"/>
    </w:pPr>
    <w:rPr>
      <w:rFonts w:hint="eastAsia" w:ascii="宋体" w:hAnsi="Courier New" w:eastAsia="宋体" w:cs="Times New Roman"/>
      <w:sz w:val="24"/>
    </w:rPr>
  </w:style>
  <w:style w:type="paragraph" w:customStyle="1" w:styleId="257">
    <w:name w:val="正文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8">
    <w:name w:val="列出段落11"/>
    <w:basedOn w:val="1"/>
    <w:qFormat/>
    <w:uiPriority w:val="0"/>
    <w:pPr>
      <w:widowControl/>
      <w:spacing w:before="40" w:after="160"/>
      <w:ind w:firstLine="420" w:firstLineChars="200"/>
    </w:pPr>
    <w:rPr>
      <w:rFonts w:ascii="Cambria" w:hAnsi="Cambria" w:eastAsia="微软雅黑" w:cs="Cambria"/>
      <w:color w:val="565656"/>
      <w:kern w:val="20"/>
      <w:szCs w:val="21"/>
      <w:lang w:val="zh-CN"/>
    </w:rPr>
  </w:style>
  <w:style w:type="paragraph" w:customStyle="1" w:styleId="259">
    <w:name w:val="标题-3"/>
    <w:basedOn w:val="10"/>
    <w:qFormat/>
    <w:uiPriority w:val="0"/>
    <w:pPr>
      <w:tabs>
        <w:tab w:val="left" w:pos="710"/>
      </w:tabs>
      <w:snapToGrid w:val="0"/>
      <w:spacing w:before="0" w:after="0" w:line="312" w:lineRule="auto"/>
      <w:ind w:left="710"/>
    </w:pPr>
    <w:rPr>
      <w:b w:val="0"/>
      <w:bCs/>
      <w:kern w:val="44"/>
      <w:sz w:val="28"/>
      <w:szCs w:val="32"/>
    </w:rPr>
  </w:style>
  <w:style w:type="paragraph" w:customStyle="1" w:styleId="260">
    <w:name w:val="首行缩进"/>
    <w:basedOn w:val="1"/>
    <w:qFormat/>
    <w:uiPriority w:val="0"/>
    <w:pPr>
      <w:spacing w:line="360" w:lineRule="auto"/>
      <w:ind w:firstLine="480" w:firstLineChars="200"/>
    </w:pPr>
    <w:rPr>
      <w:rFonts w:ascii="Times New Roman" w:hAnsi="Times New Roman" w:eastAsia="宋体" w:cs="Times New Roman"/>
      <w:sz w:val="24"/>
    </w:rPr>
  </w:style>
  <w:style w:type="paragraph" w:customStyle="1" w:styleId="261">
    <w:name w:val="WPSOffice手动目录 2"/>
    <w:qFormat/>
    <w:uiPriority w:val="0"/>
    <w:pPr>
      <w:ind w:left="200" w:leftChars="200"/>
    </w:pPr>
    <w:rPr>
      <w:rFonts w:ascii="Times New Roman" w:hAnsi="Times New Roman" w:eastAsia="宋体" w:cs="Calibri"/>
      <w:lang w:val="en-US" w:eastAsia="zh-CN" w:bidi="ar-SA"/>
    </w:rPr>
  </w:style>
  <w:style w:type="table" w:customStyle="1" w:styleId="262">
    <w:name w:val="网格型5"/>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3">
    <w:name w:val="正文文本 + 13.5 pt"/>
    <w:qFormat/>
    <w:uiPriority w:val="0"/>
    <w:rPr>
      <w:rFonts w:ascii="MingLiU" w:hAnsi="MingLiU" w:eastAsia="MingLiU" w:cs="MingLiU"/>
      <w:color w:val="000000"/>
      <w:spacing w:val="20"/>
      <w:w w:val="100"/>
      <w:position w:val="0"/>
      <w:sz w:val="27"/>
      <w:szCs w:val="27"/>
      <w:shd w:val="clear" w:color="auto" w:fill="FFFFFF"/>
      <w:lang w:val="zh-TW"/>
    </w:rPr>
  </w:style>
  <w:style w:type="character" w:customStyle="1" w:styleId="264">
    <w:name w:val="正文文本缩进 3 Char1"/>
    <w:basedOn w:val="50"/>
    <w:semiHidden/>
    <w:qFormat/>
    <w:uiPriority w:val="99"/>
    <w:rPr>
      <w:kern w:val="2"/>
      <w:sz w:val="16"/>
      <w:szCs w:val="16"/>
    </w:rPr>
  </w:style>
  <w:style w:type="table" w:customStyle="1" w:styleId="265">
    <w:name w:val="网格型6"/>
    <w:basedOn w:val="4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6">
    <w:name w:val="文档正文5"/>
    <w:basedOn w:val="69"/>
    <w:qFormat/>
    <w:uiPriority w:val="0"/>
    <w:pPr>
      <w:autoSpaceDE w:val="0"/>
      <w:autoSpaceDN w:val="0"/>
      <w:snapToGrid w:val="0"/>
      <w:spacing w:line="440" w:lineRule="exact"/>
      <w:ind w:firstLine="505"/>
    </w:pPr>
    <w:rPr>
      <w:spacing w:val="4"/>
    </w:rPr>
  </w:style>
  <w:style w:type="character" w:customStyle="1" w:styleId="267">
    <w:name w:val="标题 1 字符1"/>
    <w:qFormat/>
    <w:locked/>
    <w:uiPriority w:val="0"/>
    <w:rPr>
      <w:rFonts w:ascii="Times New Roman" w:hAnsi="Times New Roman"/>
      <w:b/>
      <w:bCs/>
      <w:kern w:val="44"/>
      <w:sz w:val="44"/>
      <w:szCs w:val="44"/>
    </w:rPr>
  </w:style>
  <w:style w:type="character" w:customStyle="1" w:styleId="268">
    <w:name w:val="标题 2 字符"/>
    <w:qFormat/>
    <w:locked/>
    <w:uiPriority w:val="0"/>
    <w:rPr>
      <w:rFonts w:ascii="等线 Light" w:hAnsi="等线 Light" w:eastAsia="等线 Light"/>
      <w:b/>
      <w:bCs/>
      <w:kern w:val="2"/>
      <w:sz w:val="32"/>
      <w:szCs w:val="32"/>
    </w:rPr>
  </w:style>
  <w:style w:type="character" w:customStyle="1" w:styleId="269">
    <w:name w:val="标题 3 字符"/>
    <w:qFormat/>
    <w:locked/>
    <w:uiPriority w:val="99"/>
    <w:rPr>
      <w:rFonts w:ascii="Times New Roman" w:hAnsi="Times New Roman"/>
      <w:b/>
      <w:bCs/>
      <w:kern w:val="2"/>
      <w:sz w:val="32"/>
      <w:szCs w:val="32"/>
    </w:rPr>
  </w:style>
  <w:style w:type="character" w:customStyle="1" w:styleId="270">
    <w:name w:val="标题 4 字符1"/>
    <w:semiHidden/>
    <w:qFormat/>
    <w:locked/>
    <w:uiPriority w:val="99"/>
    <w:rPr>
      <w:rFonts w:ascii="Cambria" w:hAnsi="Cambria"/>
      <w:b/>
      <w:bCs/>
      <w:sz w:val="28"/>
      <w:szCs w:val="28"/>
    </w:rPr>
  </w:style>
  <w:style w:type="character" w:customStyle="1" w:styleId="271">
    <w:name w:val="标题 5 字符1"/>
    <w:semiHidden/>
    <w:qFormat/>
    <w:locked/>
    <w:uiPriority w:val="99"/>
    <w:rPr>
      <w:b/>
      <w:bCs/>
      <w:sz w:val="28"/>
      <w:szCs w:val="28"/>
    </w:rPr>
  </w:style>
  <w:style w:type="character" w:customStyle="1" w:styleId="272">
    <w:name w:val="题注 Char"/>
    <w:link w:val="21"/>
    <w:qFormat/>
    <w:locked/>
    <w:uiPriority w:val="0"/>
    <w:rPr>
      <w:rFonts w:ascii="Cambria" w:hAnsi="Cambria" w:eastAsia="黑体" w:cs="Times New Roman"/>
      <w:sz w:val="20"/>
      <w:szCs w:val="20"/>
    </w:rPr>
  </w:style>
  <w:style w:type="character" w:customStyle="1" w:styleId="273">
    <w:name w:val="正文文本 3 字符1"/>
    <w:qFormat/>
    <w:locked/>
    <w:uiPriority w:val="0"/>
    <w:rPr>
      <w:rFonts w:ascii="宋体" w:hAnsi="宋体"/>
      <w:sz w:val="24"/>
      <w:szCs w:val="24"/>
    </w:rPr>
  </w:style>
  <w:style w:type="character" w:customStyle="1" w:styleId="274">
    <w:name w:val="正文文本缩进 字符"/>
    <w:qFormat/>
    <w:locked/>
    <w:uiPriority w:val="0"/>
    <w:rPr>
      <w:rFonts w:ascii="宋体" w:hAnsi="宋体" w:cs="宋体"/>
      <w:sz w:val="24"/>
      <w:szCs w:val="24"/>
    </w:rPr>
  </w:style>
  <w:style w:type="character" w:customStyle="1" w:styleId="275">
    <w:name w:val="纯文本 字符"/>
    <w:qFormat/>
    <w:locked/>
    <w:uiPriority w:val="0"/>
    <w:rPr>
      <w:rFonts w:ascii="宋体" w:hAnsi="宋体" w:cs="宋体"/>
      <w:sz w:val="24"/>
      <w:szCs w:val="24"/>
    </w:rPr>
  </w:style>
  <w:style w:type="character" w:customStyle="1" w:styleId="276">
    <w:name w:val="标题 字符1"/>
    <w:qFormat/>
    <w:locked/>
    <w:uiPriority w:val="10"/>
    <w:rPr>
      <w:rFonts w:ascii="Cambria" w:hAnsi="Cambria"/>
      <w:b/>
      <w:bCs/>
      <w:sz w:val="32"/>
      <w:szCs w:val="32"/>
    </w:rPr>
  </w:style>
  <w:style w:type="character" w:customStyle="1" w:styleId="277">
    <w:name w:val="font21"/>
    <w:basedOn w:val="50"/>
    <w:qFormat/>
    <w:uiPriority w:val="0"/>
    <w:rPr>
      <w:rFonts w:hint="eastAsia" w:ascii="宋体" w:hAnsi="宋体" w:eastAsia="宋体" w:cs="宋体"/>
      <w:color w:val="000000"/>
      <w:sz w:val="22"/>
      <w:szCs w:val="22"/>
      <w:u w:val="none"/>
    </w:rPr>
  </w:style>
  <w:style w:type="character" w:customStyle="1" w:styleId="278">
    <w:name w:val="标题 4 字符"/>
    <w:semiHidden/>
    <w:qFormat/>
    <w:uiPriority w:val="9"/>
    <w:rPr>
      <w:rFonts w:ascii="等线 Light" w:hAnsi="等线 Light" w:eastAsia="等线 Light" w:cs="Times New Roman"/>
      <w:b/>
      <w:bCs/>
      <w:kern w:val="2"/>
      <w:sz w:val="28"/>
      <w:szCs w:val="28"/>
    </w:rPr>
  </w:style>
  <w:style w:type="character" w:customStyle="1" w:styleId="279">
    <w:name w:val="16"/>
    <w:qFormat/>
    <w:uiPriority w:val="0"/>
    <w:rPr>
      <w:rFonts w:hint="default" w:ascii="ˎ̥" w:hAnsi="ˎ̥"/>
      <w:sz w:val="20"/>
      <w:szCs w:val="20"/>
    </w:rPr>
  </w:style>
  <w:style w:type="character" w:customStyle="1" w:styleId="280">
    <w:name w:val="标题 5 字符"/>
    <w:semiHidden/>
    <w:qFormat/>
    <w:uiPriority w:val="9"/>
    <w:rPr>
      <w:rFonts w:ascii="Times New Roman" w:hAnsi="Times New Roman"/>
      <w:b/>
      <w:bCs/>
      <w:kern w:val="2"/>
      <w:sz w:val="28"/>
      <w:szCs w:val="28"/>
    </w:rPr>
  </w:style>
  <w:style w:type="character" w:customStyle="1" w:styleId="281">
    <w:name w:val="正文文本 3 字符"/>
    <w:qFormat/>
    <w:uiPriority w:val="99"/>
    <w:rPr>
      <w:rFonts w:ascii="Times New Roman" w:hAnsi="Times New Roman"/>
      <w:kern w:val="2"/>
      <w:sz w:val="16"/>
      <w:szCs w:val="16"/>
    </w:rPr>
  </w:style>
  <w:style w:type="character" w:customStyle="1" w:styleId="282">
    <w:name w:val="标题 字符"/>
    <w:qFormat/>
    <w:uiPriority w:val="10"/>
    <w:rPr>
      <w:rFonts w:ascii="等线 Light" w:hAnsi="等线 Light" w:cs="Times New Roman"/>
      <w:b/>
      <w:bCs/>
      <w:kern w:val="2"/>
      <w:sz w:val="32"/>
      <w:szCs w:val="32"/>
    </w:rPr>
  </w:style>
  <w:style w:type="character" w:customStyle="1" w:styleId="283">
    <w:name w:val="无间隔 Char"/>
    <w:link w:val="169"/>
    <w:qFormat/>
    <w:locked/>
    <w:uiPriority w:val="1"/>
    <w:rPr>
      <w:rFonts w:ascii="Times New Roman" w:hAnsi="Times New Roman" w:eastAsia="宋体" w:cs="Times New Roman"/>
    </w:rPr>
  </w:style>
  <w:style w:type="character" w:customStyle="1" w:styleId="284">
    <w:name w:val="列出段落 Char"/>
    <w:qFormat/>
    <w:locked/>
    <w:uiPriority w:val="0"/>
  </w:style>
  <w:style w:type="character" w:customStyle="1" w:styleId="285">
    <w:name w:val="_Style 3"/>
    <w:qFormat/>
    <w:uiPriority w:val="21"/>
    <w:rPr>
      <w:b/>
      <w:bCs/>
      <w:i/>
      <w:iCs/>
      <w:color w:val="4F81BD"/>
    </w:rPr>
  </w:style>
  <w:style w:type="character" w:customStyle="1" w:styleId="286">
    <w:name w:val="10"/>
    <w:qFormat/>
    <w:uiPriority w:val="0"/>
    <w:rPr>
      <w:rFonts w:hint="default" w:ascii="Times New Roman" w:hAnsi="Times New Roman" w:cs="Times New Roman"/>
    </w:rPr>
  </w:style>
  <w:style w:type="character" w:customStyle="1" w:styleId="287">
    <w:name w:val="15"/>
    <w:qFormat/>
    <w:uiPriority w:val="0"/>
    <w:rPr>
      <w:rFonts w:hint="default" w:ascii="Times New Roman" w:hAnsi="Times New Roman" w:cs="Times New Roman"/>
    </w:rPr>
  </w:style>
  <w:style w:type="paragraph" w:customStyle="1" w:styleId="288">
    <w:name w:val="*正文"/>
    <w:basedOn w:val="1"/>
    <w:qFormat/>
    <w:uiPriority w:val="0"/>
    <w:pPr>
      <w:spacing w:line="360" w:lineRule="auto"/>
      <w:ind w:firstLine="200" w:firstLineChars="200"/>
    </w:pPr>
    <w:rPr>
      <w:rFonts w:ascii="宋体" w:hAnsi="宋体" w:eastAsia="仿宋" w:cs="Times New Roman"/>
      <w:sz w:val="24"/>
      <w:szCs w:val="24"/>
    </w:rPr>
  </w:style>
  <w:style w:type="paragraph" w:customStyle="1" w:styleId="289">
    <w:name w:val="tablebgright1"/>
    <w:basedOn w:val="1"/>
    <w:qFormat/>
    <w:uiPriority w:val="0"/>
    <w:pPr>
      <w:widowControl/>
      <w:pBdr>
        <w:left w:val="single" w:color="9FC1E7" w:sz="6" w:space="0"/>
        <w:bottom w:val="single" w:color="9FC1E7" w:sz="6" w:space="0"/>
        <w:right w:val="single" w:color="9FC1E7" w:sz="6" w:space="0"/>
      </w:pBdr>
      <w:shd w:val="clear" w:color="auto" w:fill="F0F4F7"/>
      <w:spacing w:before="100" w:beforeAutospacing="1" w:after="100" w:afterAutospacing="1"/>
      <w:jc w:val="left"/>
    </w:pPr>
    <w:rPr>
      <w:rFonts w:ascii="宋体" w:hAnsi="宋体" w:eastAsia="宋体" w:cs="宋体"/>
      <w:kern w:val="0"/>
      <w:sz w:val="24"/>
      <w:szCs w:val="24"/>
    </w:rPr>
  </w:style>
  <w:style w:type="paragraph" w:customStyle="1" w:styleId="290">
    <w:name w:val="paneloffstyle"/>
    <w:basedOn w:val="1"/>
    <w:qFormat/>
    <w:uiPriority w:val="0"/>
    <w:pPr>
      <w:widowControl/>
      <w:spacing w:before="100" w:beforeAutospacing="1" w:after="100" w:afterAutospacing="1"/>
      <w:jc w:val="center"/>
    </w:pPr>
    <w:rPr>
      <w:rFonts w:ascii="宋体" w:hAnsi="宋体" w:eastAsia="宋体" w:cs="宋体"/>
      <w:color w:val="000000"/>
      <w:kern w:val="0"/>
      <w:sz w:val="24"/>
      <w:szCs w:val="24"/>
    </w:rPr>
  </w:style>
  <w:style w:type="paragraph" w:customStyle="1" w:styleId="291">
    <w:name w:val="darkfontstyle"/>
    <w:basedOn w:val="1"/>
    <w:qFormat/>
    <w:uiPriority w:val="0"/>
    <w:pPr>
      <w:widowControl/>
      <w:spacing w:before="100" w:beforeAutospacing="1" w:after="100" w:afterAutospacing="1"/>
      <w:jc w:val="left"/>
    </w:pPr>
    <w:rPr>
      <w:rFonts w:ascii="宋体" w:hAnsi="宋体" w:eastAsia="宋体" w:cs="宋体"/>
      <w:color w:val="396BA2"/>
      <w:kern w:val="0"/>
      <w:sz w:val="24"/>
      <w:szCs w:val="24"/>
    </w:rPr>
  </w:style>
  <w:style w:type="paragraph" w:customStyle="1" w:styleId="292">
    <w:name w:val="titleb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3">
    <w:name w:val="panelonstyle1"/>
    <w:basedOn w:val="1"/>
    <w:qFormat/>
    <w:uiPriority w:val="0"/>
    <w:pPr>
      <w:widowControl/>
      <w:spacing w:before="100" w:beforeAutospacing="1" w:after="100" w:afterAutospacing="1"/>
      <w:jc w:val="center"/>
    </w:pPr>
    <w:rPr>
      <w:rFonts w:ascii="宋体" w:hAnsi="宋体" w:eastAsia="宋体" w:cs="宋体"/>
      <w:b/>
      <w:bCs/>
      <w:color w:val="FFFFFF"/>
      <w:kern w:val="0"/>
      <w:sz w:val="24"/>
      <w:szCs w:val="24"/>
    </w:rPr>
  </w:style>
  <w:style w:type="paragraph" w:customStyle="1" w:styleId="294">
    <w:name w:val="navigateb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5">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fontdarkbold14"/>
    <w:basedOn w:val="1"/>
    <w:qFormat/>
    <w:uiPriority w:val="0"/>
    <w:pPr>
      <w:widowControl/>
      <w:spacing w:before="100" w:beforeAutospacing="1" w:after="100" w:afterAutospacing="1"/>
      <w:jc w:val="left"/>
    </w:pPr>
    <w:rPr>
      <w:rFonts w:ascii="宋体" w:hAnsi="宋体" w:eastAsia="宋体" w:cs="宋体"/>
      <w:b/>
      <w:bCs/>
      <w:color w:val="396BA2"/>
      <w:kern w:val="0"/>
      <w:szCs w:val="21"/>
    </w:rPr>
  </w:style>
  <w:style w:type="paragraph" w:customStyle="1" w:styleId="297">
    <w:name w:val="bgpaneltable"/>
    <w:basedOn w:val="1"/>
    <w:qFormat/>
    <w:uiPriority w:val="0"/>
    <w:pPr>
      <w:widowControl/>
      <w:pBdr>
        <w:left w:val="single" w:color="9BC1DF" w:sz="6" w:space="0"/>
        <w:bottom w:val="single" w:color="9BC1DF" w:sz="6" w:space="0"/>
        <w:right w:val="single" w:color="9BC1DF"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298">
    <w:name w:val="paneloffstyle2"/>
    <w:basedOn w:val="1"/>
    <w:qFormat/>
    <w:uiPriority w:val="0"/>
    <w:pPr>
      <w:widowControl/>
      <w:spacing w:before="100" w:beforeAutospacing="1" w:after="100" w:afterAutospacing="1"/>
      <w:jc w:val="center"/>
    </w:pPr>
    <w:rPr>
      <w:rFonts w:ascii="宋体" w:hAnsi="宋体" w:eastAsia="宋体" w:cs="宋体"/>
      <w:color w:val="000000"/>
      <w:kern w:val="0"/>
      <w:sz w:val="24"/>
      <w:szCs w:val="24"/>
    </w:rPr>
  </w:style>
  <w:style w:type="paragraph" w:customStyle="1" w:styleId="299">
    <w:name w:val="channeltitle"/>
    <w:basedOn w:val="1"/>
    <w:qFormat/>
    <w:uiPriority w:val="0"/>
    <w:pPr>
      <w:widowControl/>
      <w:spacing w:before="100" w:beforeAutospacing="1" w:after="100" w:afterAutospacing="1"/>
      <w:jc w:val="left"/>
    </w:pPr>
    <w:rPr>
      <w:rFonts w:ascii="宋体" w:hAnsi="宋体" w:eastAsia="宋体" w:cs="宋体"/>
      <w:b/>
      <w:bCs/>
      <w:color w:val="FFFFFF"/>
      <w:kern w:val="0"/>
      <w:szCs w:val="21"/>
    </w:rPr>
  </w:style>
  <w:style w:type="paragraph" w:customStyle="1" w:styleId="300">
    <w:name w:val="fontwhitebold14"/>
    <w:basedOn w:val="1"/>
    <w:qFormat/>
    <w:uiPriority w:val="0"/>
    <w:pPr>
      <w:widowControl/>
      <w:spacing w:before="100" w:beforeAutospacing="1" w:after="100" w:afterAutospacing="1"/>
      <w:jc w:val="left"/>
    </w:pPr>
    <w:rPr>
      <w:rFonts w:ascii="宋体" w:hAnsi="宋体" w:eastAsia="宋体" w:cs="宋体"/>
      <w:b/>
      <w:bCs/>
      <w:color w:val="FFFFFF"/>
      <w:kern w:val="0"/>
      <w:szCs w:val="21"/>
    </w:rPr>
  </w:style>
  <w:style w:type="paragraph" w:customStyle="1" w:styleId="301">
    <w:name w:val="titlebgleft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2">
    <w:name w:val="panelonstyle"/>
    <w:basedOn w:val="1"/>
    <w:qFormat/>
    <w:uiPriority w:val="0"/>
    <w:pPr>
      <w:widowControl/>
      <w:spacing w:before="100" w:beforeAutospacing="1" w:after="100" w:afterAutospacing="1"/>
      <w:jc w:val="center"/>
    </w:pPr>
    <w:rPr>
      <w:rFonts w:ascii="宋体" w:hAnsi="宋体" w:eastAsia="宋体" w:cs="宋体"/>
      <w:b/>
      <w:bCs/>
      <w:color w:val="FFFFFF"/>
      <w:kern w:val="0"/>
      <w:sz w:val="24"/>
      <w:szCs w:val="24"/>
    </w:rPr>
  </w:style>
  <w:style w:type="paragraph" w:customStyle="1" w:styleId="303">
    <w:name w:val="panellinesty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4">
    <w:name w:val="channeltablenormal"/>
    <w:basedOn w:val="1"/>
    <w:qFormat/>
    <w:uiPriority w:val="0"/>
    <w:pPr>
      <w:widowControl/>
      <w:pBdr>
        <w:left w:val="single" w:color="9FC1E7" w:sz="6" w:space="0"/>
        <w:bottom w:val="single" w:color="9FC1E7" w:sz="6" w:space="6"/>
        <w:right w:val="single" w:color="9FC1E7"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05">
    <w:name w:val="channeltitlezchd"/>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6">
    <w:name w:val="paneloffstyle1"/>
    <w:basedOn w:val="1"/>
    <w:qFormat/>
    <w:uiPriority w:val="0"/>
    <w:pPr>
      <w:widowControl/>
      <w:spacing w:before="100" w:beforeAutospacing="1" w:after="100" w:afterAutospacing="1"/>
      <w:jc w:val="center"/>
    </w:pPr>
    <w:rPr>
      <w:rFonts w:ascii="宋体" w:hAnsi="宋体" w:eastAsia="宋体" w:cs="宋体"/>
      <w:color w:val="000000"/>
      <w:kern w:val="0"/>
      <w:sz w:val="24"/>
      <w:szCs w:val="24"/>
    </w:rPr>
  </w:style>
  <w:style w:type="paragraph" w:customStyle="1" w:styleId="307">
    <w:name w:val="_Style 63"/>
    <w:basedOn w:val="3"/>
    <w:next w:val="5"/>
    <w:qFormat/>
    <w:uiPriority w:val="0"/>
    <w:pPr>
      <w:adjustRightInd/>
      <w:spacing w:after="120" w:line="240" w:lineRule="auto"/>
      <w:ind w:left="0" w:leftChars="0" w:right="0" w:rightChars="0" w:firstLine="420" w:firstLineChars="100"/>
      <w:jc w:val="both"/>
      <w:textAlignment w:val="auto"/>
    </w:pPr>
    <w:rPr>
      <w:rFonts w:ascii="Calibri" w:hAnsi="Calibri"/>
      <w:szCs w:val="24"/>
    </w:rPr>
  </w:style>
  <w:style w:type="paragraph" w:customStyle="1" w:styleId="308">
    <w:name w:val="panelonstyle2"/>
    <w:basedOn w:val="1"/>
    <w:qFormat/>
    <w:uiPriority w:val="0"/>
    <w:pPr>
      <w:widowControl/>
      <w:spacing w:before="100" w:beforeAutospacing="1" w:after="100" w:afterAutospacing="1"/>
      <w:jc w:val="center"/>
    </w:pPr>
    <w:rPr>
      <w:rFonts w:ascii="宋体" w:hAnsi="宋体" w:eastAsia="宋体" w:cs="宋体"/>
      <w:b/>
      <w:bCs/>
      <w:color w:val="FFFFFF"/>
      <w:kern w:val="0"/>
      <w:sz w:val="24"/>
      <w:szCs w:val="24"/>
    </w:rPr>
  </w:style>
  <w:style w:type="paragraph" w:customStyle="1" w:styleId="309">
    <w:name w:val="fontwhitebold12"/>
    <w:basedOn w:val="1"/>
    <w:qFormat/>
    <w:uiPriority w:val="0"/>
    <w:pPr>
      <w:widowControl/>
      <w:spacing w:before="100" w:beforeAutospacing="1" w:after="100" w:afterAutospacing="1"/>
      <w:jc w:val="left"/>
    </w:pPr>
    <w:rPr>
      <w:rFonts w:ascii="宋体" w:hAnsi="宋体" w:eastAsia="宋体" w:cs="宋体"/>
      <w:b/>
      <w:bCs/>
      <w:color w:val="FFFFFF"/>
      <w:kern w:val="0"/>
      <w:sz w:val="18"/>
      <w:szCs w:val="18"/>
    </w:rPr>
  </w:style>
  <w:style w:type="paragraph" w:customStyle="1" w:styleId="310">
    <w:name w:val="redfontstyle"/>
    <w:basedOn w:val="1"/>
    <w:qFormat/>
    <w:uiPriority w:val="0"/>
    <w:pPr>
      <w:widowControl/>
      <w:spacing w:before="100" w:beforeAutospacing="1" w:after="100" w:afterAutospacing="1"/>
      <w:jc w:val="left"/>
    </w:pPr>
    <w:rPr>
      <w:rFonts w:ascii="宋体" w:hAnsi="宋体" w:eastAsia="宋体" w:cs="宋体"/>
      <w:color w:val="FF0000"/>
      <w:kern w:val="0"/>
      <w:sz w:val="24"/>
      <w:szCs w:val="24"/>
    </w:rPr>
  </w:style>
  <w:style w:type="paragraph" w:customStyle="1" w:styleId="311">
    <w:name w:val="正文缩进2"/>
    <w:basedOn w:val="1"/>
    <w:qFormat/>
    <w:uiPriority w:val="0"/>
    <w:pPr>
      <w:spacing w:afterLines="50" w:line="312" w:lineRule="auto"/>
      <w:ind w:firstLine="200" w:firstLineChars="200"/>
    </w:pPr>
    <w:rPr>
      <w:rFonts w:ascii="Times New Roman" w:hAnsi="Times New Roman" w:eastAsia="宋体" w:cs="Times New Roman"/>
      <w:sz w:val="24"/>
      <w:szCs w:val="20"/>
    </w:rPr>
  </w:style>
  <w:style w:type="paragraph" w:customStyle="1" w:styleId="312">
    <w:name w:val="grayfontstyle"/>
    <w:basedOn w:val="1"/>
    <w:qFormat/>
    <w:uiPriority w:val="0"/>
    <w:pPr>
      <w:widowControl/>
      <w:spacing w:before="100" w:beforeAutospacing="1" w:after="100" w:afterAutospacing="1"/>
      <w:jc w:val="left"/>
    </w:pPr>
    <w:rPr>
      <w:rFonts w:ascii="宋体" w:hAnsi="宋体" w:eastAsia="宋体" w:cs="宋体"/>
      <w:color w:val="524B48"/>
      <w:kern w:val="0"/>
      <w:sz w:val="24"/>
      <w:szCs w:val="24"/>
    </w:rPr>
  </w:style>
  <w:style w:type="paragraph" w:customStyle="1" w:styleId="313">
    <w:name w:val="ZW"/>
    <w:basedOn w:val="1"/>
    <w:qFormat/>
    <w:uiPriority w:val="0"/>
    <w:pPr>
      <w:widowControl/>
      <w:topLinePunct/>
      <w:spacing w:line="360" w:lineRule="auto"/>
      <w:ind w:firstLine="425" w:firstLineChars="200"/>
    </w:pPr>
    <w:rPr>
      <w:rFonts w:ascii="Times New Roman" w:hAnsi="Times New Roman" w:eastAsia="仿宋_GB2312" w:cs="Times New Roman"/>
      <w:spacing w:val="8"/>
      <w:sz w:val="24"/>
      <w:szCs w:val="20"/>
    </w:rPr>
  </w:style>
  <w:style w:type="paragraph" w:customStyle="1" w:styleId="314">
    <w:name w:val="编写建议"/>
    <w:basedOn w:val="1"/>
    <w:qFormat/>
    <w:uiPriority w:val="0"/>
    <w:pPr>
      <w:autoSpaceDE w:val="0"/>
      <w:autoSpaceDN w:val="0"/>
      <w:adjustRightInd w:val="0"/>
      <w:spacing w:line="360" w:lineRule="auto"/>
      <w:ind w:firstLine="420"/>
      <w:jc w:val="left"/>
    </w:pPr>
    <w:rPr>
      <w:rFonts w:ascii="Arial" w:hAnsi="Arial" w:eastAsia="宋体" w:cs="Arial"/>
      <w:i/>
      <w:color w:val="0000FF"/>
      <w:kern w:val="0"/>
      <w:szCs w:val="21"/>
    </w:rPr>
  </w:style>
  <w:style w:type="paragraph" w:customStyle="1" w:styleId="315">
    <w:name w:val="whitebgstyle"/>
    <w:basedOn w:val="1"/>
    <w:qFormat/>
    <w:uiPriority w:val="0"/>
    <w:pPr>
      <w:widowControl/>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16">
    <w:name w:val="tablebgleft1"/>
    <w:basedOn w:val="1"/>
    <w:qFormat/>
    <w:uiPriority w:val="0"/>
    <w:pPr>
      <w:widowControl/>
      <w:pBdr>
        <w:left w:val="single" w:color="9FC1E7" w:sz="6" w:space="0"/>
        <w:bottom w:val="single" w:color="9FC1E7" w:sz="6" w:space="0"/>
        <w:right w:val="single" w:color="9FC1E7"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17">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18">
    <w:name w:val="menb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19">
    <w:name w:val="ggtztextb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20">
    <w:name w:val="bgsxxx"/>
    <w:basedOn w:val="1"/>
    <w:qFormat/>
    <w:uiPriority w:val="0"/>
    <w:pPr>
      <w:widowControl/>
      <w:jc w:val="left"/>
    </w:pPr>
    <w:rPr>
      <w:rFonts w:ascii="宋体" w:hAnsi="宋体" w:eastAsia="宋体" w:cs="宋体"/>
      <w:kern w:val="0"/>
      <w:sz w:val="24"/>
      <w:szCs w:val="24"/>
    </w:rPr>
  </w:style>
  <w:style w:type="paragraph" w:customStyle="1" w:styleId="321">
    <w:name w:val="lightbgstyle"/>
    <w:basedOn w:val="1"/>
    <w:qFormat/>
    <w:uiPriority w:val="0"/>
    <w:pPr>
      <w:widowControl/>
      <w:shd w:val="clear" w:color="auto" w:fill="EEF5FF"/>
      <w:spacing w:before="100" w:beforeAutospacing="1" w:after="100" w:afterAutospacing="1"/>
      <w:jc w:val="left"/>
    </w:pPr>
    <w:rPr>
      <w:rFonts w:ascii="宋体" w:hAnsi="宋体" w:eastAsia="宋体" w:cs="宋体"/>
      <w:kern w:val="0"/>
      <w:sz w:val="24"/>
      <w:szCs w:val="24"/>
    </w:rPr>
  </w:style>
  <w:style w:type="paragraph" w:customStyle="1" w:styleId="322">
    <w:name w:val="bottomb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23">
    <w:name w:val="titlebgleft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24">
    <w:name w:val="locationbg"/>
    <w:basedOn w:val="1"/>
    <w:qFormat/>
    <w:uiPriority w:val="0"/>
    <w:pPr>
      <w:widowControl/>
      <w:spacing w:before="100" w:beforeAutospacing="1" w:after="100" w:afterAutospacing="1"/>
      <w:ind w:firstLine="540"/>
      <w:jc w:val="left"/>
    </w:pPr>
    <w:rPr>
      <w:rFonts w:ascii="宋体" w:hAnsi="宋体" w:eastAsia="宋体" w:cs="宋体"/>
      <w:kern w:val="0"/>
      <w:sz w:val="24"/>
      <w:szCs w:val="24"/>
    </w:rPr>
  </w:style>
  <w:style w:type="paragraph" w:customStyle="1" w:styleId="325">
    <w:name w:val="tablebgleft2"/>
    <w:basedOn w:val="1"/>
    <w:qFormat/>
    <w:uiPriority w:val="0"/>
    <w:pPr>
      <w:widowControl/>
      <w:pBdr>
        <w:left w:val="single" w:color="9BC1DF" w:sz="6" w:space="0"/>
        <w:bottom w:val="single" w:color="9BC1DF" w:sz="6" w:space="0"/>
        <w:right w:val="single" w:color="9BC1DF"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26">
    <w:name w:val="splitbarstyle"/>
    <w:basedOn w:val="1"/>
    <w:qFormat/>
    <w:uiPriority w:val="0"/>
    <w:pPr>
      <w:widowControl/>
      <w:spacing w:before="100" w:beforeAutospacing="1" w:after="100" w:afterAutospacing="1"/>
      <w:jc w:val="left"/>
    </w:pPr>
    <w:rPr>
      <w:rFonts w:ascii="宋体" w:hAnsi="宋体" w:eastAsia="宋体" w:cs="宋体"/>
      <w:b/>
      <w:bCs/>
      <w:color w:val="0B5596"/>
      <w:kern w:val="0"/>
      <w:sz w:val="18"/>
      <w:szCs w:val="18"/>
    </w:rPr>
  </w:style>
  <w:style w:type="paragraph" w:customStyle="1" w:styleId="327">
    <w:name w:val="titlebgright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28">
    <w:name w:val="titlebgright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29">
    <w:name w:val="darktableborder"/>
    <w:basedOn w:val="1"/>
    <w:qFormat/>
    <w:uiPriority w:val="0"/>
    <w:pPr>
      <w:widowControl/>
      <w:pBdr>
        <w:top w:val="single" w:color="9FC1E7" w:sz="6" w:space="0"/>
        <w:left w:val="single" w:color="9FC1E7" w:sz="6" w:space="0"/>
        <w:bottom w:val="single" w:color="9FC1E7" w:sz="6" w:space="0"/>
        <w:right w:val="single" w:color="9FC1E7" w:sz="6" w:space="0"/>
      </w:pBdr>
      <w:spacing w:before="100" w:beforeAutospacing="1" w:after="100" w:afterAutospacing="1"/>
      <w:jc w:val="left"/>
    </w:pPr>
    <w:rPr>
      <w:rFonts w:ascii="宋体" w:hAnsi="宋体" w:eastAsia="宋体" w:cs="宋体"/>
      <w:kern w:val="0"/>
      <w:sz w:val="24"/>
      <w:szCs w:val="24"/>
    </w:rPr>
  </w:style>
  <w:style w:type="paragraph" w:customStyle="1" w:styleId="330">
    <w:name w:val="tablebgright2"/>
    <w:basedOn w:val="1"/>
    <w:qFormat/>
    <w:uiPriority w:val="0"/>
    <w:pPr>
      <w:widowControl/>
      <w:pBdr>
        <w:left w:val="single" w:color="9FC1E7" w:sz="6" w:space="0"/>
        <w:bottom w:val="single" w:color="9FC1E7" w:sz="6" w:space="0"/>
        <w:right w:val="single" w:color="9FC1E7"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31">
    <w:name w:val="bgszzs"/>
    <w:basedOn w:val="1"/>
    <w:qFormat/>
    <w:uiPriority w:val="0"/>
    <w:pPr>
      <w:widowControl/>
      <w:pBdr>
        <w:top w:val="single" w:color="F0CF78" w:sz="6" w:space="0"/>
        <w:left w:val="single" w:color="F0CF78" w:sz="6" w:space="0"/>
        <w:bottom w:val="single" w:color="F0CF78" w:sz="6" w:space="0"/>
        <w:right w:val="single" w:color="F0CF78" w:sz="6" w:space="0"/>
      </w:pBdr>
      <w:shd w:val="clear" w:color="auto" w:fill="FFFFE3"/>
      <w:spacing w:before="100" w:beforeAutospacing="1" w:after="100" w:afterAutospacing="1"/>
      <w:jc w:val="left"/>
    </w:pPr>
    <w:rPr>
      <w:rFonts w:ascii="宋体" w:hAnsi="宋体" w:eastAsia="宋体" w:cs="宋体"/>
      <w:kern w:val="0"/>
      <w:sz w:val="24"/>
      <w:szCs w:val="24"/>
    </w:rPr>
  </w:style>
  <w:style w:type="paragraph" w:customStyle="1" w:styleId="332">
    <w:name w:val="bglogin"/>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3">
    <w:name w:val="normal-channeltitlefont"/>
    <w:basedOn w:val="1"/>
    <w:qFormat/>
    <w:uiPriority w:val="0"/>
    <w:pPr>
      <w:widowControl/>
      <w:spacing w:before="100" w:beforeAutospacing="1" w:after="100" w:afterAutospacing="1"/>
      <w:jc w:val="left"/>
    </w:pPr>
    <w:rPr>
      <w:rFonts w:ascii="宋体" w:hAnsi="宋体" w:eastAsia="宋体" w:cs="宋体"/>
      <w:b/>
      <w:bCs/>
      <w:color w:val="FFFFFF"/>
      <w:kern w:val="0"/>
      <w:sz w:val="20"/>
      <w:szCs w:val="20"/>
    </w:rPr>
  </w:style>
  <w:style w:type="paragraph" w:customStyle="1" w:styleId="334">
    <w:name w:val="bgenter"/>
    <w:basedOn w:val="1"/>
    <w:qFormat/>
    <w:uiPriority w:val="0"/>
    <w:pPr>
      <w:widowControl/>
      <w:pBdr>
        <w:top w:val="single" w:color="F0F4F7" w:sz="36" w:space="6"/>
        <w:left w:val="single" w:color="F0F4F7" w:sz="36" w:space="6"/>
        <w:bottom w:val="single" w:color="F0F4F7" w:sz="36" w:space="6"/>
        <w:right w:val="single" w:color="F0F4F7" w:sz="36" w:space="6"/>
      </w:pBdr>
      <w:spacing w:before="100" w:beforeAutospacing="1" w:after="100" w:afterAutospacing="1"/>
      <w:jc w:val="left"/>
    </w:pPr>
    <w:rPr>
      <w:rFonts w:ascii="宋体" w:hAnsi="宋体" w:eastAsia="宋体" w:cs="宋体"/>
      <w:kern w:val="0"/>
      <w:sz w:val="24"/>
      <w:szCs w:val="24"/>
    </w:rPr>
  </w:style>
  <w:style w:type="paragraph" w:customStyle="1" w:styleId="335">
    <w:name w:val="bgxygh"/>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6">
    <w:name w:val="normal-channeltit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7">
    <w:name w:val="bgbgcgm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8">
    <w:name w:val="bgddfw"/>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9">
    <w:name w:val="bgpxyd"/>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0">
    <w:name w:val="btddfw"/>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1">
    <w:name w:val="titlenews"/>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2">
    <w:name w:val="bgnews"/>
    <w:basedOn w:val="1"/>
    <w:qFormat/>
    <w:uiPriority w:val="0"/>
    <w:pPr>
      <w:widowControl/>
      <w:pBdr>
        <w:left w:val="single" w:color="9FC1E7" w:sz="6" w:space="0"/>
        <w:bottom w:val="single" w:color="9FC1E7" w:sz="6" w:space="0"/>
        <w:right w:val="single" w:color="9FC1E7" w:sz="6" w:space="0"/>
      </w:pBdr>
      <w:spacing w:before="100" w:beforeAutospacing="1" w:after="100" w:afterAutospacing="1"/>
      <w:jc w:val="left"/>
    </w:pPr>
    <w:rPr>
      <w:rFonts w:ascii="宋体" w:hAnsi="宋体" w:eastAsia="宋体" w:cs="宋体"/>
      <w:kern w:val="0"/>
      <w:sz w:val="24"/>
      <w:szCs w:val="24"/>
    </w:rPr>
  </w:style>
  <w:style w:type="paragraph" w:customStyle="1" w:styleId="343">
    <w:name w:val="linedotted"/>
    <w:basedOn w:val="1"/>
    <w:qFormat/>
    <w:uiPriority w:val="0"/>
    <w:pPr>
      <w:widowControl/>
      <w:pBdr>
        <w:bottom w:val="dotted" w:color="999999" w:sz="6" w:space="0"/>
      </w:pBdr>
      <w:spacing w:before="100" w:beforeAutospacing="1" w:after="100" w:afterAutospacing="1"/>
      <w:jc w:val="left"/>
    </w:pPr>
    <w:rPr>
      <w:rFonts w:ascii="宋体" w:hAnsi="宋体" w:eastAsia="宋体" w:cs="宋体"/>
      <w:kern w:val="0"/>
      <w:sz w:val="24"/>
      <w:szCs w:val="24"/>
    </w:rPr>
  </w:style>
  <w:style w:type="paragraph" w:customStyle="1" w:styleId="344">
    <w:name w:val="bgggtz"/>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5">
    <w:name w:val="bgport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6">
    <w:name w:val="bgfaqs"/>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7">
    <w:name w:val="bgsearch"/>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8">
    <w:name w:val="bgblj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9">
    <w:name w:val="bgyqlj"/>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0">
    <w:name w:val="datatabletitlebg"/>
    <w:basedOn w:val="1"/>
    <w:qFormat/>
    <w:uiPriority w:val="0"/>
    <w:pPr>
      <w:widowControl/>
      <w:spacing w:before="100" w:beforeAutospacing="1" w:after="100" w:afterAutospacing="1"/>
      <w:jc w:val="left"/>
    </w:pPr>
    <w:rPr>
      <w:rFonts w:ascii="宋体" w:hAnsi="宋体" w:eastAsia="宋体" w:cs="宋体"/>
      <w:b/>
      <w:bCs/>
      <w:color w:val="0B5596"/>
      <w:kern w:val="0"/>
      <w:szCs w:val="21"/>
    </w:rPr>
  </w:style>
  <w:style w:type="paragraph" w:customStyle="1" w:styleId="351">
    <w:name w:val="channeltable"/>
    <w:basedOn w:val="1"/>
    <w:qFormat/>
    <w:uiPriority w:val="0"/>
    <w:pPr>
      <w:widowControl/>
      <w:pBdr>
        <w:left w:val="single" w:color="9FC1E7" w:sz="6" w:space="0"/>
        <w:bottom w:val="single" w:color="9FC1E7" w:sz="6" w:space="0"/>
        <w:right w:val="single" w:color="9FC1E7" w:sz="6" w:space="0"/>
      </w:pBdr>
      <w:shd w:val="clear" w:color="auto" w:fill="EEF5FF"/>
      <w:spacing w:before="100" w:beforeAutospacing="1" w:after="100" w:afterAutospacing="1"/>
      <w:jc w:val="left"/>
    </w:pPr>
    <w:rPr>
      <w:rFonts w:ascii="宋体" w:hAnsi="宋体" w:eastAsia="宋体" w:cs="宋体"/>
      <w:kern w:val="0"/>
      <w:sz w:val="24"/>
      <w:szCs w:val="24"/>
    </w:rPr>
  </w:style>
  <w:style w:type="paragraph" w:customStyle="1" w:styleId="352">
    <w:name w:val="channelnav1"/>
    <w:basedOn w:val="1"/>
    <w:qFormat/>
    <w:uiPriority w:val="0"/>
    <w:pPr>
      <w:widowControl/>
      <w:spacing w:before="100" w:beforeAutospacing="1" w:after="100" w:afterAutospacing="1"/>
      <w:jc w:val="left"/>
    </w:pPr>
    <w:rPr>
      <w:rFonts w:ascii="宋体" w:hAnsi="宋体" w:eastAsia="宋体" w:cs="宋体"/>
      <w:b/>
      <w:bCs/>
      <w:color w:val="FFFFFF"/>
      <w:kern w:val="0"/>
      <w:szCs w:val="21"/>
    </w:rPr>
  </w:style>
  <w:style w:type="paragraph" w:customStyle="1" w:styleId="353">
    <w:name w:val="channelnav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4">
    <w:name w:val="leftb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5">
    <w:name w:val="rightb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6">
    <w:name w:val="channeltitle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7">
    <w:name w:val="channeltablezcfg"/>
    <w:basedOn w:val="1"/>
    <w:qFormat/>
    <w:uiPriority w:val="0"/>
    <w:pPr>
      <w:widowControl/>
      <w:pBdr>
        <w:left w:val="single" w:color="D4E8FE" w:sz="36" w:space="0"/>
        <w:bottom w:val="single" w:color="D4E8FE" w:sz="36" w:space="6"/>
        <w:right w:val="single" w:color="D4E8FE" w:sz="3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58">
    <w:name w:val="channeltitlegzd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9">
    <w:name w:val="channeltablegzdt"/>
    <w:basedOn w:val="1"/>
    <w:qFormat/>
    <w:uiPriority w:val="0"/>
    <w:pPr>
      <w:widowControl/>
      <w:pBdr>
        <w:left w:val="single" w:color="9FC1E7" w:sz="6" w:space="0"/>
        <w:bottom w:val="single" w:color="9FC1E7" w:sz="6" w:space="6"/>
        <w:right w:val="single" w:color="9FC1E7"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60">
    <w:name w:val="channeltitlecgxx"/>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1">
    <w:name w:val="channeltablecgxx"/>
    <w:basedOn w:val="1"/>
    <w:qFormat/>
    <w:uiPriority w:val="0"/>
    <w:pPr>
      <w:widowControl/>
      <w:pBdr>
        <w:left w:val="single" w:color="9FC1E7" w:sz="6" w:space="0"/>
        <w:bottom w:val="single" w:color="9FC1E7" w:sz="6" w:space="6"/>
        <w:right w:val="single" w:color="9FC1E7"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62">
    <w:name w:val="channeltitlebszn"/>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3">
    <w:name w:val="channeltablebszn"/>
    <w:basedOn w:val="1"/>
    <w:qFormat/>
    <w:uiPriority w:val="0"/>
    <w:pPr>
      <w:widowControl/>
      <w:pBdr>
        <w:left w:val="single" w:color="9FC1E7" w:sz="6" w:space="0"/>
        <w:bottom w:val="single" w:color="9FC1E7" w:sz="6" w:space="6"/>
        <w:right w:val="single" w:color="9FC1E7"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64">
    <w:name w:val="channeltitlezcf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5">
    <w:name w:val="channeltitlellsj"/>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6">
    <w:name w:val="channeltablellsj"/>
    <w:basedOn w:val="1"/>
    <w:qFormat/>
    <w:uiPriority w:val="0"/>
    <w:pPr>
      <w:widowControl/>
      <w:pBdr>
        <w:left w:val="single" w:color="9FC1E7" w:sz="6" w:space="0"/>
        <w:bottom w:val="single" w:color="9FC1E7" w:sz="6" w:space="6"/>
        <w:right w:val="single" w:color="9FC1E7"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67">
    <w:name w:val="channeltitlepxyd"/>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8">
    <w:name w:val="channeltablepxyd"/>
    <w:basedOn w:val="1"/>
    <w:qFormat/>
    <w:uiPriority w:val="0"/>
    <w:pPr>
      <w:widowControl/>
      <w:pBdr>
        <w:left w:val="single" w:color="9FC1E7" w:sz="6" w:space="0"/>
        <w:bottom w:val="single" w:color="9FC1E7" w:sz="6" w:space="6"/>
        <w:right w:val="single" w:color="9FC1E7"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69">
    <w:name w:val="height5"/>
    <w:basedOn w:val="1"/>
    <w:qFormat/>
    <w:uiPriority w:val="0"/>
    <w:pPr>
      <w:widowControl/>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70">
    <w:name w:val="linesolid"/>
    <w:basedOn w:val="1"/>
    <w:qFormat/>
    <w:uiPriority w:val="0"/>
    <w:pPr>
      <w:widowControl/>
      <w:pBdr>
        <w:bottom w:val="single" w:color="9FC1E7"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71">
    <w:name w:val="channeltablezchd"/>
    <w:basedOn w:val="1"/>
    <w:qFormat/>
    <w:uiPriority w:val="0"/>
    <w:pPr>
      <w:widowControl/>
      <w:pBdr>
        <w:left w:val="single" w:color="9FC1E7" w:sz="6" w:space="0"/>
        <w:bottom w:val="single" w:color="9FC1E7" w:sz="6" w:space="6"/>
        <w:right w:val="single" w:color="9FC1E7" w:sz="6" w:space="0"/>
      </w:pBdr>
      <w:shd w:val="clear" w:color="auto" w:fill="FFFFFF"/>
      <w:spacing w:before="100" w:beforeAutospacing="1" w:after="100" w:afterAutospacing="1"/>
      <w:jc w:val="left"/>
    </w:pPr>
    <w:rPr>
      <w:rFonts w:ascii="宋体" w:hAnsi="宋体" w:eastAsia="宋体" w:cs="宋体"/>
      <w:kern w:val="0"/>
      <w:sz w:val="24"/>
      <w:szCs w:val="24"/>
    </w:rPr>
  </w:style>
  <w:style w:type="paragraph" w:customStyle="1" w:styleId="372">
    <w:name w:val="linerow"/>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3">
    <w:name w:val="articlelocation"/>
    <w:basedOn w:val="1"/>
    <w:qFormat/>
    <w:uiPriority w:val="0"/>
    <w:pPr>
      <w:widowControl/>
      <w:spacing w:before="100" w:beforeAutospacing="1" w:after="100" w:afterAutospacing="1"/>
      <w:ind w:firstLine="1500"/>
      <w:jc w:val="left"/>
    </w:pPr>
    <w:rPr>
      <w:rFonts w:ascii="宋体" w:hAnsi="宋体" w:eastAsia="宋体" w:cs="宋体"/>
      <w:kern w:val="0"/>
      <w:sz w:val="24"/>
      <w:szCs w:val="24"/>
    </w:rPr>
  </w:style>
  <w:style w:type="paragraph" w:customStyle="1" w:styleId="374">
    <w:name w:val="linedoub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5">
    <w:name w:val="yqljselect"/>
    <w:basedOn w:val="1"/>
    <w:qFormat/>
    <w:uiPriority w:val="0"/>
    <w:pPr>
      <w:widowControl/>
      <w:pBdr>
        <w:top w:val="single" w:color="D7D7D7" w:sz="6" w:space="0"/>
        <w:left w:val="single" w:color="D7D7D7" w:sz="6" w:space="0"/>
        <w:bottom w:val="single" w:color="D7D7D7" w:sz="6" w:space="0"/>
        <w:right w:val="single" w:color="D7D7D7" w:sz="6" w:space="0"/>
      </w:pBdr>
      <w:shd w:val="clear" w:color="auto" w:fill="EEF2F5"/>
      <w:spacing w:before="100" w:beforeAutospacing="1" w:after="100" w:afterAutospacing="1"/>
      <w:jc w:val="left"/>
    </w:pPr>
    <w:rPr>
      <w:rFonts w:ascii="宋体" w:hAnsi="宋体" w:eastAsia="宋体" w:cs="宋体"/>
      <w:kern w:val="0"/>
      <w:sz w:val="24"/>
      <w:szCs w:val="24"/>
    </w:rPr>
  </w:style>
  <w:style w:type="paragraph" w:customStyle="1" w:styleId="376">
    <w:name w:val="indexlinkimg"/>
    <w:basedOn w:val="1"/>
    <w:qFormat/>
    <w:uiPriority w:val="0"/>
    <w:pPr>
      <w:widowControl/>
      <w:shd w:val="clear" w:color="auto" w:fill="F5F5F5"/>
      <w:spacing w:before="100" w:beforeAutospacing="1" w:after="100" w:afterAutospacing="1"/>
      <w:jc w:val="left"/>
    </w:pPr>
    <w:rPr>
      <w:rFonts w:ascii="宋体" w:hAnsi="宋体" w:eastAsia="宋体" w:cs="宋体"/>
      <w:kern w:val="0"/>
      <w:sz w:val="24"/>
      <w:szCs w:val="24"/>
    </w:rPr>
  </w:style>
  <w:style w:type="paragraph" w:customStyle="1" w:styleId="377">
    <w:name w:val="articletitle"/>
    <w:basedOn w:val="1"/>
    <w:qFormat/>
    <w:uiPriority w:val="0"/>
    <w:pPr>
      <w:widowControl/>
      <w:spacing w:before="100" w:beforeAutospacing="1" w:after="100" w:afterAutospacing="1"/>
      <w:jc w:val="center"/>
    </w:pPr>
    <w:rPr>
      <w:rFonts w:ascii="宋体" w:hAnsi="宋体" w:eastAsia="宋体" w:cs="宋体"/>
      <w:b/>
      <w:bCs/>
      <w:kern w:val="0"/>
      <w:sz w:val="36"/>
      <w:szCs w:val="36"/>
    </w:rPr>
  </w:style>
  <w:style w:type="paragraph" w:customStyle="1" w:styleId="378">
    <w:name w:val="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9">
    <w:name w:val="3级标题"/>
    <w:basedOn w:val="9"/>
    <w:qFormat/>
    <w:uiPriority w:val="0"/>
    <w:pPr>
      <w:spacing w:line="415" w:lineRule="auto"/>
      <w:ind w:left="1418" w:hanging="567"/>
      <w:outlineLvl w:val="2"/>
    </w:pPr>
    <w:rPr>
      <w:rFonts w:ascii="宋体" w:hAnsi="宋体" w:eastAsia="宋体"/>
      <w:bCs/>
      <w:kern w:val="0"/>
      <w:szCs w:val="32"/>
    </w:rPr>
  </w:style>
  <w:style w:type="paragraph" w:customStyle="1" w:styleId="380">
    <w:name w:val="列表内容"/>
    <w:basedOn w:val="1"/>
    <w:next w:val="1"/>
    <w:qFormat/>
    <w:uiPriority w:val="0"/>
    <w:pPr>
      <w:widowControl/>
      <w:tabs>
        <w:tab w:val="left" w:pos="840"/>
      </w:tabs>
      <w:ind w:left="360" w:hanging="360"/>
      <w:jc w:val="left"/>
    </w:pPr>
    <w:rPr>
      <w:rFonts w:ascii="Times New Roman" w:hAnsi="Times New Roman" w:eastAsia="宋体" w:cs="Times New Roman"/>
      <w:kern w:val="0"/>
      <w:sz w:val="18"/>
      <w:szCs w:val="20"/>
    </w:rPr>
  </w:style>
  <w:style w:type="paragraph" w:customStyle="1" w:styleId="381">
    <w:name w:val="1 Char"/>
    <w:basedOn w:val="1"/>
    <w:qFormat/>
    <w:uiPriority w:val="0"/>
    <w:rPr>
      <w:rFonts w:ascii="Tahoma" w:hAnsi="Tahoma" w:eastAsia="宋体" w:cs="Times New Roman"/>
      <w:sz w:val="24"/>
      <w:szCs w:val="20"/>
    </w:rPr>
  </w:style>
  <w:style w:type="character" w:customStyle="1" w:styleId="382">
    <w:name w:val="selected"/>
    <w:qFormat/>
    <w:uiPriority w:val="0"/>
    <w:rPr>
      <w:shd w:val="clear" w:color="auto" w:fill="B00006"/>
    </w:rPr>
  </w:style>
  <w:style w:type="character" w:customStyle="1" w:styleId="383">
    <w:name w:val="displayarti"/>
    <w:qFormat/>
    <w:uiPriority w:val="0"/>
    <w:rPr>
      <w:color w:val="FFFFFF"/>
      <w:shd w:val="clear" w:color="auto" w:fill="A00000"/>
    </w:rPr>
  </w:style>
  <w:style w:type="character" w:customStyle="1" w:styleId="384">
    <w:name w:val="gpa"/>
    <w:qFormat/>
    <w:uiPriority w:val="0"/>
    <w:rPr>
      <w:rFonts w:ascii="Arial" w:hAnsi="Arial" w:cs="Arial"/>
      <w:sz w:val="15"/>
      <w:szCs w:val="15"/>
    </w:rPr>
  </w:style>
  <w:style w:type="paragraph" w:customStyle="1" w:styleId="385">
    <w:name w:val="text2"/>
    <w:basedOn w:val="1"/>
    <w:qFormat/>
    <w:uiPriority w:val="0"/>
    <w:pPr>
      <w:widowControl/>
      <w:spacing w:before="100" w:beforeAutospacing="1" w:after="100" w:afterAutospacing="1"/>
      <w:jc w:val="left"/>
    </w:pPr>
    <w:rPr>
      <w:rFonts w:ascii="宋体" w:hAnsi="宋体" w:eastAsia="宋体" w:cs="宋体"/>
      <w:color w:val="FFFFFF"/>
      <w:kern w:val="0"/>
      <w:sz w:val="18"/>
      <w:szCs w:val="18"/>
    </w:rPr>
  </w:style>
  <w:style w:type="paragraph" w:customStyle="1" w:styleId="386">
    <w:name w:val="text3"/>
    <w:basedOn w:val="1"/>
    <w:qFormat/>
    <w:uiPriority w:val="0"/>
    <w:pPr>
      <w:widowControl/>
      <w:spacing w:before="100" w:beforeAutospacing="1" w:after="100" w:afterAutospacing="1" w:line="408" w:lineRule="auto"/>
      <w:jc w:val="left"/>
    </w:pPr>
    <w:rPr>
      <w:rFonts w:ascii="宋体" w:hAnsi="宋体" w:eastAsia="宋体" w:cs="宋体"/>
      <w:color w:val="000000"/>
      <w:kern w:val="0"/>
      <w:sz w:val="18"/>
      <w:szCs w:val="18"/>
    </w:rPr>
  </w:style>
  <w:style w:type="paragraph" w:customStyle="1" w:styleId="387">
    <w:name w:val="menu"/>
    <w:basedOn w:val="1"/>
    <w:qFormat/>
    <w:uiPriority w:val="0"/>
    <w:pPr>
      <w:widowControl/>
      <w:spacing w:before="100" w:beforeAutospacing="1" w:after="100" w:afterAutospacing="1"/>
      <w:jc w:val="left"/>
    </w:pPr>
    <w:rPr>
      <w:rFonts w:ascii="宋体" w:hAnsi="宋体" w:eastAsia="宋体" w:cs="宋体"/>
      <w:b/>
      <w:bCs/>
      <w:color w:val="FFFFFF"/>
      <w:kern w:val="0"/>
      <w:szCs w:val="21"/>
    </w:rPr>
  </w:style>
  <w:style w:type="paragraph" w:customStyle="1" w:styleId="388">
    <w:name w:val="st_tbcss"/>
    <w:basedOn w:val="1"/>
    <w:qFormat/>
    <w:uiPriority w:val="0"/>
    <w:pPr>
      <w:widowControl/>
      <w:jc w:val="left"/>
    </w:pPr>
    <w:rPr>
      <w:rFonts w:ascii="宋体" w:hAnsi="宋体" w:eastAsia="宋体" w:cs="宋体"/>
      <w:kern w:val="0"/>
      <w:sz w:val="24"/>
      <w:szCs w:val="24"/>
    </w:rPr>
  </w:style>
  <w:style w:type="paragraph" w:customStyle="1" w:styleId="389">
    <w:name w:val="st_divcss"/>
    <w:basedOn w:val="1"/>
    <w:qFormat/>
    <w:uiPriority w:val="0"/>
    <w:pPr>
      <w:widowControl/>
      <w:jc w:val="left"/>
    </w:pPr>
    <w:rPr>
      <w:rFonts w:ascii="宋体" w:hAnsi="宋体" w:eastAsia="宋体" w:cs="宋体"/>
      <w:kern w:val="0"/>
      <w:sz w:val="24"/>
      <w:szCs w:val="24"/>
    </w:rPr>
  </w:style>
  <w:style w:type="paragraph" w:customStyle="1" w:styleId="390">
    <w:name w:val="ki"/>
    <w:basedOn w:val="1"/>
    <w:qFormat/>
    <w:uiPriority w:val="0"/>
    <w:pPr>
      <w:widowControl/>
      <w:spacing w:before="100" w:beforeAutospacing="1" w:after="100" w:afterAutospacing="1"/>
      <w:jc w:val="left"/>
    </w:pPr>
    <w:rPr>
      <w:rFonts w:ascii="宋体" w:hAnsi="宋体" w:eastAsia="宋体" w:cs="宋体"/>
      <w:b/>
      <w:bCs/>
      <w:color w:val="FF6600"/>
      <w:kern w:val="0"/>
      <w:sz w:val="24"/>
      <w:szCs w:val="24"/>
    </w:rPr>
  </w:style>
  <w:style w:type="paragraph" w:customStyle="1" w:styleId="391">
    <w:name w:val="tableborer"/>
    <w:basedOn w:val="1"/>
    <w:qFormat/>
    <w:uiPriority w:val="0"/>
    <w:pPr>
      <w:widowControl/>
      <w:pBdr>
        <w:top w:val="dotted" w:color="EEEEEE" w:sz="6" w:space="0"/>
        <w:left w:val="dotted" w:color="EEEEEE" w:sz="6" w:space="0"/>
        <w:bottom w:val="dotted" w:color="EEEEEE" w:sz="6" w:space="0"/>
        <w:right w:val="dotted" w:color="EEEEEE" w:sz="6" w:space="0"/>
      </w:pBdr>
      <w:spacing w:before="100" w:beforeAutospacing="1" w:after="100" w:afterAutospacing="1"/>
      <w:jc w:val="left"/>
    </w:pPr>
    <w:rPr>
      <w:rFonts w:ascii="宋体" w:hAnsi="宋体" w:eastAsia="宋体" w:cs="宋体"/>
      <w:kern w:val="0"/>
      <w:sz w:val="24"/>
      <w:szCs w:val="24"/>
    </w:rPr>
  </w:style>
  <w:style w:type="paragraph" w:customStyle="1" w:styleId="392">
    <w:name w:val="td-right"/>
    <w:basedOn w:val="1"/>
    <w:qFormat/>
    <w:uiPriority w:val="0"/>
    <w:pPr>
      <w:widowControl/>
      <w:pBdr>
        <w:right w:val="dotted" w:color="999999" w:sz="6" w:space="0"/>
      </w:pBdr>
      <w:spacing w:before="100" w:beforeAutospacing="1" w:after="100" w:afterAutospacing="1"/>
      <w:jc w:val="left"/>
    </w:pPr>
    <w:rPr>
      <w:rFonts w:ascii="宋体" w:hAnsi="宋体" w:eastAsia="宋体" w:cs="宋体"/>
      <w:kern w:val="0"/>
      <w:sz w:val="24"/>
      <w:szCs w:val="24"/>
    </w:rPr>
  </w:style>
  <w:style w:type="paragraph" w:customStyle="1" w:styleId="393">
    <w:name w:val="td1"/>
    <w:basedOn w:val="1"/>
    <w:qFormat/>
    <w:uiPriority w:val="0"/>
    <w:pPr>
      <w:widowControl/>
      <w:pBdr>
        <w:top w:val="single" w:color="003399" w:sz="6" w:space="0"/>
        <w:left w:val="single" w:color="003399" w:sz="6" w:space="0"/>
        <w:bottom w:val="single" w:color="003399" w:sz="6" w:space="0"/>
        <w:right w:val="single" w:color="003399" w:sz="6" w:space="0"/>
      </w:pBdr>
      <w:spacing w:before="100" w:beforeAutospacing="1" w:after="100" w:afterAutospacing="1"/>
      <w:jc w:val="left"/>
    </w:pPr>
    <w:rPr>
      <w:rFonts w:ascii="宋体" w:hAnsi="宋体" w:eastAsia="宋体" w:cs="宋体"/>
      <w:kern w:val="0"/>
      <w:sz w:val="18"/>
      <w:szCs w:val="18"/>
    </w:rPr>
  </w:style>
  <w:style w:type="paragraph" w:customStyle="1" w:styleId="394">
    <w:name w:val="shadow"/>
    <w:basedOn w:val="1"/>
    <w:qFormat/>
    <w:uiPriority w:val="0"/>
    <w:pPr>
      <w:widowControl/>
      <w:jc w:val="left"/>
    </w:pPr>
    <w:rPr>
      <w:rFonts w:ascii="宋体" w:hAnsi="宋体" w:eastAsia="宋体" w:cs="宋体"/>
      <w:color w:val="FFFFFF"/>
      <w:kern w:val="0"/>
      <w:sz w:val="24"/>
      <w:szCs w:val="24"/>
    </w:rPr>
  </w:style>
  <w:style w:type="paragraph" w:customStyle="1" w:styleId="395">
    <w:name w:val="td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96">
    <w:name w:val="title-3"/>
    <w:basedOn w:val="1"/>
    <w:qFormat/>
    <w:uiPriority w:val="0"/>
    <w:pPr>
      <w:widowControl/>
      <w:spacing w:before="100" w:beforeAutospacing="1" w:after="100" w:afterAutospacing="1"/>
      <w:jc w:val="left"/>
    </w:pPr>
    <w:rPr>
      <w:rFonts w:ascii="宋体" w:hAnsi="宋体" w:eastAsia="宋体" w:cs="宋体"/>
      <w:b/>
      <w:bCs/>
      <w:color w:val="474747"/>
      <w:kern w:val="0"/>
      <w:sz w:val="18"/>
      <w:szCs w:val="18"/>
    </w:rPr>
  </w:style>
  <w:style w:type="paragraph" w:customStyle="1" w:styleId="397">
    <w:name w:val="shadow1"/>
    <w:basedOn w:val="1"/>
    <w:qFormat/>
    <w:uiPriority w:val="0"/>
    <w:pPr>
      <w:widowControl/>
      <w:jc w:val="left"/>
    </w:pPr>
    <w:rPr>
      <w:rFonts w:ascii="宋体" w:hAnsi="宋体" w:eastAsia="宋体" w:cs="宋体"/>
      <w:b/>
      <w:bCs/>
      <w:color w:val="0048AA"/>
      <w:kern w:val="0"/>
      <w:sz w:val="24"/>
      <w:szCs w:val="24"/>
    </w:rPr>
  </w:style>
  <w:style w:type="paragraph" w:customStyle="1" w:styleId="398">
    <w:name w:val="st_tdcss"/>
    <w:basedOn w:val="1"/>
    <w:qFormat/>
    <w:uiPriority w:val="0"/>
    <w:pPr>
      <w:widowControl/>
      <w:jc w:val="left"/>
    </w:pPr>
    <w:rPr>
      <w:rFonts w:ascii="宋体" w:hAnsi="宋体" w:eastAsia="宋体" w:cs="宋体"/>
      <w:kern w:val="0"/>
      <w:sz w:val="24"/>
      <w:szCs w:val="24"/>
    </w:rPr>
  </w:style>
  <w:style w:type="paragraph" w:customStyle="1" w:styleId="399">
    <w:name w:val="td-top"/>
    <w:basedOn w:val="1"/>
    <w:qFormat/>
    <w:uiPriority w:val="0"/>
    <w:pPr>
      <w:widowControl/>
      <w:pBdr>
        <w:top w:val="dotted" w:color="0000FF" w:sz="6" w:space="0"/>
      </w:pBdr>
      <w:spacing w:before="100" w:beforeAutospacing="1" w:after="100" w:afterAutospacing="1"/>
      <w:jc w:val="left"/>
    </w:pPr>
    <w:rPr>
      <w:rFonts w:ascii="宋体" w:hAnsi="宋体" w:eastAsia="宋体" w:cs="宋体"/>
      <w:kern w:val="0"/>
      <w:sz w:val="18"/>
      <w:szCs w:val="18"/>
    </w:rPr>
  </w:style>
  <w:style w:type="paragraph" w:customStyle="1" w:styleId="400">
    <w:name w:val="td-botton"/>
    <w:basedOn w:val="1"/>
    <w:qFormat/>
    <w:uiPriority w:val="0"/>
    <w:pPr>
      <w:widowControl/>
      <w:pBdr>
        <w:bottom w:val="dotted" w:color="999999" w:sz="6" w:space="0"/>
      </w:pBdr>
      <w:spacing w:before="100" w:beforeAutospacing="1" w:after="100" w:afterAutospacing="1"/>
      <w:jc w:val="left"/>
    </w:pPr>
    <w:rPr>
      <w:rFonts w:ascii="宋体" w:hAnsi="宋体" w:eastAsia="宋体" w:cs="宋体"/>
      <w:kern w:val="0"/>
      <w:sz w:val="24"/>
      <w:szCs w:val="24"/>
    </w:rPr>
  </w:style>
  <w:style w:type="paragraph" w:customStyle="1" w:styleId="401">
    <w:name w:val="td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02">
    <w:name w:val="td-b"/>
    <w:basedOn w:val="1"/>
    <w:qFormat/>
    <w:uiPriority w:val="0"/>
    <w:pPr>
      <w:widowControl/>
      <w:pBdr>
        <w:left w:val="single" w:color="9DC9EC" w:sz="6" w:space="0"/>
        <w:bottom w:val="single" w:color="9DC9EC" w:sz="6" w:space="0"/>
        <w:right w:val="single" w:color="9DC9EC" w:sz="6" w:space="0"/>
      </w:pBdr>
      <w:spacing w:before="100" w:beforeAutospacing="1" w:after="100" w:afterAutospacing="1"/>
      <w:jc w:val="left"/>
    </w:pPr>
    <w:rPr>
      <w:rFonts w:ascii="宋体" w:hAnsi="宋体" w:eastAsia="宋体" w:cs="宋体"/>
      <w:kern w:val="0"/>
      <w:sz w:val="24"/>
      <w:szCs w:val="24"/>
    </w:rPr>
  </w:style>
  <w:style w:type="paragraph" w:customStyle="1" w:styleId="403">
    <w:name w:val="td2"/>
    <w:basedOn w:val="1"/>
    <w:qFormat/>
    <w:uiPriority w:val="0"/>
    <w:pPr>
      <w:widowControl/>
      <w:pBdr>
        <w:top w:val="single" w:color="FF9900" w:sz="6" w:space="0"/>
      </w:pBdr>
      <w:spacing w:before="100" w:beforeAutospacing="1" w:after="100" w:afterAutospacing="1"/>
      <w:jc w:val="left"/>
    </w:pPr>
    <w:rPr>
      <w:rFonts w:ascii="宋体" w:hAnsi="宋体" w:eastAsia="宋体" w:cs="宋体"/>
      <w:kern w:val="0"/>
      <w:sz w:val="24"/>
      <w:szCs w:val="24"/>
    </w:rPr>
  </w:style>
  <w:style w:type="paragraph" w:customStyle="1" w:styleId="404">
    <w:name w:val="st_ftcss"/>
    <w:basedOn w:val="1"/>
    <w:qFormat/>
    <w:uiPriority w:val="0"/>
    <w:pPr>
      <w:widowControl/>
      <w:jc w:val="left"/>
    </w:pPr>
    <w:rPr>
      <w:rFonts w:ascii="宋体" w:hAnsi="宋体" w:eastAsia="宋体" w:cs="宋体"/>
      <w:kern w:val="0"/>
      <w:sz w:val="24"/>
      <w:szCs w:val="24"/>
    </w:rPr>
  </w:style>
  <w:style w:type="paragraph" w:customStyle="1" w:styleId="405">
    <w:name w:val="menu2"/>
    <w:basedOn w:val="1"/>
    <w:qFormat/>
    <w:uiPriority w:val="0"/>
    <w:pPr>
      <w:widowControl/>
      <w:spacing w:before="100" w:beforeAutospacing="1" w:after="100" w:afterAutospacing="1"/>
      <w:jc w:val="left"/>
    </w:pPr>
    <w:rPr>
      <w:rFonts w:ascii="宋体" w:hAnsi="宋体" w:eastAsia="宋体" w:cs="宋体"/>
      <w:b/>
      <w:bCs/>
      <w:color w:val="247ED1"/>
      <w:kern w:val="0"/>
      <w:szCs w:val="21"/>
    </w:rPr>
  </w:style>
  <w:style w:type="paragraph" w:customStyle="1" w:styleId="406">
    <w:name w:val="tableborer-2"/>
    <w:basedOn w:val="1"/>
    <w:qFormat/>
    <w:uiPriority w:val="0"/>
    <w:pPr>
      <w:widowControl/>
      <w:pBdr>
        <w:right w:val="single" w:color="109BF8" w:sz="6" w:space="0"/>
      </w:pBdr>
      <w:spacing w:before="100" w:beforeAutospacing="1" w:after="100" w:afterAutospacing="1"/>
      <w:jc w:val="left"/>
    </w:pPr>
    <w:rPr>
      <w:rFonts w:ascii="宋体" w:hAnsi="宋体" w:eastAsia="宋体" w:cs="宋体"/>
      <w:kern w:val="0"/>
      <w:sz w:val="24"/>
      <w:szCs w:val="24"/>
    </w:rPr>
  </w:style>
  <w:style w:type="paragraph" w:customStyle="1" w:styleId="407">
    <w:name w:val="text4"/>
    <w:basedOn w:val="1"/>
    <w:qFormat/>
    <w:uiPriority w:val="0"/>
    <w:pPr>
      <w:widowControl/>
      <w:spacing w:before="100" w:beforeAutospacing="1" w:after="100" w:afterAutospacing="1"/>
      <w:jc w:val="left"/>
    </w:pPr>
    <w:rPr>
      <w:rFonts w:ascii="宋体" w:hAnsi="宋体" w:eastAsia="宋体" w:cs="宋体"/>
      <w:color w:val="FF0000"/>
      <w:kern w:val="0"/>
      <w:sz w:val="18"/>
      <w:szCs w:val="18"/>
    </w:rPr>
  </w:style>
  <w:style w:type="paragraph" w:customStyle="1" w:styleId="408">
    <w:name w:val="sec1"/>
    <w:basedOn w:val="1"/>
    <w:qFormat/>
    <w:uiPriority w:val="0"/>
    <w:pPr>
      <w:widowControl/>
      <w:spacing w:before="100" w:beforeAutospacing="1" w:after="100" w:afterAutospacing="1"/>
      <w:jc w:val="left"/>
    </w:pPr>
    <w:rPr>
      <w:rFonts w:ascii="宋体" w:hAnsi="宋体" w:eastAsia="宋体" w:cs="宋体"/>
      <w:b/>
      <w:bCs/>
      <w:color w:val="247ED1"/>
      <w:kern w:val="0"/>
      <w:szCs w:val="21"/>
    </w:rPr>
  </w:style>
  <w:style w:type="paragraph" w:customStyle="1" w:styleId="409">
    <w:name w:val="td-left"/>
    <w:basedOn w:val="1"/>
    <w:qFormat/>
    <w:uiPriority w:val="0"/>
    <w:pPr>
      <w:widowControl/>
      <w:pBdr>
        <w:left w:val="dotted" w:color="CCCCCC" w:sz="6" w:space="0"/>
        <w:right w:val="dotted" w:color="CCCCCC" w:sz="6" w:space="0"/>
      </w:pBdr>
      <w:spacing w:before="100" w:beforeAutospacing="1" w:after="100" w:afterAutospacing="1"/>
      <w:jc w:val="left"/>
    </w:pPr>
    <w:rPr>
      <w:rFonts w:ascii="宋体" w:hAnsi="宋体" w:eastAsia="宋体" w:cs="宋体"/>
      <w:kern w:val="0"/>
      <w:sz w:val="24"/>
      <w:szCs w:val="24"/>
    </w:rPr>
  </w:style>
  <w:style w:type="paragraph" w:customStyle="1" w:styleId="410">
    <w:name w:val="td-left-2"/>
    <w:basedOn w:val="1"/>
    <w:qFormat/>
    <w:uiPriority w:val="0"/>
    <w:pPr>
      <w:widowControl/>
      <w:pBdr>
        <w:left w:val="dotted" w:color="FF0000" w:sz="6" w:space="0"/>
      </w:pBdr>
      <w:spacing w:before="100" w:beforeAutospacing="1" w:after="100" w:afterAutospacing="1"/>
      <w:jc w:val="left"/>
    </w:pPr>
    <w:rPr>
      <w:rFonts w:ascii="宋体" w:hAnsi="宋体" w:eastAsia="宋体" w:cs="宋体"/>
      <w:kern w:val="0"/>
      <w:sz w:val="24"/>
      <w:szCs w:val="24"/>
    </w:rPr>
  </w:style>
  <w:style w:type="paragraph" w:customStyle="1" w:styleId="411">
    <w:name w:val="scroll-1"/>
    <w:basedOn w:val="1"/>
    <w:qFormat/>
    <w:uiPriority w:val="0"/>
    <w:pPr>
      <w:widowControl/>
      <w:spacing w:before="100" w:beforeAutospacing="1" w:after="100" w:afterAutospacing="1" w:line="312" w:lineRule="auto"/>
      <w:jc w:val="left"/>
    </w:pPr>
    <w:rPr>
      <w:rFonts w:ascii="宋体" w:hAnsi="宋体" w:eastAsia="宋体" w:cs="宋体"/>
      <w:color w:val="FF3333"/>
      <w:kern w:val="0"/>
      <w:sz w:val="18"/>
      <w:szCs w:val="18"/>
    </w:rPr>
  </w:style>
  <w:style w:type="paragraph" w:customStyle="1" w:styleId="412">
    <w:name w:val="td-top-2"/>
    <w:basedOn w:val="1"/>
    <w:qFormat/>
    <w:uiPriority w:val="0"/>
    <w:pPr>
      <w:widowControl/>
      <w:pBdr>
        <w:top w:val="dotted" w:color="0000FF" w:sz="6" w:space="0"/>
      </w:pBdr>
      <w:spacing w:before="100" w:beforeAutospacing="1" w:after="100" w:afterAutospacing="1"/>
      <w:jc w:val="left"/>
    </w:pPr>
    <w:rPr>
      <w:rFonts w:ascii="宋体" w:hAnsi="宋体" w:eastAsia="宋体" w:cs="宋体"/>
      <w:kern w:val="0"/>
      <w:sz w:val="24"/>
      <w:szCs w:val="24"/>
    </w:rPr>
  </w:style>
  <w:style w:type="paragraph" w:customStyle="1" w:styleId="413">
    <w:name w:val="title-4"/>
    <w:basedOn w:val="1"/>
    <w:qFormat/>
    <w:uiPriority w:val="0"/>
    <w:pPr>
      <w:widowControl/>
      <w:spacing w:before="100" w:beforeAutospacing="1" w:after="100" w:afterAutospacing="1"/>
      <w:jc w:val="left"/>
    </w:pPr>
    <w:rPr>
      <w:rFonts w:ascii="宋体" w:hAnsi="宋体" w:eastAsia="宋体" w:cs="宋体"/>
      <w:color w:val="095498"/>
      <w:kern w:val="0"/>
      <w:sz w:val="18"/>
      <w:szCs w:val="18"/>
    </w:rPr>
  </w:style>
  <w:style w:type="paragraph" w:customStyle="1" w:styleId="414">
    <w:name w:val="title-1"/>
    <w:basedOn w:val="1"/>
    <w:qFormat/>
    <w:uiPriority w:val="0"/>
    <w:pPr>
      <w:widowControl/>
      <w:spacing w:before="100" w:beforeAutospacing="1" w:after="100" w:afterAutospacing="1"/>
      <w:jc w:val="left"/>
    </w:pPr>
    <w:rPr>
      <w:rFonts w:ascii="宋体" w:hAnsi="宋体" w:eastAsia="宋体" w:cs="宋体"/>
      <w:b/>
      <w:bCs/>
      <w:color w:val="0A3886"/>
      <w:kern w:val="0"/>
      <w:sz w:val="18"/>
      <w:szCs w:val="18"/>
    </w:rPr>
  </w:style>
  <w:style w:type="paragraph" w:customStyle="1" w:styleId="415">
    <w:name w:val="input-pass"/>
    <w:basedOn w:val="1"/>
    <w:qFormat/>
    <w:uiPriority w:val="0"/>
    <w:pPr>
      <w:widowControl/>
      <w:pBdr>
        <w:top w:val="single" w:color="auto" w:sz="6" w:space="0"/>
        <w:left w:val="single" w:color="auto" w:sz="6" w:space="0"/>
        <w:bottom w:val="single" w:color="auto" w:sz="6" w:space="0"/>
        <w:right w:val="single" w:color="auto" w:sz="6" w:space="0"/>
      </w:pBdr>
      <w:spacing w:before="100" w:beforeAutospacing="1" w:after="100" w:afterAutospacing="1"/>
      <w:jc w:val="left"/>
    </w:pPr>
    <w:rPr>
      <w:rFonts w:ascii="宋体" w:hAnsi="宋体" w:eastAsia="宋体" w:cs="宋体"/>
      <w:kern w:val="0"/>
      <w:sz w:val="18"/>
      <w:szCs w:val="18"/>
    </w:rPr>
  </w:style>
  <w:style w:type="paragraph" w:customStyle="1" w:styleId="416">
    <w:name w:val="title-2"/>
    <w:basedOn w:val="1"/>
    <w:qFormat/>
    <w:uiPriority w:val="0"/>
    <w:pPr>
      <w:widowControl/>
      <w:spacing w:before="100" w:beforeAutospacing="1" w:after="100" w:afterAutospacing="1" w:line="288" w:lineRule="auto"/>
      <w:jc w:val="left"/>
    </w:pPr>
    <w:rPr>
      <w:rFonts w:ascii="宋体" w:hAnsi="宋体" w:eastAsia="宋体" w:cs="宋体"/>
      <w:b/>
      <w:bCs/>
      <w:color w:val="FFFFFF"/>
      <w:kern w:val="0"/>
      <w:sz w:val="18"/>
      <w:szCs w:val="18"/>
    </w:rPr>
  </w:style>
  <w:style w:type="paragraph" w:customStyle="1" w:styleId="417">
    <w:name w:val="text1"/>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418">
    <w:name w:val="style1"/>
    <w:basedOn w:val="1"/>
    <w:qFormat/>
    <w:uiPriority w:val="0"/>
    <w:pPr>
      <w:widowControl/>
      <w:spacing w:before="100" w:beforeAutospacing="1" w:after="100" w:afterAutospacing="1"/>
      <w:jc w:val="left"/>
    </w:pPr>
    <w:rPr>
      <w:rFonts w:ascii="宋体" w:hAnsi="宋体" w:eastAsia="宋体" w:cs="宋体"/>
      <w:b/>
      <w:bCs/>
      <w:color w:val="FF3300"/>
      <w:kern w:val="0"/>
      <w:szCs w:val="21"/>
    </w:rPr>
  </w:style>
  <w:style w:type="paragraph" w:customStyle="1" w:styleId="419">
    <w:name w:val="wwz"/>
    <w:basedOn w:val="1"/>
    <w:qFormat/>
    <w:uiPriority w:val="0"/>
    <w:pPr>
      <w:widowControl/>
      <w:spacing w:before="100" w:beforeAutospacing="1" w:after="100" w:afterAutospacing="1"/>
      <w:jc w:val="left"/>
    </w:pPr>
    <w:rPr>
      <w:rFonts w:ascii="宋体" w:hAnsi="宋体" w:eastAsia="宋体" w:cs="宋体"/>
      <w:b/>
      <w:bCs/>
      <w:color w:val="FFFFFF"/>
      <w:kern w:val="0"/>
      <w:szCs w:val="21"/>
    </w:rPr>
  </w:style>
  <w:style w:type="paragraph" w:customStyle="1" w:styleId="420">
    <w:name w:val="sec2"/>
    <w:basedOn w:val="1"/>
    <w:qFormat/>
    <w:uiPriority w:val="0"/>
    <w:pPr>
      <w:widowControl/>
      <w:pBdr>
        <w:top w:val="single" w:color="C5E1FE" w:sz="6" w:space="0"/>
        <w:left w:val="single" w:color="C5E1FE" w:sz="6" w:space="0"/>
        <w:right w:val="single" w:color="C5E1FE" w:sz="6" w:space="0"/>
      </w:pBdr>
      <w:spacing w:before="100" w:beforeAutospacing="1" w:after="100" w:afterAutospacing="1"/>
      <w:jc w:val="left"/>
    </w:pPr>
    <w:rPr>
      <w:rFonts w:ascii="宋体" w:hAnsi="宋体" w:eastAsia="宋体" w:cs="宋体"/>
      <w:b/>
      <w:bCs/>
      <w:color w:val="247ED1"/>
      <w:kern w:val="0"/>
      <w:szCs w:val="21"/>
    </w:rPr>
  </w:style>
  <w:style w:type="paragraph" w:customStyle="1" w:styleId="421">
    <w:name w:val="td-botton-2"/>
    <w:basedOn w:val="1"/>
    <w:qFormat/>
    <w:uiPriority w:val="0"/>
    <w:pPr>
      <w:widowControl/>
      <w:pBdr>
        <w:bottom w:val="dotted" w:color="FF0000" w:sz="6" w:space="0"/>
      </w:pBdr>
      <w:spacing w:before="100" w:beforeAutospacing="1" w:after="100" w:afterAutospacing="1"/>
      <w:jc w:val="left"/>
    </w:pPr>
    <w:rPr>
      <w:rFonts w:ascii="宋体" w:hAnsi="宋体" w:eastAsia="宋体" w:cs="宋体"/>
      <w:kern w:val="0"/>
      <w:sz w:val="24"/>
      <w:szCs w:val="24"/>
    </w:rPr>
  </w:style>
  <w:style w:type="paragraph" w:customStyle="1" w:styleId="422">
    <w:name w:val="button"/>
    <w:basedOn w:val="1"/>
    <w:qFormat/>
    <w:uiPriority w:val="0"/>
    <w:pPr>
      <w:widowControl/>
      <w:pBdr>
        <w:top w:val="single" w:color="FFFFFF" w:sz="36" w:space="0"/>
        <w:left w:val="single" w:color="FFFFFF" w:sz="2" w:space="0"/>
        <w:bottom w:val="single" w:color="FFFFFF" w:sz="36" w:space="0"/>
        <w:right w:val="single" w:color="FFFFFF" w:sz="48" w:space="0"/>
      </w:pBdr>
      <w:shd w:val="clear" w:color="auto" w:fill="3269C4"/>
      <w:spacing w:before="90" w:after="90"/>
      <w:ind w:left="90" w:right="90"/>
      <w:jc w:val="left"/>
    </w:pPr>
    <w:rPr>
      <w:rFonts w:ascii="宋体" w:hAnsi="宋体" w:eastAsia="宋体" w:cs="宋体"/>
      <w:color w:val="FFFFFF"/>
      <w:kern w:val="0"/>
      <w:sz w:val="18"/>
      <w:szCs w:val="18"/>
    </w:rPr>
  </w:style>
  <w:style w:type="paragraph" w:customStyle="1" w:styleId="423">
    <w:name w:val="td-right-2"/>
    <w:basedOn w:val="1"/>
    <w:qFormat/>
    <w:uiPriority w:val="0"/>
    <w:pPr>
      <w:widowControl/>
      <w:pBdr>
        <w:right w:val="dotted" w:color="0000FF" w:sz="6" w:space="0"/>
      </w:pBdr>
      <w:spacing w:before="100" w:beforeAutospacing="1" w:after="100" w:afterAutospacing="1"/>
      <w:jc w:val="left"/>
    </w:pPr>
    <w:rPr>
      <w:rFonts w:ascii="宋体" w:hAnsi="宋体" w:eastAsia="宋体" w:cs="宋体"/>
      <w:kern w:val="0"/>
      <w:sz w:val="24"/>
      <w:szCs w:val="24"/>
    </w:rPr>
  </w:style>
  <w:style w:type="paragraph" w:customStyle="1" w:styleId="424">
    <w:name w:val="style3"/>
    <w:basedOn w:val="1"/>
    <w:qFormat/>
    <w:uiPriority w:val="0"/>
    <w:pPr>
      <w:widowControl/>
      <w:spacing w:before="100" w:beforeAutospacing="1" w:after="100" w:afterAutospacing="1"/>
      <w:jc w:val="left"/>
    </w:pPr>
    <w:rPr>
      <w:rFonts w:ascii="宋体" w:hAnsi="宋体" w:eastAsia="宋体" w:cs="宋体"/>
      <w:kern w:val="0"/>
      <w:szCs w:val="21"/>
    </w:rPr>
  </w:style>
  <w:style w:type="table" w:customStyle="1" w:styleId="425">
    <w:name w:val="网格型7"/>
    <w:basedOn w:val="48"/>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6">
    <w:name w:val="网格型11"/>
    <w:basedOn w:val="48"/>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7">
    <w:name w:val="reader-word-layer reader-word-s4-1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28">
    <w:name w:val="reader-word-layer reader-word-s4-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29">
    <w:name w:val="reader-word-layer reader-word-s4-5"/>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430">
    <w:name w:val="网格型21"/>
    <w:basedOn w:val="48"/>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1">
    <w:name w:val="color-yellow"/>
    <w:basedOn w:val="50"/>
    <w:qFormat/>
    <w:uiPriority w:val="0"/>
    <w:rPr>
      <w:color w:val="FAAD14"/>
      <w:sz w:val="18"/>
      <w:szCs w:val="18"/>
      <w:bdr w:val="single" w:color="FAAD14" w:sz="6" w:space="0"/>
    </w:rPr>
  </w:style>
  <w:style w:type="character" w:customStyle="1" w:styleId="432">
    <w:name w:val="color-yellow1"/>
    <w:basedOn w:val="50"/>
    <w:qFormat/>
    <w:uiPriority w:val="0"/>
    <w:rPr>
      <w:color w:val="FAAD14"/>
      <w:sz w:val="18"/>
      <w:szCs w:val="18"/>
      <w:bdr w:val="single" w:color="FAAD14" w:sz="6" w:space="0"/>
    </w:rPr>
  </w:style>
  <w:style w:type="character" w:customStyle="1" w:styleId="433">
    <w:name w:val="first-child"/>
    <w:basedOn w:val="50"/>
    <w:qFormat/>
    <w:uiPriority w:val="0"/>
  </w:style>
  <w:style w:type="character" w:customStyle="1" w:styleId="434">
    <w:name w:val="first-child1"/>
    <w:basedOn w:val="50"/>
    <w:qFormat/>
    <w:uiPriority w:val="0"/>
    <w:rPr>
      <w:color w:val="1F3149"/>
      <w:sz w:val="24"/>
      <w:szCs w:val="24"/>
    </w:rPr>
  </w:style>
  <w:style w:type="character" w:customStyle="1" w:styleId="435">
    <w:name w:val="first-child2"/>
    <w:basedOn w:val="50"/>
    <w:qFormat/>
    <w:uiPriority w:val="0"/>
    <w:rPr>
      <w:color w:val="1F3149"/>
      <w:sz w:val="24"/>
      <w:szCs w:val="24"/>
    </w:rPr>
  </w:style>
  <w:style w:type="character" w:customStyle="1" w:styleId="436">
    <w:name w:val="first-child3"/>
    <w:basedOn w:val="50"/>
    <w:qFormat/>
    <w:uiPriority w:val="0"/>
  </w:style>
  <w:style w:type="character" w:customStyle="1" w:styleId="437">
    <w:name w:val="fr"/>
    <w:basedOn w:val="50"/>
    <w:qFormat/>
    <w:uiPriority w:val="0"/>
  </w:style>
  <w:style w:type="character" w:customStyle="1" w:styleId="438">
    <w:name w:val="xiadan"/>
    <w:basedOn w:val="50"/>
    <w:qFormat/>
    <w:uiPriority w:val="0"/>
    <w:rPr>
      <w:shd w:val="clear" w:color="auto" w:fill="E4393C"/>
    </w:rPr>
  </w:style>
  <w:style w:type="character" w:customStyle="1" w:styleId="439">
    <w:name w:val="icon_gys"/>
    <w:basedOn w:val="50"/>
    <w:qFormat/>
    <w:uiPriority w:val="0"/>
    <w:rPr>
      <w:sz w:val="21"/>
      <w:szCs w:val="21"/>
    </w:rPr>
  </w:style>
  <w:style w:type="character" w:customStyle="1" w:styleId="440">
    <w:name w:val="icon_ds"/>
    <w:basedOn w:val="50"/>
    <w:qFormat/>
    <w:uiPriority w:val="0"/>
  </w:style>
  <w:style w:type="character" w:customStyle="1" w:styleId="441">
    <w:name w:val="icon_ds1"/>
    <w:basedOn w:val="50"/>
    <w:qFormat/>
    <w:uiPriority w:val="0"/>
    <w:rPr>
      <w:sz w:val="21"/>
      <w:szCs w:val="21"/>
    </w:rPr>
  </w:style>
  <w:style w:type="character" w:customStyle="1" w:styleId="442">
    <w:name w:val="color-blue"/>
    <w:basedOn w:val="50"/>
    <w:qFormat/>
    <w:uiPriority w:val="0"/>
    <w:rPr>
      <w:color w:val="3F88CA"/>
      <w:sz w:val="18"/>
      <w:szCs w:val="18"/>
      <w:bdr w:val="single" w:color="3F88CA" w:sz="6" w:space="0"/>
    </w:rPr>
  </w:style>
  <w:style w:type="paragraph" w:customStyle="1" w:styleId="443">
    <w:name w:val="s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44">
    <w:name w:val="bumpedfont15"/>
    <w:basedOn w:val="50"/>
    <w:qFormat/>
    <w:uiPriority w:val="0"/>
  </w:style>
  <w:style w:type="paragraph" w:customStyle="1" w:styleId="445">
    <w:name w:val="s8"/>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46">
    <w:name w:val="s7"/>
    <w:basedOn w:val="50"/>
    <w:qFormat/>
    <w:uiPriority w:val="0"/>
  </w:style>
  <w:style w:type="paragraph" w:customStyle="1" w:styleId="447">
    <w:name w:val="文档正文"/>
    <w:basedOn w:val="1"/>
    <w:qFormat/>
    <w:uiPriority w:val="0"/>
    <w:pPr>
      <w:adjustRightInd w:val="0"/>
      <w:spacing w:line="480" w:lineRule="atLeast"/>
      <w:ind w:firstLine="567"/>
      <w:textAlignment w:val="baseline"/>
    </w:pPr>
    <w:rPr>
      <w:rFonts w:ascii="仿宋_GB2312" w:eastAsia="仿宋_GB2312"/>
      <w:kern w:val="0"/>
      <w:sz w:val="28"/>
      <w:szCs w:val="20"/>
    </w:rPr>
  </w:style>
  <w:style w:type="character" w:customStyle="1" w:styleId="448">
    <w:name w:val="NormalCharacter"/>
    <w:qFormat/>
    <w:uiPriority w:val="0"/>
    <w:rPr>
      <w:rFonts w:asciiTheme="minorHAnsi" w:hAnsiTheme="minorHAnsi" w:eastAsiaTheme="minorEastAsia" w:cstheme="minorBidi"/>
      <w:kern w:val="2"/>
      <w:sz w:val="21"/>
      <w:szCs w:val="22"/>
      <w:lang w:val="en-US" w:eastAsia="zh-CN" w:bidi="ar-SA"/>
    </w:rPr>
  </w:style>
  <w:style w:type="character" w:customStyle="1" w:styleId="449">
    <w:name w:val="font51"/>
    <w:basedOn w:val="50"/>
    <w:qFormat/>
    <w:uiPriority w:val="0"/>
    <w:rPr>
      <w:rFonts w:ascii="SJQY" w:hAnsi="SJQY" w:eastAsia="SJQY" w:cs="SJQY"/>
      <w:color w:val="000000"/>
      <w:sz w:val="22"/>
      <w:szCs w:val="22"/>
      <w:u w:val="none"/>
    </w:rPr>
  </w:style>
  <w:style w:type="paragraph" w:customStyle="1" w:styleId="450">
    <w:name w:val="Table Text"/>
    <w:basedOn w:val="1"/>
    <w:semiHidden/>
    <w:qFormat/>
    <w:uiPriority w:val="0"/>
    <w:rPr>
      <w:rFonts w:ascii="宋体" w:hAnsi="宋体" w:eastAsia="宋体" w:cs="宋体"/>
      <w:sz w:val="20"/>
      <w:szCs w:val="20"/>
    </w:rPr>
  </w:style>
  <w:style w:type="table" w:customStyle="1" w:styleId="45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Pages>
  <Words>23034</Words>
  <Characters>25219</Characters>
  <Lines>218</Lines>
  <Paragraphs>61</Paragraphs>
  <TotalTime>66</TotalTime>
  <ScaleCrop>false</ScaleCrop>
  <LinksUpToDate>false</LinksUpToDate>
  <CharactersWithSpaces>26818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2021-07-07T05:26:00Z</dcterms:created>
  <dc:creator>Administrator</dc:creator>
  <cp:lastModifiedBy>13582</cp:lastModifiedBy>
  <cp:lastPrinted>2025-06-12T00:17:00Z</cp:lastPrinted>
  <dcterms:modified xsi:type="dcterms:W3CDTF">2025-08-19T01:49:18Z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B540CA1F3EE241138C3F1B54091BCD58_13</vt:lpwstr>
  </property>
  <property fmtid="{D5CDD505-2E9C-101B-9397-08002B2CF9AE}" pid="4" name="commondata">
    <vt:lpwstr>eyJoZGlkIjoiZjRhMjFiM2I5NTgzZWQyMzE4NmI3YmMwMGJhYmE0M2UifQ==</vt:lpwstr>
  </property>
  <property fmtid="{D5CDD505-2E9C-101B-9397-08002B2CF9AE}" pid="5" name="KSOTemplateDocerSaveRecord">
    <vt:lpwstr>eyJoZGlkIjoiMzEwNTM5NzYwMDRjMzkwZTVkZjY2ODkwMGIxNGU0OTUiLCJ1c2VySWQiOiI1Mjg5MTc2MTIifQ==</vt:lpwstr>
  </property>
</Properties>
</file>