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210C5">
      <w:pPr>
        <w:jc w:val="center"/>
        <w:rPr>
          <w:rFonts w:hint="eastAsia" w:cs="Times New Roman" w:asciiTheme="minorEastAsia" w:hAnsiTheme="minorEastAsia" w:eastAsiaTheme="minorEastAsia"/>
          <w:bCs/>
          <w:color w:val="000000" w:themeColor="text1"/>
          <w:sz w:val="32"/>
          <w:szCs w:val="32"/>
          <w:highlight w:val="none"/>
          <w:lang w:eastAsia="zh-CN"/>
          <w14:textFill>
            <w14:solidFill>
              <w14:schemeClr w14:val="tx1"/>
            </w14:solidFill>
          </w14:textFill>
        </w:rPr>
      </w:pPr>
      <w:bookmarkStart w:id="43" w:name="_GoBack"/>
      <w:bookmarkEnd w:id="43"/>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湖滨区乡镇集中式饮用水水资源保护区环境状况</w:t>
      </w: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调查、勘界、立标项目</w:t>
      </w:r>
    </w:p>
    <w:p w14:paraId="65426007">
      <w:pPr>
        <w:jc w:val="center"/>
        <w:rPr>
          <w:rFonts w:hint="eastAsia" w:cs="Times New Roman" w:asciiTheme="minorEastAsia" w:hAnsiTheme="minorEastAsia"/>
          <w:bCs/>
          <w:color w:val="000000" w:themeColor="text1"/>
          <w:sz w:val="32"/>
          <w:szCs w:val="32"/>
          <w:highlight w:val="none"/>
          <w14:textFill>
            <w14:solidFill>
              <w14:schemeClr w14:val="tx1"/>
            </w14:solidFill>
          </w14:textFill>
        </w:rPr>
      </w:pPr>
    </w:p>
    <w:p w14:paraId="41854CE1">
      <w:pPr>
        <w:jc w:val="center"/>
        <w:rPr>
          <w:rFonts w:hint="eastAsia" w:cs="Times New Roman" w:asciiTheme="minorEastAsia" w:hAnsiTheme="minorEastAsia"/>
          <w:bCs/>
          <w:color w:val="000000" w:themeColor="text1"/>
          <w:sz w:val="32"/>
          <w:szCs w:val="32"/>
          <w:highlight w:val="none"/>
          <w14:textFill>
            <w14:solidFill>
              <w14:schemeClr w14:val="tx1"/>
            </w14:solidFill>
          </w14:textFill>
        </w:rPr>
      </w:pPr>
      <w:r>
        <w:rPr>
          <w:rFonts w:hint="eastAsia" w:cs="Times New Roman" w:asciiTheme="minorEastAsia" w:hAnsiTheme="minorEastAsia"/>
          <w:bCs/>
          <w:color w:val="000000" w:themeColor="text1"/>
          <w:sz w:val="32"/>
          <w:szCs w:val="32"/>
          <w:highlight w:val="none"/>
          <w14:textFill>
            <w14:solidFill>
              <w14:schemeClr w14:val="tx1"/>
            </w14:solidFill>
          </w14:textFill>
        </w:rPr>
        <w:t>竞争性磋商文件</w:t>
      </w:r>
    </w:p>
    <w:p w14:paraId="5EDFFC6A">
      <w:pPr>
        <w:ind w:firstLine="2880" w:firstLineChars="900"/>
        <w:rPr>
          <w:rFonts w:hint="eastAsia" w:cs="Times New Roman" w:asciiTheme="minorEastAsia" w:hAnsiTheme="minorEastAsia"/>
          <w:color w:val="000000" w:themeColor="text1"/>
          <w:sz w:val="32"/>
          <w:szCs w:val="32"/>
          <w:highlight w:val="none"/>
          <w14:textFill>
            <w14:solidFill>
              <w14:schemeClr w14:val="tx1"/>
            </w14:solidFill>
          </w14:textFill>
        </w:rPr>
      </w:pPr>
    </w:p>
    <w:p w14:paraId="410CE2D6">
      <w:pPr>
        <w:jc w:val="cente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项目编号：湖滨竞磋采购-2025-30</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w:t>
      </w:r>
    </w:p>
    <w:p w14:paraId="54A394F3">
      <w:pPr>
        <w:jc w:val="center"/>
        <w:rPr>
          <w:rFonts w:hint="default" w:cs="Times New Roman" w:asciiTheme="minorEastAsia" w:hAnsiTheme="minorEastAsia"/>
          <w:color w:val="000000" w:themeColor="text1"/>
          <w:sz w:val="32"/>
          <w:szCs w:val="32"/>
          <w:highlight w:val="none"/>
          <w:lang w:val="en-US"/>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       SGZ[2025]508-ZC333</w:t>
      </w:r>
    </w:p>
    <w:p w14:paraId="43CEDF4D">
      <w:pPr>
        <w:jc w:val="center"/>
        <w:rPr>
          <w:rFonts w:hint="eastAsia" w:cs="Times New Roman" w:asciiTheme="minorEastAsia" w:hAnsiTheme="minorEastAsia"/>
          <w:bCs/>
          <w:color w:val="000000" w:themeColor="text1"/>
          <w:sz w:val="32"/>
          <w:szCs w:val="32"/>
          <w:highlight w:val="none"/>
          <w14:textFill>
            <w14:solidFill>
              <w14:schemeClr w14:val="tx1"/>
            </w14:solidFill>
          </w14:textFill>
        </w:rPr>
      </w:pPr>
    </w:p>
    <w:p w14:paraId="3EC42F38">
      <w:pPr>
        <w:jc w:val="center"/>
        <w:rPr>
          <w:rFonts w:hint="eastAsia"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drawing>
          <wp:inline distT="0" distB="0" distL="114300" distR="114300">
            <wp:extent cx="2018665" cy="1800860"/>
            <wp:effectExtent l="0" t="0" r="635" b="889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8"/>
                    <a:stretch>
                      <a:fillRect/>
                    </a:stretch>
                  </pic:blipFill>
                  <pic:spPr>
                    <a:xfrm>
                      <a:off x="0" y="0"/>
                      <a:ext cx="2018665" cy="1800860"/>
                    </a:xfrm>
                    <a:prstGeom prst="rect">
                      <a:avLst/>
                    </a:prstGeom>
                  </pic:spPr>
                </pic:pic>
              </a:graphicData>
            </a:graphic>
          </wp:inline>
        </w:drawing>
      </w:r>
    </w:p>
    <w:p w14:paraId="3B2C3027">
      <w:pPr>
        <w:jc w:val="center"/>
        <w:rPr>
          <w:rFonts w:hint="eastAsia" w:cs="Times New Roman" w:asciiTheme="minorEastAsia" w:hAnsiTheme="minorEastAsia"/>
          <w:color w:val="000000" w:themeColor="text1"/>
          <w:sz w:val="32"/>
          <w:szCs w:val="32"/>
          <w:highlight w:val="none"/>
          <w14:textFill>
            <w14:solidFill>
              <w14:schemeClr w14:val="tx1"/>
            </w14:solidFill>
          </w14:textFill>
        </w:rPr>
      </w:pPr>
    </w:p>
    <w:p w14:paraId="5B2BCB63">
      <w:pPr>
        <w:jc w:val="center"/>
        <w:rPr>
          <w:rFonts w:hint="eastAsia" w:cs="Times New Roman" w:asciiTheme="minorEastAsia" w:hAnsiTheme="minorEastAsia"/>
          <w:color w:val="000000" w:themeColor="text1"/>
          <w:sz w:val="32"/>
          <w:szCs w:val="32"/>
          <w:highlight w:val="none"/>
          <w14:textFill>
            <w14:solidFill>
              <w14:schemeClr w14:val="tx1"/>
            </w14:solidFill>
          </w14:textFill>
        </w:rPr>
      </w:pPr>
    </w:p>
    <w:p w14:paraId="441D5938">
      <w:pPr>
        <w:rPr>
          <w:rFonts w:hint="eastAsia" w:cs="Times New Roman" w:asciiTheme="minorEastAsia" w:hAnsiTheme="minorEastAsia"/>
          <w:color w:val="000000" w:themeColor="text1"/>
          <w:sz w:val="32"/>
          <w:szCs w:val="32"/>
          <w:highlight w:val="none"/>
          <w14:textFill>
            <w14:solidFill>
              <w14:schemeClr w14:val="tx1"/>
            </w14:solidFill>
          </w14:textFill>
        </w:rPr>
      </w:pPr>
    </w:p>
    <w:p w14:paraId="6F9639DF">
      <w:pPr>
        <w:rPr>
          <w:rFonts w:hint="eastAsia" w:cs="Times New Roman" w:asciiTheme="minorEastAsia" w:hAnsiTheme="minorEastAsia"/>
          <w:color w:val="000000" w:themeColor="text1"/>
          <w:sz w:val="32"/>
          <w:szCs w:val="32"/>
          <w:highlight w:val="none"/>
          <w14:textFill>
            <w14:solidFill>
              <w14:schemeClr w14:val="tx1"/>
            </w14:solidFill>
          </w14:textFill>
        </w:rPr>
      </w:pPr>
    </w:p>
    <w:p w14:paraId="31DB2DE7">
      <w:pPr>
        <w:rPr>
          <w:rFonts w:hint="eastAsia" w:cs="Times New Roman" w:asciiTheme="minorEastAsia" w:hAnsiTheme="minorEastAsia"/>
          <w:color w:val="000000" w:themeColor="text1"/>
          <w:sz w:val="32"/>
          <w:szCs w:val="32"/>
          <w:highlight w:val="none"/>
          <w14:textFill>
            <w14:solidFill>
              <w14:schemeClr w14:val="tx1"/>
            </w14:solidFill>
          </w14:textFill>
        </w:rPr>
      </w:pPr>
    </w:p>
    <w:p w14:paraId="44CD36B9">
      <w:pPr>
        <w:ind w:firstLine="1600" w:firstLineChars="500"/>
        <w:jc w:val="both"/>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pP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采</w:t>
      </w: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购</w:t>
      </w: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人：三门峡市湖滨区水利局</w:t>
      </w:r>
    </w:p>
    <w:p w14:paraId="03C5C2BE">
      <w:pPr>
        <w:jc w:val="cente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pP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代理机构：河南洲禾建设工程有限公司</w:t>
      </w:r>
    </w:p>
    <w:p w14:paraId="5D4AEBDF">
      <w:pPr>
        <w:ind w:firstLine="1600" w:firstLineChars="500"/>
        <w:jc w:val="both"/>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pP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 xml:space="preserve">日 </w:t>
      </w: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期：二零二五年</w:t>
      </w:r>
      <w:r>
        <w:rPr>
          <w:rFonts w:hint="eastAsia" w:cs="Times New Roman" w:asciiTheme="minorEastAsia" w:hAnsiTheme="minorEastAsia"/>
          <w:bCs/>
          <w:color w:val="000000" w:themeColor="text1"/>
          <w:sz w:val="32"/>
          <w:szCs w:val="32"/>
          <w:highlight w:val="none"/>
          <w:lang w:val="en-US" w:eastAsia="zh-CN"/>
          <w14:textFill>
            <w14:solidFill>
              <w14:schemeClr w14:val="tx1"/>
            </w14:solidFill>
          </w14:textFill>
        </w:rPr>
        <w:t>十一</w:t>
      </w:r>
      <w:r>
        <w:rPr>
          <w:rFonts w:hint="eastAsia" w:cs="Times New Roman" w:asciiTheme="minorEastAsia" w:hAnsiTheme="minorEastAsia"/>
          <w:bCs/>
          <w:color w:val="000000" w:themeColor="text1"/>
          <w:sz w:val="32"/>
          <w:szCs w:val="32"/>
          <w:highlight w:val="none"/>
          <w:lang w:eastAsia="zh-CN"/>
          <w14:textFill>
            <w14:solidFill>
              <w14:schemeClr w14:val="tx1"/>
            </w14:solidFill>
          </w14:textFill>
        </w:rPr>
        <w:t>月</w:t>
      </w:r>
    </w:p>
    <w:p w14:paraId="23E679BC">
      <w:pPr>
        <w:jc w:val="center"/>
        <w:rPr>
          <w:rFonts w:hint="eastAsia" w:cs="Times New Roman" w:asciiTheme="minorEastAsia" w:hAnsiTheme="minorEastAsia"/>
          <w:b/>
          <w:color w:val="000000" w:themeColor="text1"/>
          <w:sz w:val="32"/>
          <w:szCs w:val="32"/>
          <w:highlight w:val="none"/>
          <w14:textFill>
            <w14:solidFill>
              <w14:schemeClr w14:val="tx1"/>
            </w14:solidFill>
          </w14:textFill>
        </w:rPr>
      </w:pPr>
    </w:p>
    <w:p w14:paraId="7C413383">
      <w:pPr>
        <w:jc w:val="both"/>
        <w:rPr>
          <w:rFonts w:hint="eastAsia" w:cs="Times New Roman" w:asciiTheme="minorEastAsia" w:hAnsiTheme="minorEastAsia"/>
          <w:b/>
          <w:color w:val="000000" w:themeColor="text1"/>
          <w:sz w:val="32"/>
          <w:szCs w:val="32"/>
          <w:highlight w:val="none"/>
          <w14:textFill>
            <w14:solidFill>
              <w14:schemeClr w14:val="tx1"/>
            </w14:solidFill>
          </w14:textFill>
        </w:rPr>
        <w:sectPr>
          <w:headerReference r:id="rId3" w:type="default"/>
          <w:pgSz w:w="11906" w:h="16838"/>
          <w:pgMar w:top="1440" w:right="1800" w:bottom="1440" w:left="1800" w:header="851" w:footer="992" w:gutter="0"/>
          <w:cols w:space="425" w:num="1"/>
          <w:docGrid w:type="lines" w:linePitch="312" w:charSpace="0"/>
        </w:sectPr>
      </w:pPr>
    </w:p>
    <w:p w14:paraId="22CA4FA9">
      <w:pPr>
        <w:jc w:val="center"/>
        <w:rPr>
          <w:rFonts w:hint="eastAsia" w:cs="Times New Roman" w:asciiTheme="minorEastAsia" w:hAnsiTheme="minorEastAsia"/>
          <w:b/>
          <w:color w:val="000000" w:themeColor="text1"/>
          <w:sz w:val="24"/>
          <w:szCs w:val="24"/>
          <w:highlight w:val="none"/>
          <w14:textFill>
            <w14:solidFill>
              <w14:schemeClr w14:val="tx1"/>
            </w14:solidFill>
          </w14:textFill>
        </w:rPr>
      </w:pPr>
      <w:r>
        <w:rPr>
          <w:rFonts w:hint="eastAsia" w:cs="Times New Roman" w:asciiTheme="minorEastAsia" w:hAnsiTheme="minorEastAsia"/>
          <w:b/>
          <w:color w:val="000000" w:themeColor="text1"/>
          <w:sz w:val="24"/>
          <w:szCs w:val="24"/>
          <w:highlight w:val="none"/>
          <w14:textFill>
            <w14:solidFill>
              <w14:schemeClr w14:val="tx1"/>
            </w14:solidFill>
          </w14:textFill>
        </w:rPr>
        <w:t>目  录</w:t>
      </w:r>
    </w:p>
    <w:p w14:paraId="399A72DF">
      <w:pPr>
        <w:tabs>
          <w:tab w:val="right" w:leader="dot" w:pos="9071"/>
        </w:tabs>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bCs/>
          <w:color w:val="000000" w:themeColor="text1"/>
          <w:kern w:val="0"/>
          <w:sz w:val="24"/>
          <w:szCs w:val="24"/>
          <w:highlight w:val="none"/>
          <w14:textFill>
            <w14:solidFill>
              <w14:schemeClr w14:val="tx1"/>
            </w14:solidFill>
          </w14:textFill>
        </w:rPr>
        <w:fldChar w:fldCharType="begin"/>
      </w:r>
      <w:r>
        <w:rPr>
          <w:rFonts w:asciiTheme="minorEastAsia" w:hAnsiTheme="minorEastAsia"/>
          <w:bCs/>
          <w:color w:val="000000" w:themeColor="text1"/>
          <w:kern w:val="0"/>
          <w:sz w:val="24"/>
          <w:szCs w:val="24"/>
          <w:highlight w:val="none"/>
          <w14:textFill>
            <w14:solidFill>
              <w14:schemeClr w14:val="tx1"/>
            </w14:solidFill>
          </w14:textFill>
        </w:rPr>
        <w:instrText xml:space="preserve"> TOC \o "1-2" \h \z \u </w:instrText>
      </w:r>
      <w:r>
        <w:rPr>
          <w:rFonts w:asciiTheme="minorEastAsia" w:hAnsiTheme="minorEastAsia"/>
          <w:bCs/>
          <w:color w:val="000000" w:themeColor="text1"/>
          <w:kern w:val="0"/>
          <w:sz w:val="24"/>
          <w:szCs w:val="24"/>
          <w:highlight w:val="none"/>
          <w14:textFill>
            <w14:solidFill>
              <w14:schemeClr w14:val="tx1"/>
            </w14:solidFill>
          </w14:textFill>
        </w:rPr>
        <w:fldChar w:fldCharType="separate"/>
      </w:r>
      <w:r>
        <w:rPr>
          <w:sz w:val="24"/>
          <w:szCs w:val="24"/>
          <w:highlight w:val="none"/>
        </w:rPr>
        <w:fldChar w:fldCharType="begin"/>
      </w:r>
      <w:r>
        <w:rPr>
          <w:sz w:val="24"/>
          <w:szCs w:val="24"/>
          <w:highlight w:val="none"/>
        </w:rPr>
        <w:instrText xml:space="preserve"> HYPERLINK \l "_Toc518571700" </w:instrText>
      </w:r>
      <w:r>
        <w:rPr>
          <w:sz w:val="24"/>
          <w:szCs w:val="24"/>
          <w:highlight w:val="none"/>
        </w:rPr>
        <w:fldChar w:fldCharType="separate"/>
      </w:r>
      <w:r>
        <w:rPr>
          <w:rFonts w:hint="eastAsia" w:asciiTheme="minorEastAsia" w:hAnsiTheme="minorEastAsia"/>
          <w:bCs/>
          <w:color w:val="000000" w:themeColor="text1"/>
          <w:sz w:val="24"/>
          <w:szCs w:val="24"/>
          <w:highlight w:val="none"/>
          <w14:textFill>
            <w14:solidFill>
              <w14:schemeClr w14:val="tx1"/>
            </w14:solidFill>
          </w14:textFill>
        </w:rPr>
        <w:t>第一章  竞争性磋商公告</w:t>
      </w:r>
      <w:r>
        <w:rPr>
          <w:rFonts w:asciiTheme="minorEastAsia" w:hAnsiTheme="minorEastAsia"/>
          <w:bCs/>
          <w:color w:val="000000" w:themeColor="text1"/>
          <w:sz w:val="24"/>
          <w:szCs w:val="24"/>
          <w:highlight w:val="none"/>
          <w14:textFill>
            <w14:solidFill>
              <w14:schemeClr w14:val="tx1"/>
            </w14:solidFill>
          </w14:textFill>
        </w:rPr>
        <w:tab/>
      </w:r>
      <w:r>
        <w:rPr>
          <w:rFonts w:hint="eastAsia" w:asciiTheme="minorEastAsia" w:hAnsiTheme="minorEastAsia"/>
          <w:bCs/>
          <w:color w:val="000000" w:themeColor="text1"/>
          <w:sz w:val="24"/>
          <w:szCs w:val="24"/>
          <w:highlight w:val="none"/>
          <w14:textFill>
            <w14:solidFill>
              <w14:schemeClr w14:val="tx1"/>
            </w14:solidFill>
          </w14:textFill>
        </w:rPr>
        <w:t>2</w:t>
      </w:r>
      <w:r>
        <w:rPr>
          <w:rFonts w:hint="eastAsia" w:asciiTheme="minorEastAsia" w:hAnsiTheme="minorEastAsia"/>
          <w:bCs/>
          <w:color w:val="000000" w:themeColor="text1"/>
          <w:sz w:val="24"/>
          <w:szCs w:val="24"/>
          <w:highlight w:val="none"/>
          <w14:textFill>
            <w14:solidFill>
              <w14:schemeClr w14:val="tx1"/>
            </w14:solidFill>
          </w14:textFill>
        </w:rPr>
        <w:fldChar w:fldCharType="end"/>
      </w:r>
    </w:p>
    <w:p w14:paraId="2DD46F17">
      <w:pPr>
        <w:tabs>
          <w:tab w:val="right" w:leader="dot" w:pos="9071"/>
        </w:tabs>
        <w:spacing w:line="360" w:lineRule="auto"/>
        <w:rPr>
          <w:rFonts w:hint="eastAsia" w:asciiTheme="minorEastAsia" w:hAnsiTheme="minorEastAsia"/>
          <w:color w:val="000000" w:themeColor="text1"/>
          <w:sz w:val="24"/>
          <w:szCs w:val="24"/>
          <w:highlight w:val="none"/>
          <w14:textFill>
            <w14:solidFill>
              <w14:schemeClr w14:val="tx1"/>
            </w14:solidFill>
          </w14:textFill>
        </w:rPr>
      </w:pPr>
      <w:r>
        <w:rPr>
          <w:sz w:val="24"/>
          <w:szCs w:val="24"/>
          <w:highlight w:val="none"/>
        </w:rPr>
        <w:fldChar w:fldCharType="begin"/>
      </w:r>
      <w:r>
        <w:rPr>
          <w:sz w:val="24"/>
          <w:szCs w:val="24"/>
          <w:highlight w:val="none"/>
        </w:rPr>
        <w:instrText xml:space="preserve"> HYPERLINK \l "_Toc518571701" </w:instrText>
      </w:r>
      <w:r>
        <w:rPr>
          <w:sz w:val="24"/>
          <w:szCs w:val="24"/>
          <w:highlight w:val="none"/>
        </w:rPr>
        <w:fldChar w:fldCharType="separate"/>
      </w:r>
      <w:r>
        <w:rPr>
          <w:rFonts w:hint="eastAsia" w:asciiTheme="minorEastAsia" w:hAnsiTheme="minorEastAsia"/>
          <w:bCs/>
          <w:color w:val="000000" w:themeColor="text1"/>
          <w:sz w:val="24"/>
          <w:szCs w:val="24"/>
          <w:highlight w:val="none"/>
          <w14:textFill>
            <w14:solidFill>
              <w14:schemeClr w14:val="tx1"/>
            </w14:solidFill>
          </w14:textFill>
        </w:rPr>
        <w:t>第二章  供应商须知</w:t>
      </w:r>
      <w:r>
        <w:rPr>
          <w:rFonts w:asciiTheme="minorEastAsia" w:hAnsiTheme="minorEastAsia"/>
          <w:bCs/>
          <w:color w:val="000000" w:themeColor="text1"/>
          <w:sz w:val="24"/>
          <w:szCs w:val="24"/>
          <w:highlight w:val="none"/>
          <w14:textFill>
            <w14:solidFill>
              <w14:schemeClr w14:val="tx1"/>
            </w14:solidFill>
          </w14:textFill>
        </w:rPr>
        <w:tab/>
      </w:r>
      <w:r>
        <w:rPr>
          <w:rFonts w:hint="eastAsia" w:asciiTheme="minorEastAsia" w:hAnsiTheme="minorEastAsia"/>
          <w:bCs/>
          <w:color w:val="000000" w:themeColor="text1"/>
          <w:sz w:val="24"/>
          <w:szCs w:val="24"/>
          <w:highlight w:val="none"/>
          <w:lang w:val="en-US" w:eastAsia="zh-CN"/>
          <w14:textFill>
            <w14:solidFill>
              <w14:schemeClr w14:val="tx1"/>
            </w14:solidFill>
          </w14:textFill>
        </w:rPr>
        <w:t>6</w:t>
      </w:r>
      <w:r>
        <w:rPr>
          <w:rFonts w:hint="eastAsia" w:asciiTheme="minorEastAsia" w:hAnsiTheme="minorEastAsia"/>
          <w:bCs/>
          <w:color w:val="000000" w:themeColor="text1"/>
          <w:sz w:val="24"/>
          <w:szCs w:val="24"/>
          <w:highlight w:val="none"/>
          <w14:textFill>
            <w14:solidFill>
              <w14:schemeClr w14:val="tx1"/>
            </w14:solidFill>
          </w14:textFill>
        </w:rPr>
        <w:fldChar w:fldCharType="end"/>
      </w:r>
    </w:p>
    <w:p w14:paraId="498A5698">
      <w:pPr>
        <w:tabs>
          <w:tab w:val="right" w:leader="dot" w:pos="9071"/>
        </w:tabs>
        <w:spacing w:line="360" w:lineRule="auto"/>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sz w:val="24"/>
          <w:szCs w:val="24"/>
          <w:highlight w:val="none"/>
        </w:rPr>
        <w:fldChar w:fldCharType="begin"/>
      </w:r>
      <w:r>
        <w:rPr>
          <w:sz w:val="24"/>
          <w:szCs w:val="24"/>
          <w:highlight w:val="none"/>
        </w:rPr>
        <w:instrText xml:space="preserve"> HYPERLINK \l "_Toc518571710" </w:instrText>
      </w:r>
      <w:r>
        <w:rPr>
          <w:sz w:val="24"/>
          <w:szCs w:val="24"/>
          <w:highlight w:val="none"/>
        </w:rPr>
        <w:fldChar w:fldCharType="separate"/>
      </w:r>
      <w:r>
        <w:rPr>
          <w:rFonts w:hint="eastAsia" w:cs="宋体" w:asciiTheme="minorEastAsia" w:hAnsiTheme="minorEastAsia"/>
          <w:bCs/>
          <w:color w:val="000000" w:themeColor="text1"/>
          <w:spacing w:val="-4"/>
          <w:sz w:val="24"/>
          <w:szCs w:val="24"/>
          <w:highlight w:val="none"/>
          <w14:textFill>
            <w14:solidFill>
              <w14:schemeClr w14:val="tx1"/>
            </w14:solidFill>
          </w14:textFill>
        </w:rPr>
        <w:t>第三章  服务需求</w:t>
      </w:r>
      <w:r>
        <w:rPr>
          <w:rFonts w:asciiTheme="minorEastAsia" w:hAnsiTheme="minorEastAsia"/>
          <w:bCs/>
          <w:color w:val="000000" w:themeColor="text1"/>
          <w:sz w:val="24"/>
          <w:szCs w:val="24"/>
          <w:highlight w:val="none"/>
          <w14:textFill>
            <w14:solidFill>
              <w14:schemeClr w14:val="tx1"/>
            </w14:solidFill>
          </w14:textFill>
        </w:rPr>
        <w:tab/>
      </w:r>
      <w:r>
        <w:rPr>
          <w:rFonts w:hint="eastAsia" w:asciiTheme="minorEastAsia" w:hAnsiTheme="minorEastAsia"/>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bCs/>
          <w:color w:val="000000" w:themeColor="text1"/>
          <w:sz w:val="24"/>
          <w:szCs w:val="24"/>
          <w:highlight w:val="none"/>
          <w14:textFill>
            <w14:solidFill>
              <w14:schemeClr w14:val="tx1"/>
            </w14:solidFill>
          </w14:textFill>
        </w:rPr>
        <w:fldChar w:fldCharType="end"/>
      </w:r>
      <w:r>
        <w:rPr>
          <w:rFonts w:hint="eastAsia" w:asciiTheme="minorEastAsia" w:hAnsiTheme="minorEastAsia"/>
          <w:bCs/>
          <w:color w:val="000000" w:themeColor="text1"/>
          <w:sz w:val="24"/>
          <w:szCs w:val="24"/>
          <w:highlight w:val="none"/>
          <w:lang w:val="en-US" w:eastAsia="zh-CN"/>
          <w14:textFill>
            <w14:solidFill>
              <w14:schemeClr w14:val="tx1"/>
            </w14:solidFill>
          </w14:textFill>
        </w:rPr>
        <w:t>1</w:t>
      </w:r>
    </w:p>
    <w:p w14:paraId="52D83D52">
      <w:pPr>
        <w:tabs>
          <w:tab w:val="right" w:leader="dot" w:pos="9071"/>
        </w:tabs>
        <w:spacing w:line="360" w:lineRule="auto"/>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sz w:val="24"/>
          <w:szCs w:val="24"/>
          <w:highlight w:val="none"/>
        </w:rPr>
        <w:fldChar w:fldCharType="begin"/>
      </w:r>
      <w:r>
        <w:rPr>
          <w:sz w:val="24"/>
          <w:szCs w:val="24"/>
          <w:highlight w:val="none"/>
        </w:rPr>
        <w:instrText xml:space="preserve"> HYPERLINK \l "_Toc518571711" </w:instrText>
      </w:r>
      <w:r>
        <w:rPr>
          <w:sz w:val="24"/>
          <w:szCs w:val="24"/>
          <w:highlight w:val="none"/>
        </w:rPr>
        <w:fldChar w:fldCharType="separate"/>
      </w:r>
      <w:r>
        <w:rPr>
          <w:rFonts w:hint="eastAsia" w:asciiTheme="minorEastAsia" w:hAnsiTheme="minorEastAsia"/>
          <w:bCs/>
          <w:color w:val="000000" w:themeColor="text1"/>
          <w:sz w:val="24"/>
          <w:szCs w:val="24"/>
          <w:highlight w:val="none"/>
          <w14:textFill>
            <w14:solidFill>
              <w14:schemeClr w14:val="tx1"/>
            </w14:solidFill>
          </w14:textFill>
        </w:rPr>
        <w:t>第四章  合同条款及合同文件格式</w:t>
      </w:r>
      <w:r>
        <w:rPr>
          <w:rFonts w:asciiTheme="minorEastAsia" w:hAnsiTheme="minorEastAsia"/>
          <w:bCs/>
          <w:color w:val="000000" w:themeColor="text1"/>
          <w:sz w:val="24"/>
          <w:szCs w:val="24"/>
          <w:highlight w:val="none"/>
          <w14:textFill>
            <w14:solidFill>
              <w14:schemeClr w14:val="tx1"/>
            </w14:solidFill>
          </w14:textFill>
        </w:rPr>
        <w:tab/>
      </w:r>
      <w:r>
        <w:rPr>
          <w:rFonts w:hint="eastAsia" w:asciiTheme="minorEastAsia" w:hAnsiTheme="minorEastAsia"/>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bCs/>
          <w:color w:val="000000" w:themeColor="text1"/>
          <w:sz w:val="24"/>
          <w:szCs w:val="24"/>
          <w:highlight w:val="none"/>
          <w14:textFill>
            <w14:solidFill>
              <w14:schemeClr w14:val="tx1"/>
            </w14:solidFill>
          </w14:textFill>
        </w:rPr>
        <w:fldChar w:fldCharType="end"/>
      </w:r>
      <w:r>
        <w:rPr>
          <w:rFonts w:hint="eastAsia" w:asciiTheme="minorEastAsia" w:hAnsiTheme="minorEastAsia"/>
          <w:bCs/>
          <w:color w:val="000000" w:themeColor="text1"/>
          <w:sz w:val="24"/>
          <w:szCs w:val="24"/>
          <w:highlight w:val="none"/>
          <w:lang w:val="en-US" w:eastAsia="zh-CN"/>
          <w14:textFill>
            <w14:solidFill>
              <w14:schemeClr w14:val="tx1"/>
            </w14:solidFill>
          </w14:textFill>
        </w:rPr>
        <w:t>4</w:t>
      </w:r>
    </w:p>
    <w:p w14:paraId="39B69E83">
      <w:pPr>
        <w:tabs>
          <w:tab w:val="right" w:leader="dot" w:pos="9071"/>
        </w:tabs>
        <w:spacing w:line="360" w:lineRule="auto"/>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sz w:val="24"/>
          <w:szCs w:val="24"/>
          <w:highlight w:val="none"/>
        </w:rPr>
        <w:fldChar w:fldCharType="begin"/>
      </w:r>
      <w:r>
        <w:rPr>
          <w:sz w:val="24"/>
          <w:szCs w:val="24"/>
          <w:highlight w:val="none"/>
        </w:rPr>
        <w:instrText xml:space="preserve"> HYPERLINK \l "_Toc518571712" </w:instrText>
      </w:r>
      <w:r>
        <w:rPr>
          <w:sz w:val="24"/>
          <w:szCs w:val="24"/>
          <w:highlight w:val="none"/>
        </w:rPr>
        <w:fldChar w:fldCharType="separate"/>
      </w:r>
      <w:r>
        <w:rPr>
          <w:rFonts w:hint="eastAsia" w:asciiTheme="minorEastAsia" w:hAnsiTheme="minorEastAsia"/>
          <w:bCs/>
          <w:color w:val="000000" w:themeColor="text1"/>
          <w:sz w:val="24"/>
          <w:szCs w:val="24"/>
          <w:highlight w:val="none"/>
          <w14:textFill>
            <w14:solidFill>
              <w14:schemeClr w14:val="tx1"/>
            </w14:solidFill>
          </w14:textFill>
        </w:rPr>
        <w:t xml:space="preserve">第五章  </w:t>
      </w:r>
      <w:r>
        <w:rPr>
          <w:rFonts w:hint="eastAsia" w:cs="宋体" w:asciiTheme="minorEastAsia" w:hAnsiTheme="minorEastAsia"/>
          <w:bCs/>
          <w:color w:val="000000" w:themeColor="text1"/>
          <w:sz w:val="24"/>
          <w:szCs w:val="24"/>
          <w:highlight w:val="none"/>
          <w14:textFill>
            <w14:solidFill>
              <w14:schemeClr w14:val="tx1"/>
            </w14:solidFill>
          </w14:textFill>
        </w:rPr>
        <w:t>评审标准</w:t>
      </w:r>
      <w:r>
        <w:rPr>
          <w:rFonts w:asciiTheme="minorEastAsia" w:hAnsiTheme="minorEastAsia"/>
          <w:bCs/>
          <w:color w:val="000000" w:themeColor="text1"/>
          <w:sz w:val="24"/>
          <w:szCs w:val="24"/>
          <w:highlight w:val="none"/>
          <w14:textFill>
            <w14:solidFill>
              <w14:schemeClr w14:val="tx1"/>
            </w14:solidFill>
          </w14:textFill>
        </w:rPr>
        <w:tab/>
      </w:r>
      <w:r>
        <w:rPr>
          <w:rFonts w:hint="eastAsia" w:asciiTheme="minorEastAsia" w:hAnsiTheme="minorEastAsia"/>
          <w:bCs/>
          <w:color w:val="000000" w:themeColor="text1"/>
          <w:sz w:val="24"/>
          <w:szCs w:val="24"/>
          <w:highlight w:val="none"/>
          <w:lang w:val="en-US" w:eastAsia="zh-CN"/>
          <w14:textFill>
            <w14:solidFill>
              <w14:schemeClr w14:val="tx1"/>
            </w14:solidFill>
          </w14:textFill>
        </w:rPr>
        <w:t>2</w:t>
      </w:r>
      <w:r>
        <w:rPr>
          <w:rFonts w:hint="eastAsia" w:asciiTheme="minorEastAsia" w:hAnsiTheme="minorEastAsia"/>
          <w:bCs/>
          <w:color w:val="000000" w:themeColor="text1"/>
          <w:sz w:val="24"/>
          <w:szCs w:val="24"/>
          <w:highlight w:val="none"/>
          <w14:textFill>
            <w14:solidFill>
              <w14:schemeClr w14:val="tx1"/>
            </w14:solidFill>
          </w14:textFill>
        </w:rPr>
        <w:fldChar w:fldCharType="end"/>
      </w:r>
      <w:r>
        <w:rPr>
          <w:rFonts w:hint="eastAsia" w:asciiTheme="minorEastAsia" w:hAnsiTheme="minorEastAsia"/>
          <w:bCs/>
          <w:color w:val="000000" w:themeColor="text1"/>
          <w:sz w:val="24"/>
          <w:szCs w:val="24"/>
          <w:highlight w:val="none"/>
          <w:lang w:val="en-US" w:eastAsia="zh-CN"/>
          <w14:textFill>
            <w14:solidFill>
              <w14:schemeClr w14:val="tx1"/>
            </w14:solidFill>
          </w14:textFill>
        </w:rPr>
        <w:t>5</w:t>
      </w:r>
    </w:p>
    <w:p w14:paraId="58937C9A">
      <w:pPr>
        <w:tabs>
          <w:tab w:val="right" w:leader="dot" w:pos="9071"/>
        </w:tabs>
        <w:spacing w:line="360" w:lineRule="auto"/>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pPr>
      <w:r>
        <w:rPr>
          <w:sz w:val="24"/>
          <w:szCs w:val="24"/>
          <w:highlight w:val="none"/>
        </w:rPr>
        <w:fldChar w:fldCharType="begin"/>
      </w:r>
      <w:r>
        <w:rPr>
          <w:sz w:val="24"/>
          <w:szCs w:val="24"/>
          <w:highlight w:val="none"/>
        </w:rPr>
        <w:instrText xml:space="preserve"> HYPERLINK \l "_Toc518571713" </w:instrText>
      </w:r>
      <w:r>
        <w:rPr>
          <w:sz w:val="24"/>
          <w:szCs w:val="24"/>
          <w:highlight w:val="none"/>
        </w:rPr>
        <w:fldChar w:fldCharType="separate"/>
      </w:r>
      <w:r>
        <w:rPr>
          <w:rFonts w:hint="eastAsia" w:asciiTheme="minorEastAsia" w:hAnsiTheme="minorEastAsia"/>
          <w:bCs/>
          <w:color w:val="000000" w:themeColor="text1"/>
          <w:sz w:val="24"/>
          <w:szCs w:val="24"/>
          <w:highlight w:val="none"/>
          <w14:textFill>
            <w14:solidFill>
              <w14:schemeClr w14:val="tx1"/>
            </w14:solidFill>
          </w14:textFill>
        </w:rPr>
        <w:t>第六章  磋商文件格式</w:t>
      </w:r>
      <w:r>
        <w:rPr>
          <w:rFonts w:asciiTheme="minorEastAsia" w:hAnsiTheme="minorEastAsia"/>
          <w:bCs/>
          <w:color w:val="000000" w:themeColor="text1"/>
          <w:sz w:val="24"/>
          <w:szCs w:val="24"/>
          <w:highlight w:val="none"/>
          <w14:textFill>
            <w14:solidFill>
              <w14:schemeClr w14:val="tx1"/>
            </w14:solidFill>
          </w14:textFill>
        </w:rPr>
        <w:tab/>
      </w:r>
      <w:r>
        <w:rPr>
          <w:rFonts w:hint="eastAsia" w:asciiTheme="minorEastAsia" w:hAnsiTheme="minorEastAsia"/>
          <w:bCs/>
          <w:color w:val="000000" w:themeColor="text1"/>
          <w:sz w:val="24"/>
          <w:szCs w:val="24"/>
          <w:highlight w:val="none"/>
          <w:lang w:val="en-US" w:eastAsia="zh-CN"/>
          <w14:textFill>
            <w14:solidFill>
              <w14:schemeClr w14:val="tx1"/>
            </w14:solidFill>
          </w14:textFill>
        </w:rPr>
        <w:t>3</w:t>
      </w:r>
      <w:r>
        <w:rPr>
          <w:rFonts w:hint="eastAsia" w:asciiTheme="minorEastAsia" w:hAnsiTheme="minorEastAsia"/>
          <w:bCs/>
          <w:color w:val="000000" w:themeColor="text1"/>
          <w:sz w:val="24"/>
          <w:szCs w:val="24"/>
          <w:highlight w:val="none"/>
          <w14:textFill>
            <w14:solidFill>
              <w14:schemeClr w14:val="tx1"/>
            </w14:solidFill>
          </w14:textFill>
        </w:rPr>
        <w:fldChar w:fldCharType="end"/>
      </w:r>
      <w:r>
        <w:rPr>
          <w:rFonts w:hint="eastAsia" w:asciiTheme="minorEastAsia" w:hAnsiTheme="minorEastAsia"/>
          <w:bCs/>
          <w:color w:val="000000" w:themeColor="text1"/>
          <w:sz w:val="24"/>
          <w:szCs w:val="24"/>
          <w:highlight w:val="none"/>
          <w:lang w:val="en-US" w:eastAsia="zh-CN"/>
          <w14:textFill>
            <w14:solidFill>
              <w14:schemeClr w14:val="tx1"/>
            </w14:solidFill>
          </w14:textFill>
        </w:rPr>
        <w:t>1</w:t>
      </w:r>
    </w:p>
    <w:p w14:paraId="47E6D1B4">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r>
        <w:rPr>
          <w:rFonts w:asciiTheme="minorEastAsia" w:hAnsiTheme="minorEastAsia"/>
          <w:color w:val="000000" w:themeColor="text1"/>
          <w:kern w:val="0"/>
          <w:sz w:val="24"/>
          <w:szCs w:val="24"/>
          <w:highlight w:val="none"/>
          <w14:textFill>
            <w14:solidFill>
              <w14:schemeClr w14:val="tx1"/>
            </w14:solidFill>
          </w14:textFill>
        </w:rPr>
        <w:fldChar w:fldCharType="end"/>
      </w:r>
    </w:p>
    <w:p w14:paraId="4ACB53BF">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084E0136">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2F71ABCD">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15EAF2E2">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58CA2CB3">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49A03E8D">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0CFFC94F">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5D1131B7">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54750C5F">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3FE1EE26">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0E53EA1F">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r>
        <w:rPr>
          <w:rFonts w:cs="Times New Roman" w:asciiTheme="minorEastAsia" w:hAnsiTheme="minorEastAsia"/>
          <w:color w:val="000000" w:themeColor="text1"/>
          <w:kern w:val="0"/>
          <w:sz w:val="24"/>
          <w:szCs w:val="24"/>
          <w:highlight w:val="none"/>
          <w14:textFill>
            <w14:solidFill>
              <w14:schemeClr w14:val="tx1"/>
            </w14:solidFill>
          </w14:textFill>
        </w:rPr>
        <w:br w:type="textWrapping"/>
      </w:r>
    </w:p>
    <w:p w14:paraId="6AB37AC0">
      <w:pPr>
        <w:pStyle w:val="3"/>
        <w:rPr>
          <w:rFonts w:hint="eastAsia" w:asciiTheme="minorEastAsia" w:hAnsiTheme="minorEastAsia" w:eastAsiaTheme="minorEastAsia"/>
          <w:color w:val="000000" w:themeColor="text1"/>
          <w:sz w:val="24"/>
          <w:szCs w:val="24"/>
          <w:highlight w:val="none"/>
          <w14:textFill>
            <w14:solidFill>
              <w14:schemeClr w14:val="tx1"/>
            </w14:solidFill>
          </w14:textFill>
        </w:rPr>
      </w:pPr>
    </w:p>
    <w:p w14:paraId="396E1F40">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15425D59">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66191090">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44F78F44">
      <w:pPr>
        <w:spacing w:line="520" w:lineRule="exact"/>
        <w:rPr>
          <w:rFonts w:hint="eastAsia" w:cs="Times New Roman" w:asciiTheme="minorEastAsia" w:hAnsiTheme="minorEastAsia"/>
          <w:color w:val="000000" w:themeColor="text1"/>
          <w:kern w:val="0"/>
          <w:sz w:val="24"/>
          <w:szCs w:val="24"/>
          <w:highlight w:val="none"/>
          <w14:textFill>
            <w14:solidFill>
              <w14:schemeClr w14:val="tx1"/>
            </w14:solidFill>
          </w14:textFill>
        </w:rPr>
      </w:pPr>
    </w:p>
    <w:p w14:paraId="0402E35C">
      <w:pPr>
        <w:rPr>
          <w:rFonts w:hint="eastAsia" w:cs="宋体" w:asciiTheme="minorEastAsia" w:hAnsiTheme="minorEastAsia"/>
          <w:b/>
          <w:bCs/>
          <w:color w:val="000000" w:themeColor="text1"/>
          <w:kern w:val="0"/>
          <w:sz w:val="24"/>
          <w:szCs w:val="24"/>
          <w:highlight w:val="none"/>
          <w14:textFill>
            <w14:solidFill>
              <w14:schemeClr w14:val="tx1"/>
            </w14:solidFill>
          </w14:textFill>
        </w:rPr>
      </w:pPr>
      <w:bookmarkStart w:id="0" w:name="_Toc109675032"/>
      <w:r>
        <w:rPr>
          <w:rFonts w:hint="eastAsia" w:cs="宋体" w:asciiTheme="minorEastAsia" w:hAnsiTheme="minorEastAsia"/>
          <w:b/>
          <w:bCs/>
          <w:color w:val="000000" w:themeColor="text1"/>
          <w:kern w:val="0"/>
          <w:sz w:val="24"/>
          <w:szCs w:val="24"/>
          <w:highlight w:val="none"/>
          <w:lang w:val="en-US" w:eastAsia="zh-CN"/>
          <w14:textFill>
            <w14:solidFill>
              <w14:schemeClr w14:val="tx1"/>
            </w14:solidFill>
          </w14:textFill>
        </w:rPr>
        <w:br w:type="page"/>
      </w:r>
    </w:p>
    <w:p w14:paraId="470263B2">
      <w:pPr>
        <w:widowControl/>
        <w:numPr>
          <w:ilvl w:val="0"/>
          <w:numId w:val="2"/>
        </w:numPr>
        <w:shd w:val="clear" w:color="auto" w:fill="FFFFFF"/>
        <w:spacing w:line="420" w:lineRule="atLeast"/>
        <w:jc w:val="center"/>
        <w:outlineLvl w:val="0"/>
        <w:rPr>
          <w:rFonts w:hint="eastAsia" w:cs="宋体" w:asciiTheme="minorEastAsia" w:hAnsiTheme="minorEastAsia"/>
          <w:b/>
          <w:bCs/>
          <w:color w:val="000000" w:themeColor="text1"/>
          <w:kern w:val="0"/>
          <w:sz w:val="24"/>
          <w:szCs w:val="24"/>
          <w:highlight w:val="none"/>
          <w14:textFill>
            <w14:solidFill>
              <w14:schemeClr w14:val="tx1"/>
            </w14:solidFill>
          </w14:textFill>
        </w:rPr>
      </w:pPr>
      <w:r>
        <w:rPr>
          <w:rFonts w:hint="eastAsia" w:cs="宋体" w:asciiTheme="minorEastAsia" w:hAnsiTheme="minorEastAsia"/>
          <w:b/>
          <w:bCs/>
          <w:color w:val="000000" w:themeColor="text1"/>
          <w:kern w:val="0"/>
          <w:sz w:val="24"/>
          <w:szCs w:val="24"/>
          <w:highlight w:val="none"/>
          <w:lang w:val="en-US" w:eastAsia="zh-CN"/>
          <w14:textFill>
            <w14:solidFill>
              <w14:schemeClr w14:val="tx1"/>
            </w14:solidFill>
          </w14:textFill>
        </w:rPr>
        <w:t xml:space="preserve">   </w:t>
      </w:r>
      <w:r>
        <w:rPr>
          <w:rFonts w:hint="eastAsia" w:cs="宋体" w:asciiTheme="minorEastAsia" w:hAnsiTheme="minorEastAsia"/>
          <w:b/>
          <w:bCs/>
          <w:color w:val="000000" w:themeColor="text1"/>
          <w:kern w:val="0"/>
          <w:sz w:val="24"/>
          <w:szCs w:val="24"/>
          <w:highlight w:val="none"/>
          <w14:textFill>
            <w14:solidFill>
              <w14:schemeClr w14:val="tx1"/>
            </w14:solidFill>
          </w14:textFill>
        </w:rPr>
        <w:t>竞争性磋商公告</w:t>
      </w:r>
      <w:bookmarkEnd w:id="0"/>
    </w:p>
    <w:p w14:paraId="01E772CB">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项目概况</w:t>
      </w:r>
    </w:p>
    <w:p w14:paraId="1ED93388">
      <w:pPr>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湖滨区乡镇集中式饮用水水资源保护区环境状况调查、勘界、立标项目的潜在投标人应在三门峡市公共资源交易中心网获取磋商文件，并于2025年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21</w:t>
      </w:r>
      <w:r>
        <w:rPr>
          <w:rFonts w:hint="eastAsia" w:ascii="仿宋" w:hAnsi="仿宋" w:eastAsia="仿宋" w:cs="仿宋"/>
          <w:color w:val="000000" w:themeColor="text1"/>
          <w:sz w:val="24"/>
          <w:szCs w:val="24"/>
          <w:highlight w:val="none"/>
          <w:lang w:eastAsia="zh-CN"/>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09</w:t>
      </w:r>
      <w:r>
        <w:rPr>
          <w:rFonts w:hint="eastAsia" w:ascii="仿宋" w:hAnsi="仿宋" w:eastAsia="仿宋" w:cs="仿宋"/>
          <w:color w:val="000000" w:themeColor="text1"/>
          <w:sz w:val="24"/>
          <w:szCs w:val="24"/>
          <w:highlight w:val="none"/>
          <w:lang w:eastAsia="zh-CN"/>
          <w14:textFill>
            <w14:solidFill>
              <w14:schemeClr w14:val="tx1"/>
            </w14:solidFill>
          </w14:textFill>
        </w:rPr>
        <w:t>时</w:t>
      </w:r>
      <w:r>
        <w:rPr>
          <w:rFonts w:hint="eastAsia" w:ascii="仿宋" w:hAnsi="仿宋" w:eastAsia="仿宋" w:cs="仿宋"/>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color w:val="000000" w:themeColor="text1"/>
          <w:sz w:val="24"/>
          <w:szCs w:val="24"/>
          <w:highlight w:val="none"/>
          <w:lang w:eastAsia="zh-CN"/>
          <w14:textFill>
            <w14:solidFill>
              <w14:schemeClr w14:val="tx1"/>
            </w14:solidFill>
          </w14:textFill>
        </w:rPr>
        <w:t>分（北京时间）前递交响应文件。</w:t>
      </w:r>
    </w:p>
    <w:p w14:paraId="67A520D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一、项目基本情况</w:t>
      </w:r>
    </w:p>
    <w:p w14:paraId="59DD136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1.项目编号：湖滨竞磋采购-2025-30、</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SGZ[2025]508-ZC333 </w:t>
      </w:r>
    </w:p>
    <w:p w14:paraId="0544DFE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2.项目名称：湖滨区乡镇集中式饮用水水资源保护区环境状况调查、勘界、立标项目</w:t>
      </w:r>
    </w:p>
    <w:p w14:paraId="2986AAD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3.采购方式：竞争性磋商</w:t>
      </w:r>
    </w:p>
    <w:p w14:paraId="6A104DB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4.预算金额：</w:t>
      </w:r>
      <w:r>
        <w:rPr>
          <w:rFonts w:hint="eastAsia" w:ascii="仿宋" w:hAnsi="仿宋" w:eastAsia="仿宋" w:cs="仿宋"/>
          <w:color w:val="000000" w:themeColor="text1"/>
          <w:sz w:val="24"/>
          <w:szCs w:val="24"/>
          <w:highlight w:val="none"/>
          <w:lang w:val="en-US" w:eastAsia="zh-CN"/>
          <w14:textFill>
            <w14:solidFill>
              <w14:schemeClr w14:val="tx1"/>
            </w14:solidFill>
          </w14:textFill>
        </w:rPr>
        <w:t>480000.00</w:t>
      </w:r>
      <w:r>
        <w:rPr>
          <w:rFonts w:hint="eastAsia" w:ascii="仿宋" w:hAnsi="仿宋" w:eastAsia="仿宋" w:cs="仿宋"/>
          <w:color w:val="000000" w:themeColor="text1"/>
          <w:sz w:val="24"/>
          <w:szCs w:val="24"/>
          <w:highlight w:val="none"/>
          <w:lang w:eastAsia="zh-CN"/>
          <w14:textFill>
            <w14:solidFill>
              <w14:schemeClr w14:val="tx1"/>
            </w14:solidFill>
          </w14:textFill>
        </w:rPr>
        <w:t>元</w:t>
      </w:r>
    </w:p>
    <w:p w14:paraId="36DEB34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最高限价：</w:t>
      </w:r>
      <w:r>
        <w:rPr>
          <w:rFonts w:hint="eastAsia" w:ascii="仿宋" w:hAnsi="仿宋" w:eastAsia="仿宋" w:cs="仿宋"/>
          <w:color w:val="000000" w:themeColor="text1"/>
          <w:sz w:val="24"/>
          <w:szCs w:val="24"/>
          <w:highlight w:val="none"/>
          <w:lang w:val="en-US" w:eastAsia="zh-CN"/>
          <w14:textFill>
            <w14:solidFill>
              <w14:schemeClr w14:val="tx1"/>
            </w14:solidFill>
          </w14:textFill>
        </w:rPr>
        <w:t>480000.00</w:t>
      </w:r>
      <w:r>
        <w:rPr>
          <w:rFonts w:hint="eastAsia" w:ascii="仿宋" w:hAnsi="仿宋" w:eastAsia="仿宋" w:cs="仿宋"/>
          <w:color w:val="000000" w:themeColor="text1"/>
          <w:sz w:val="24"/>
          <w:szCs w:val="24"/>
          <w:highlight w:val="none"/>
          <w:lang w:eastAsia="zh-CN"/>
          <w14:textFill>
            <w14:solidFill>
              <w14:schemeClr w14:val="tx1"/>
            </w14:solidFill>
          </w14:textFill>
        </w:rPr>
        <w:t>元</w:t>
      </w:r>
    </w:p>
    <w:tbl>
      <w:tblPr>
        <w:tblStyle w:val="24"/>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619"/>
        <w:gridCol w:w="2938"/>
        <w:gridCol w:w="1486"/>
        <w:gridCol w:w="2005"/>
      </w:tblGrid>
      <w:tr w14:paraId="4B65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5F32341">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序号</w:t>
            </w:r>
          </w:p>
        </w:tc>
        <w:tc>
          <w:tcPr>
            <w:tcW w:w="1619" w:type="dxa"/>
            <w:vAlign w:val="center"/>
          </w:tcPr>
          <w:p w14:paraId="0D6F3BB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包号</w:t>
            </w:r>
          </w:p>
        </w:tc>
        <w:tc>
          <w:tcPr>
            <w:tcW w:w="2938" w:type="dxa"/>
            <w:vAlign w:val="center"/>
          </w:tcPr>
          <w:p w14:paraId="341BCCAD">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包名称</w:t>
            </w:r>
          </w:p>
        </w:tc>
        <w:tc>
          <w:tcPr>
            <w:tcW w:w="1486" w:type="dxa"/>
            <w:vAlign w:val="center"/>
          </w:tcPr>
          <w:p w14:paraId="1AF8D514">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包预算（元）</w:t>
            </w:r>
          </w:p>
        </w:tc>
        <w:tc>
          <w:tcPr>
            <w:tcW w:w="2005" w:type="dxa"/>
            <w:vAlign w:val="center"/>
          </w:tcPr>
          <w:p w14:paraId="601D9D23">
            <w:pPr>
              <w:keepNext w:val="0"/>
              <w:keepLines w:val="0"/>
              <w:pageBreakBefore w:val="0"/>
              <w:widowControl w:val="0"/>
              <w:kinsoku/>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包最高限价（元）</w:t>
            </w:r>
          </w:p>
        </w:tc>
      </w:tr>
      <w:tr w14:paraId="68D9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10" w:type="dxa"/>
            <w:vAlign w:val="center"/>
          </w:tcPr>
          <w:p w14:paraId="5FDD09C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w:t>
            </w:r>
          </w:p>
        </w:tc>
        <w:tc>
          <w:tcPr>
            <w:tcW w:w="1619" w:type="dxa"/>
            <w:vAlign w:val="center"/>
          </w:tcPr>
          <w:p w14:paraId="42B4A72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14:paraId="3AE46E79">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SGZ[2025]508-ZC333-1</w:t>
            </w:r>
          </w:p>
        </w:tc>
        <w:tc>
          <w:tcPr>
            <w:tcW w:w="2938" w:type="dxa"/>
            <w:vAlign w:val="center"/>
          </w:tcPr>
          <w:p w14:paraId="6763738D">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湖滨区乡镇集中式饮用水水资源保护区环境状况调查、勘界、立标项目</w:t>
            </w:r>
          </w:p>
        </w:tc>
        <w:tc>
          <w:tcPr>
            <w:tcW w:w="1486" w:type="dxa"/>
            <w:vAlign w:val="center"/>
          </w:tcPr>
          <w:p w14:paraId="32EBBC5C">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480000.00</w:t>
            </w:r>
          </w:p>
        </w:tc>
        <w:tc>
          <w:tcPr>
            <w:tcW w:w="2005" w:type="dxa"/>
            <w:vAlign w:val="center"/>
          </w:tcPr>
          <w:p w14:paraId="71FB7665">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480000.00</w:t>
            </w:r>
          </w:p>
        </w:tc>
      </w:tr>
    </w:tbl>
    <w:p w14:paraId="0EBAB98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采购需求（包括但不限于标的的名称、数量、简要技术需求或服务要求等）：</w:t>
      </w:r>
    </w:p>
    <w:p w14:paraId="7179AC7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项目内容：本次湖滨区乡镇集中饮用水水源地一共3处，分别为湖滨区交口乡、磁钟乡、高庙乡。根据当前相关乡镇和水源地实际，开展湖滨区乡镇集中式饮用水水资源保护区环境状况调查、勘界和立标等相关工作，具体内容详见服务需求</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C34945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）采购范围：竞争性磋商文件及服务需求的全部内容。</w:t>
      </w:r>
    </w:p>
    <w:p w14:paraId="64B6A48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资金来源：财政资金，已落实</w:t>
      </w:r>
    </w:p>
    <w:p w14:paraId="7D083F9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服务地点：采购人指定地点。</w:t>
      </w:r>
    </w:p>
    <w:p w14:paraId="55CEFDD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质量要求：合格并符合采购人需求；</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7A50D02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服务期：</w:t>
      </w:r>
      <w:r>
        <w:rPr>
          <w:rFonts w:hint="eastAsia" w:ascii="仿宋" w:hAnsi="仿宋" w:eastAsia="仿宋" w:cs="仿宋"/>
          <w:color w:val="000000" w:themeColor="text1"/>
          <w:sz w:val="24"/>
          <w:szCs w:val="24"/>
          <w:highlight w:val="none"/>
          <w:lang w:val="en-US" w:eastAsia="zh-CN"/>
          <w14:textFill>
            <w14:solidFill>
              <w14:schemeClr w14:val="tx1"/>
            </w14:solidFill>
          </w14:textFill>
        </w:rPr>
        <w:t>30日历天</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590D993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6、合同履行期限：按合同约定执行。</w:t>
      </w:r>
    </w:p>
    <w:p w14:paraId="08EF83D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7、本项目是否接受联合体投标：否</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6F6D506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8、是否接受进口产品：否</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5689A4D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9、是否为只面向中小企业采购：是</w:t>
      </w:r>
    </w:p>
    <w:p w14:paraId="41C86AB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二、申请人资格要求</w:t>
      </w:r>
    </w:p>
    <w:p w14:paraId="5137462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1.满足《中华人民共和国政府采购法》第二十二条规定，提供承诺书；</w:t>
      </w:r>
    </w:p>
    <w:p w14:paraId="5F78CE2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2.落实政府采购政策满足的资格要求：本项目专门面向中小企业采购（监狱企业、残疾人福利性企业视同小微企业）；</w:t>
      </w:r>
    </w:p>
    <w:p w14:paraId="5194961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3.本项目的特定资格要求</w:t>
      </w:r>
    </w:p>
    <w:p w14:paraId="15DE909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（1)供应商须具有合法有效的营业执照；</w:t>
      </w:r>
    </w:p>
    <w:p w14:paraId="7C3EAC0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供应商须具有测绘主管部门颁发的测绘资质证书乙级及以上资质（专业范围需包含工程测量）；</w:t>
      </w:r>
    </w:p>
    <w:p w14:paraId="139F3DA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拟派项目负责人须具有工程测量类中级工程师及以上职称；</w:t>
      </w:r>
    </w:p>
    <w:p w14:paraId="014A305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）供应商须提供本企业无商业贿赂和不正当竞争行为承诺书（格式自拟）；</w:t>
      </w:r>
    </w:p>
    <w:p w14:paraId="26E2418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p w14:paraId="183FF05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)单位负责人为同一人或者存在直接控股、管理关系的不同供应商，不得参加同一合同项下的政府采购活动；（供应商自行承诺，格式自拟）；</w:t>
      </w:r>
    </w:p>
    <w:p w14:paraId="4A398A4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 本项目不接受联合体投标；</w:t>
      </w:r>
    </w:p>
    <w:p w14:paraId="6762414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lang w:eastAsia="zh-CN"/>
          <w14:textFill>
            <w14:solidFill>
              <w14:schemeClr w14:val="tx1"/>
            </w14:solidFill>
          </w14:textFill>
        </w:rPr>
        <w:t>本项目实行资格后审。</w:t>
      </w:r>
    </w:p>
    <w:p w14:paraId="2DBF1BE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三、获取采购文件</w:t>
      </w:r>
    </w:p>
    <w:p w14:paraId="5DD4E4B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2025</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日至 </w:t>
      </w:r>
      <w:r>
        <w:rPr>
          <w:rFonts w:hint="eastAsia" w:ascii="仿宋" w:hAnsi="仿宋" w:eastAsia="仿宋" w:cs="仿宋"/>
          <w:color w:val="000000" w:themeColor="text1"/>
          <w:sz w:val="24"/>
          <w:szCs w:val="24"/>
          <w:highlight w:val="none"/>
          <w:lang w:val="en-US" w:eastAsia="zh-CN"/>
          <w14:textFill>
            <w14:solidFill>
              <w14:schemeClr w14:val="tx1"/>
            </w14:solidFill>
          </w14:textFill>
        </w:rPr>
        <w:t>2025</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lang w:eastAsia="zh-CN"/>
          <w14:textFill>
            <w14:solidFill>
              <w14:schemeClr w14:val="tx1"/>
            </w14:solidFill>
          </w14:textFill>
        </w:rPr>
        <w:t>日，每天上午00:00至12:00，下午12:00至23:59（北京时间）</w:t>
      </w:r>
    </w:p>
    <w:p w14:paraId="1B9331D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2.地点：三门峡市公共资源交易中心网</w:t>
      </w:r>
    </w:p>
    <w:p w14:paraId="60D604E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2509E29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办理CA证书链接：http://gzjy.smx.gov.cn/fwzn/004003/20201019/a8fae6a0-baed-499b-bb50-8ecc8828a2ca.html</w:t>
      </w:r>
    </w:p>
    <w:p w14:paraId="749B87C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4.售价：0元</w:t>
      </w:r>
    </w:p>
    <w:p w14:paraId="1195E53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四、响应文件提交</w:t>
      </w:r>
    </w:p>
    <w:p w14:paraId="6FE0C23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2025</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21</w:t>
      </w:r>
      <w:r>
        <w:rPr>
          <w:rFonts w:hint="eastAsia" w:ascii="仿宋" w:hAnsi="仿宋" w:eastAsia="仿宋" w:cs="仿宋"/>
          <w:color w:val="000000" w:themeColor="text1"/>
          <w:sz w:val="24"/>
          <w:szCs w:val="24"/>
          <w:highlight w:val="none"/>
          <w:lang w:eastAsia="zh-CN"/>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09</w:t>
      </w:r>
      <w:r>
        <w:rPr>
          <w:rFonts w:hint="eastAsia" w:ascii="仿宋" w:hAnsi="仿宋" w:eastAsia="仿宋" w:cs="仿宋"/>
          <w:color w:val="000000" w:themeColor="text1"/>
          <w:sz w:val="24"/>
          <w:szCs w:val="24"/>
          <w:highlight w:val="none"/>
          <w:lang w:eastAsia="zh-CN"/>
          <w14:textFill>
            <w14:solidFill>
              <w14:schemeClr w14:val="tx1"/>
            </w14:solidFill>
          </w14:textFill>
        </w:rPr>
        <w:t>时</w:t>
      </w:r>
      <w:r>
        <w:rPr>
          <w:rFonts w:hint="eastAsia" w:ascii="仿宋" w:hAnsi="仿宋" w:eastAsia="仿宋" w:cs="仿宋"/>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color w:val="000000" w:themeColor="text1"/>
          <w:sz w:val="24"/>
          <w:szCs w:val="24"/>
          <w:highlight w:val="none"/>
          <w:lang w:eastAsia="zh-CN"/>
          <w14:textFill>
            <w14:solidFill>
              <w14:schemeClr w14:val="tx1"/>
            </w14:solidFill>
          </w14:textFill>
        </w:rPr>
        <w:t>分（北京时间）</w:t>
      </w:r>
    </w:p>
    <w:p w14:paraId="79C940E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2.地点：加密电子竞争性磋商响应文件须在磋商截止时间前通过三门峡市公共资源交易中心电子交易平台加密上传。</w:t>
      </w:r>
    </w:p>
    <w:p w14:paraId="53339CB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五、响应文件开启</w:t>
      </w:r>
    </w:p>
    <w:p w14:paraId="1200BEA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1.时间：</w:t>
      </w:r>
      <w:r>
        <w:rPr>
          <w:rFonts w:hint="eastAsia" w:ascii="仿宋" w:hAnsi="仿宋" w:eastAsia="仿宋" w:cs="仿宋"/>
          <w:color w:val="000000" w:themeColor="text1"/>
          <w:sz w:val="24"/>
          <w:szCs w:val="24"/>
          <w:highlight w:val="none"/>
          <w:lang w:val="en-US" w:eastAsia="zh-CN"/>
          <w14:textFill>
            <w14:solidFill>
              <w14:schemeClr w14:val="tx1"/>
            </w14:solidFill>
          </w14:textFill>
        </w:rPr>
        <w:t>2025</w:t>
      </w:r>
      <w:r>
        <w:rPr>
          <w:rFonts w:hint="eastAsia" w:ascii="仿宋" w:hAnsi="仿宋" w:eastAsia="仿宋" w:cs="仿宋"/>
          <w:color w:val="000000" w:themeColor="text1"/>
          <w:sz w:val="24"/>
          <w:szCs w:val="24"/>
          <w:highlight w:val="none"/>
          <w:lang w:eastAsia="zh-CN"/>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lang w:eastAsia="zh-CN"/>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21</w:t>
      </w:r>
      <w:r>
        <w:rPr>
          <w:rFonts w:hint="eastAsia" w:ascii="仿宋" w:hAnsi="仿宋" w:eastAsia="仿宋" w:cs="仿宋"/>
          <w:color w:val="000000" w:themeColor="text1"/>
          <w:sz w:val="24"/>
          <w:szCs w:val="24"/>
          <w:highlight w:val="none"/>
          <w:lang w:eastAsia="zh-CN"/>
          <w14:textFill>
            <w14:solidFill>
              <w14:schemeClr w14:val="tx1"/>
            </w14:solidFill>
          </w14:textFill>
        </w:rPr>
        <w:t>日</w:t>
      </w:r>
      <w:r>
        <w:rPr>
          <w:rFonts w:hint="eastAsia" w:ascii="仿宋" w:hAnsi="仿宋" w:eastAsia="仿宋" w:cs="仿宋"/>
          <w:color w:val="000000" w:themeColor="text1"/>
          <w:sz w:val="24"/>
          <w:szCs w:val="24"/>
          <w:highlight w:val="none"/>
          <w:lang w:val="en-US" w:eastAsia="zh-CN"/>
          <w14:textFill>
            <w14:solidFill>
              <w14:schemeClr w14:val="tx1"/>
            </w14:solidFill>
          </w14:textFill>
        </w:rPr>
        <w:t>09</w:t>
      </w:r>
      <w:r>
        <w:rPr>
          <w:rFonts w:hint="eastAsia" w:ascii="仿宋" w:hAnsi="仿宋" w:eastAsia="仿宋" w:cs="仿宋"/>
          <w:color w:val="000000" w:themeColor="text1"/>
          <w:sz w:val="24"/>
          <w:szCs w:val="24"/>
          <w:highlight w:val="none"/>
          <w:lang w:eastAsia="zh-CN"/>
          <w14:textFill>
            <w14:solidFill>
              <w14:schemeClr w14:val="tx1"/>
            </w14:solidFill>
          </w14:textFill>
        </w:rPr>
        <w:t>时</w:t>
      </w:r>
      <w:r>
        <w:rPr>
          <w:rFonts w:hint="eastAsia" w:ascii="仿宋" w:hAnsi="仿宋" w:eastAsia="仿宋" w:cs="仿宋"/>
          <w:color w:val="000000" w:themeColor="text1"/>
          <w:sz w:val="24"/>
          <w:szCs w:val="24"/>
          <w:highlight w:val="none"/>
          <w:lang w:val="en-US" w:eastAsia="zh-CN"/>
          <w14:textFill>
            <w14:solidFill>
              <w14:schemeClr w14:val="tx1"/>
            </w14:solidFill>
          </w14:textFill>
        </w:rPr>
        <w:t>00</w:t>
      </w:r>
      <w:r>
        <w:rPr>
          <w:rFonts w:hint="eastAsia" w:ascii="仿宋" w:hAnsi="仿宋" w:eastAsia="仿宋" w:cs="仿宋"/>
          <w:color w:val="000000" w:themeColor="text1"/>
          <w:sz w:val="24"/>
          <w:szCs w:val="24"/>
          <w:highlight w:val="none"/>
          <w:lang w:eastAsia="zh-CN"/>
          <w14:textFill>
            <w14:solidFill>
              <w14:schemeClr w14:val="tx1"/>
            </w14:solidFill>
          </w14:textFill>
        </w:rPr>
        <w:t>分（北京时间）</w:t>
      </w:r>
    </w:p>
    <w:p w14:paraId="043EBB7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2.地点：三门峡市公共资源交易中心五楼开标区</w:t>
      </w:r>
    </w:p>
    <w:p w14:paraId="77A0C7E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六、发布公告的媒介及公告期限</w:t>
      </w:r>
    </w:p>
    <w:p w14:paraId="524B7020">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本次公告在《河南省政府采购网》、《中国招标投标公共服务平台》、《三门峡市公共资源交易中心网》上发布。</w:t>
      </w:r>
    </w:p>
    <w:p w14:paraId="219FADF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七、其他补充事宜</w:t>
      </w:r>
    </w:p>
    <w:p w14:paraId="5D78635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0BAB7E1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0DC4D37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3.根据《河南省财政厅关于优化政府采购营商环境有关问题的通知》（豫财购【2019】4号）第6条的规定，磋商保证金不再收取。</w:t>
      </w:r>
    </w:p>
    <w:p w14:paraId="27A1C6B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4.本项目实行资格后审，审查内容以竞争性磋商响应文件为准，其上传资料真实性由供应商自行承担，同时，供应商请完善主体库。</w:t>
      </w:r>
    </w:p>
    <w:p w14:paraId="30E4C91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1EEDAAB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478342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7.我单位（采购人）严格按三财购【2021】9号文要求的时限发布中标结果公告，发出中标通知书，签订采购合同，上传采购合同。</w:t>
      </w:r>
    </w:p>
    <w:p w14:paraId="668DA9A0">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八、凡对本次招标提出询问，请按照以下方式联系</w:t>
      </w:r>
    </w:p>
    <w:p w14:paraId="1E40D48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 采购人</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34812C5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名称：三门峡市湖滨区水利局</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7013342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地址：</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三门峡市湖滨区</w:t>
      </w:r>
    </w:p>
    <w:p w14:paraId="016B105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王女士 </w:t>
      </w:r>
    </w:p>
    <w:p w14:paraId="12C1772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15603985853 </w:t>
      </w:r>
    </w:p>
    <w:p w14:paraId="1C0E40F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2.采购代理机构</w:t>
      </w:r>
    </w:p>
    <w:p w14:paraId="15417CE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代理机构：河南洲禾建设工程有限公司</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57C1E74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地    址：三门峡市商务中心区迎宾大道湖滨大厦A座2513室 </w:t>
      </w:r>
      <w:r>
        <w:rPr>
          <w:rFonts w:hint="eastAsia" w:ascii="仿宋" w:hAnsi="仿宋" w:eastAsia="仿宋" w:cs="仿宋"/>
          <w:color w:val="000000" w:themeColor="text1"/>
          <w:sz w:val="24"/>
          <w:szCs w:val="24"/>
          <w:highlight w:val="none"/>
          <w:lang w:eastAsia="zh-CN"/>
          <w14:textFill>
            <w14:solidFill>
              <w14:schemeClr w14:val="tx1"/>
            </w14:solidFill>
          </w14:textFill>
        </w:rPr>
        <w:tab/>
      </w:r>
    </w:p>
    <w:p w14:paraId="798921C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xml:space="preserve"> 联系人：马女士</w:t>
      </w:r>
    </w:p>
    <w:p w14:paraId="3909DB4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联系电话：15343990880</w:t>
      </w:r>
    </w:p>
    <w:p w14:paraId="20F1145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3、监督名称：三门峡市湖滨区水利局</w:t>
      </w:r>
    </w:p>
    <w:p w14:paraId="1830423C">
      <w:pPr>
        <w:keepNext w:val="0"/>
        <w:keepLines w:val="0"/>
        <w:pageBreakBefore w:val="0"/>
        <w:widowControl w:val="0"/>
        <w:kinsoku/>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联系方式：0398－2</w:t>
      </w:r>
      <w:r>
        <w:rPr>
          <w:rFonts w:hint="eastAsia" w:ascii="仿宋" w:hAnsi="仿宋" w:eastAsia="仿宋" w:cs="仿宋"/>
          <w:color w:val="000000" w:themeColor="text1"/>
          <w:sz w:val="24"/>
          <w:szCs w:val="24"/>
          <w:highlight w:val="none"/>
          <w:lang w:val="en-US" w:eastAsia="zh-CN"/>
          <w14:textFill>
            <w14:solidFill>
              <w14:schemeClr w14:val="tx1"/>
            </w14:solidFill>
          </w14:textFill>
        </w:rPr>
        <w:t>808809</w:t>
      </w:r>
    </w:p>
    <w:p w14:paraId="33C2E5E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7161F9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7B2BB81">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2BD97C72">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9359095">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CBF7C5F">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5E76E3C3">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0C24FDE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p>
    <w:p w14:paraId="6D2A2219">
      <w:pPr>
        <w:widowControl/>
        <w:jc w:val="center"/>
        <w:rPr>
          <w:rFonts w:hint="eastAsia" w:cs="Times New Roman" w:asciiTheme="minorEastAsia" w:hAnsiTheme="minorEastAsia"/>
          <w:b/>
          <w:bCs/>
          <w:color w:val="000000" w:themeColor="text1"/>
          <w:sz w:val="24"/>
          <w:szCs w:val="24"/>
          <w:highlight w:val="none"/>
          <w14:textFill>
            <w14:solidFill>
              <w14:schemeClr w14:val="tx1"/>
            </w14:solidFill>
          </w14:textFill>
        </w:rPr>
      </w:pPr>
    </w:p>
    <w:p w14:paraId="02372BFE">
      <w:pPr>
        <w:widowControl/>
        <w:jc w:val="center"/>
        <w:rPr>
          <w:rFonts w:hint="eastAsia" w:cs="Times New Roman" w:asciiTheme="minorEastAsia" w:hAnsiTheme="minorEastAsia"/>
          <w:b/>
          <w:bCs/>
          <w:color w:val="000000" w:themeColor="text1"/>
          <w:sz w:val="24"/>
          <w:szCs w:val="24"/>
          <w:highlight w:val="none"/>
          <w14:textFill>
            <w14:solidFill>
              <w14:schemeClr w14:val="tx1"/>
            </w14:solidFill>
          </w14:textFill>
        </w:rPr>
      </w:pPr>
      <w:r>
        <w:rPr>
          <w:rFonts w:hint="eastAsia" w:cs="Times New Roman" w:asciiTheme="minorEastAsia" w:hAnsiTheme="minorEastAsia"/>
          <w:b/>
          <w:bCs/>
          <w:color w:val="000000" w:themeColor="text1"/>
          <w:sz w:val="24"/>
          <w:szCs w:val="24"/>
          <w:highlight w:val="none"/>
          <w14:textFill>
            <w14:solidFill>
              <w14:schemeClr w14:val="tx1"/>
            </w14:solidFill>
          </w14:textFill>
        </w:rPr>
        <w:t>第二章  供应商须知</w:t>
      </w:r>
    </w:p>
    <w:p w14:paraId="170D33B4">
      <w:pPr>
        <w:spacing w:line="360" w:lineRule="auto"/>
        <w:jc w:val="center"/>
        <w:outlineLvl w:val="1"/>
        <w:rPr>
          <w:rFonts w:hint="eastAsia" w:cs="Times New Roman" w:asciiTheme="minorEastAsia" w:hAnsiTheme="minorEastAsia"/>
          <w:color w:val="000000" w:themeColor="text1"/>
          <w:sz w:val="24"/>
          <w:szCs w:val="24"/>
          <w:highlight w:val="none"/>
          <w14:textFill>
            <w14:solidFill>
              <w14:schemeClr w14:val="tx1"/>
            </w14:solidFill>
          </w14:textFill>
        </w:rPr>
      </w:pPr>
      <w:bookmarkStart w:id="1" w:name="_Toc109675033"/>
      <w:bookmarkStart w:id="2" w:name="_Toc518571702"/>
      <w:r>
        <w:rPr>
          <w:rFonts w:hint="eastAsia" w:cs="Times New Roman" w:asciiTheme="minorEastAsia" w:hAnsiTheme="minorEastAsia"/>
          <w:bCs/>
          <w:color w:val="000000" w:themeColor="text1"/>
          <w:sz w:val="24"/>
          <w:szCs w:val="24"/>
          <w:highlight w:val="none"/>
          <w14:textFill>
            <w14:solidFill>
              <w14:schemeClr w14:val="tx1"/>
            </w14:solidFill>
          </w14:textFill>
        </w:rPr>
        <w:t>须知前附表</w:t>
      </w:r>
      <w:bookmarkEnd w:id="1"/>
      <w:bookmarkEnd w:id="2"/>
    </w:p>
    <w:tbl>
      <w:tblPr>
        <w:tblStyle w:val="24"/>
        <w:tblW w:w="9214"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FAFA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993" w:type="dxa"/>
            <w:tcBorders>
              <w:top w:val="single" w:color="auto" w:sz="12" w:space="0"/>
            </w:tcBorders>
            <w:vAlign w:val="center"/>
          </w:tcPr>
          <w:p w14:paraId="21DBC6EB">
            <w:pPr>
              <w:widowControl/>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项号</w:t>
            </w:r>
          </w:p>
        </w:tc>
        <w:tc>
          <w:tcPr>
            <w:tcW w:w="1701" w:type="dxa"/>
            <w:tcBorders>
              <w:top w:val="single" w:color="auto" w:sz="12" w:space="0"/>
            </w:tcBorders>
            <w:vAlign w:val="center"/>
          </w:tcPr>
          <w:p w14:paraId="7072C335">
            <w:pPr>
              <w:widowControl/>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内容</w:t>
            </w:r>
          </w:p>
        </w:tc>
        <w:tc>
          <w:tcPr>
            <w:tcW w:w="6520" w:type="dxa"/>
            <w:tcBorders>
              <w:top w:val="single" w:color="auto" w:sz="12" w:space="0"/>
            </w:tcBorders>
            <w:vAlign w:val="center"/>
          </w:tcPr>
          <w:p w14:paraId="118D7714">
            <w:pPr>
              <w:widowControl/>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综合说明与要求</w:t>
            </w:r>
          </w:p>
        </w:tc>
      </w:tr>
      <w:tr w14:paraId="00EE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7" w:hRule="atLeast"/>
        </w:trPr>
        <w:tc>
          <w:tcPr>
            <w:tcW w:w="993" w:type="dxa"/>
            <w:vAlign w:val="center"/>
          </w:tcPr>
          <w:p w14:paraId="79C087C4">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w:t>
            </w:r>
          </w:p>
        </w:tc>
        <w:tc>
          <w:tcPr>
            <w:tcW w:w="1701" w:type="dxa"/>
            <w:vAlign w:val="center"/>
          </w:tcPr>
          <w:p w14:paraId="3C1A7BCE">
            <w:pPr>
              <w:adjustRightInd w:val="0"/>
              <w:spacing w:line="324"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p>
        </w:tc>
        <w:tc>
          <w:tcPr>
            <w:tcW w:w="6520" w:type="dxa"/>
            <w:vAlign w:val="center"/>
          </w:tcPr>
          <w:p w14:paraId="746B933A">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r>
              <w:rPr>
                <w:rFonts w:hint="eastAsia" w:ascii="仿宋" w:hAnsi="仿宋" w:eastAsia="仿宋" w:cs="仿宋"/>
                <w:color w:val="000000" w:themeColor="text1"/>
                <w:sz w:val="24"/>
                <w:szCs w:val="24"/>
                <w:highlight w:val="none"/>
                <w:lang w:eastAsia="zh-CN"/>
                <w14:textFill>
                  <w14:solidFill>
                    <w14:schemeClr w14:val="tx1"/>
                  </w14:solidFill>
                </w14:textFill>
              </w:rPr>
              <w:t>三门峡市湖滨区水利局</w:t>
            </w:r>
          </w:p>
          <w:p w14:paraId="27047B14">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三门峡市湖滨区</w:t>
            </w:r>
          </w:p>
          <w:p w14:paraId="58B7CD6D">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王女士</w:t>
            </w:r>
          </w:p>
          <w:p w14:paraId="68EB94AC">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15603985853  </w:t>
            </w:r>
          </w:p>
        </w:tc>
      </w:tr>
      <w:tr w14:paraId="2C2BC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993" w:type="dxa"/>
            <w:vAlign w:val="center"/>
          </w:tcPr>
          <w:p w14:paraId="7080804D">
            <w:pPr>
              <w:spacing w:line="360"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w:t>
            </w:r>
          </w:p>
        </w:tc>
        <w:tc>
          <w:tcPr>
            <w:tcW w:w="1701" w:type="dxa"/>
            <w:vAlign w:val="center"/>
          </w:tcPr>
          <w:p w14:paraId="7ABFA9E8">
            <w:pPr>
              <w:adjustRightInd w:val="0"/>
              <w:spacing w:line="324"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代理机构</w:t>
            </w:r>
          </w:p>
        </w:tc>
        <w:tc>
          <w:tcPr>
            <w:tcW w:w="6520" w:type="dxa"/>
            <w:vAlign w:val="center"/>
          </w:tcPr>
          <w:p w14:paraId="6399956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代理机构：河南洲禾建设工程有限公司</w:t>
            </w:r>
            <w:r>
              <w:rPr>
                <w:rFonts w:hint="eastAsia" w:ascii="仿宋" w:hAnsi="仿宋" w:eastAsia="仿宋" w:cs="仿宋"/>
                <w:color w:val="000000" w:themeColor="text1"/>
                <w:sz w:val="24"/>
                <w:szCs w:val="24"/>
                <w:highlight w:val="none"/>
                <w14:textFill>
                  <w14:solidFill>
                    <w14:schemeClr w14:val="tx1"/>
                  </w14:solidFill>
                </w14:textFill>
              </w:rPr>
              <w:tab/>
            </w:r>
          </w:p>
          <w:p w14:paraId="2A9C037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地    址：三门峡市商务中心区迎宾大道湖滨大厦A座2513室 </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0DE9BCAF">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联系人：马女士</w:t>
            </w:r>
          </w:p>
          <w:p w14:paraId="339E610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联系电话：15343990880</w:t>
            </w:r>
          </w:p>
        </w:tc>
      </w:tr>
      <w:tr w14:paraId="3FF04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993" w:type="dxa"/>
            <w:vAlign w:val="center"/>
          </w:tcPr>
          <w:p w14:paraId="7959DFD0">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w:t>
            </w:r>
          </w:p>
        </w:tc>
        <w:tc>
          <w:tcPr>
            <w:tcW w:w="1701" w:type="dxa"/>
            <w:vAlign w:val="center"/>
          </w:tcPr>
          <w:p w14:paraId="769669CB">
            <w:pPr>
              <w:adjustRightInd w:val="0"/>
              <w:spacing w:line="324"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6520" w:type="dxa"/>
            <w:vAlign w:val="center"/>
          </w:tcPr>
          <w:p w14:paraId="2DB28E40">
            <w:pPr>
              <w:spacing w:line="36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湖滨区乡镇集中式饮用水水资源保护区环境状况调查、勘界、立标项目</w:t>
            </w:r>
          </w:p>
        </w:tc>
      </w:tr>
      <w:tr w14:paraId="1F2B5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993" w:type="dxa"/>
            <w:vAlign w:val="center"/>
          </w:tcPr>
          <w:p w14:paraId="49D00089">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4</w:t>
            </w:r>
          </w:p>
        </w:tc>
        <w:tc>
          <w:tcPr>
            <w:tcW w:w="1701" w:type="dxa"/>
            <w:vAlign w:val="center"/>
          </w:tcPr>
          <w:p w14:paraId="769B569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采购需求</w:t>
            </w:r>
          </w:p>
        </w:tc>
        <w:tc>
          <w:tcPr>
            <w:tcW w:w="6520" w:type="dxa"/>
            <w:vAlign w:val="center"/>
          </w:tcPr>
          <w:p w14:paraId="70B16BE5">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次湖滨区乡镇集中饮用水水源地一共3处，分别为湖滨区交口乡、磁钟乡、高庙乡。根据当前相关乡镇和水源地实际，开展湖滨区乡镇集中式饮用水水资源保护区环境状况调查、勘界和立标等相关工作，具体内容详见服务需求</w:t>
            </w:r>
            <w:r>
              <w:rPr>
                <w:rFonts w:hint="eastAsia" w:ascii="仿宋" w:hAnsi="仿宋" w:eastAsia="仿宋" w:cs="仿宋"/>
                <w:color w:val="000000" w:themeColor="text1"/>
                <w:sz w:val="24"/>
                <w:szCs w:val="24"/>
                <w:highlight w:val="none"/>
                <w14:textFill>
                  <w14:solidFill>
                    <w14:schemeClr w14:val="tx1"/>
                  </w14:solidFill>
                </w14:textFill>
              </w:rPr>
              <w:t>。</w:t>
            </w:r>
          </w:p>
        </w:tc>
      </w:tr>
      <w:tr w14:paraId="1FC03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39C32081">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5</w:t>
            </w:r>
          </w:p>
        </w:tc>
        <w:tc>
          <w:tcPr>
            <w:tcW w:w="1701" w:type="dxa"/>
            <w:vAlign w:val="center"/>
          </w:tcPr>
          <w:p w14:paraId="750FBD0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采购方式</w:t>
            </w:r>
          </w:p>
        </w:tc>
        <w:tc>
          <w:tcPr>
            <w:tcW w:w="6520" w:type="dxa"/>
            <w:vAlign w:val="center"/>
          </w:tcPr>
          <w:p w14:paraId="13B4893C">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竞争性磋商</w:t>
            </w:r>
          </w:p>
        </w:tc>
      </w:tr>
      <w:tr w14:paraId="3644B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993" w:type="dxa"/>
            <w:vAlign w:val="center"/>
          </w:tcPr>
          <w:p w14:paraId="2283051F">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6</w:t>
            </w:r>
          </w:p>
        </w:tc>
        <w:tc>
          <w:tcPr>
            <w:tcW w:w="1701" w:type="dxa"/>
            <w:vAlign w:val="center"/>
          </w:tcPr>
          <w:p w14:paraId="3EF6DDD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质量要求</w:t>
            </w:r>
          </w:p>
        </w:tc>
        <w:tc>
          <w:tcPr>
            <w:tcW w:w="6520" w:type="dxa"/>
            <w:vAlign w:val="center"/>
          </w:tcPr>
          <w:p w14:paraId="4E6C1221">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w:t>
            </w:r>
            <w:r>
              <w:rPr>
                <w:rFonts w:hint="eastAsia" w:ascii="仿宋" w:hAnsi="仿宋" w:eastAsia="仿宋" w:cs="仿宋"/>
                <w:color w:val="000000" w:themeColor="text1"/>
                <w:sz w:val="24"/>
                <w:szCs w:val="24"/>
                <w:highlight w:val="none"/>
                <w:lang w:eastAsia="zh-CN"/>
                <w14:textFill>
                  <w14:solidFill>
                    <w14:schemeClr w14:val="tx1"/>
                  </w14:solidFill>
                </w14:textFill>
              </w:rPr>
              <w:t>并符合</w:t>
            </w:r>
            <w:r>
              <w:rPr>
                <w:rFonts w:hint="eastAsia" w:ascii="仿宋" w:hAnsi="仿宋" w:eastAsia="仿宋" w:cs="仿宋"/>
                <w:color w:val="000000" w:themeColor="text1"/>
                <w:sz w:val="24"/>
                <w:szCs w:val="24"/>
                <w:highlight w:val="none"/>
                <w14:textFill>
                  <w14:solidFill>
                    <w14:schemeClr w14:val="tx1"/>
                  </w14:solidFill>
                </w14:textFill>
              </w:rPr>
              <w:t>采购人</w:t>
            </w:r>
            <w:r>
              <w:rPr>
                <w:rFonts w:hint="eastAsia" w:ascii="仿宋" w:hAnsi="仿宋" w:eastAsia="仿宋" w:cs="仿宋"/>
                <w:color w:val="000000" w:themeColor="text1"/>
                <w:sz w:val="24"/>
                <w:szCs w:val="24"/>
                <w:highlight w:val="none"/>
                <w:lang w:eastAsia="zh-CN"/>
                <w14:textFill>
                  <w14:solidFill>
                    <w14:schemeClr w14:val="tx1"/>
                  </w14:solidFill>
                </w14:textFill>
              </w:rPr>
              <w:t>需求</w:t>
            </w:r>
            <w:r>
              <w:rPr>
                <w:rFonts w:hint="eastAsia" w:ascii="仿宋" w:hAnsi="仿宋" w:eastAsia="仿宋" w:cs="仿宋"/>
                <w:color w:val="000000" w:themeColor="text1"/>
                <w:sz w:val="24"/>
                <w:szCs w:val="24"/>
                <w:highlight w:val="none"/>
                <w14:textFill>
                  <w14:solidFill>
                    <w14:schemeClr w14:val="tx1"/>
                  </w14:solidFill>
                </w14:textFill>
              </w:rPr>
              <w:t>；</w:t>
            </w:r>
          </w:p>
        </w:tc>
      </w:tr>
      <w:tr w14:paraId="4BF31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93" w:type="dxa"/>
            <w:vAlign w:val="center"/>
          </w:tcPr>
          <w:p w14:paraId="144AC067">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7</w:t>
            </w:r>
          </w:p>
        </w:tc>
        <w:tc>
          <w:tcPr>
            <w:tcW w:w="1701" w:type="dxa"/>
            <w:vAlign w:val="center"/>
          </w:tcPr>
          <w:p w14:paraId="5A37EAC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c>
          <w:tcPr>
            <w:tcW w:w="6520" w:type="dxa"/>
            <w:vAlign w:val="center"/>
          </w:tcPr>
          <w:p w14:paraId="36761177">
            <w:pPr>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30日历天</w:t>
            </w:r>
          </w:p>
        </w:tc>
      </w:tr>
      <w:tr w14:paraId="23EAA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993" w:type="dxa"/>
            <w:vAlign w:val="center"/>
          </w:tcPr>
          <w:p w14:paraId="666282C9">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8</w:t>
            </w:r>
          </w:p>
        </w:tc>
        <w:tc>
          <w:tcPr>
            <w:tcW w:w="1701" w:type="dxa"/>
            <w:vAlign w:val="center"/>
          </w:tcPr>
          <w:p w14:paraId="1EC51BA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合同履行期限</w:t>
            </w:r>
          </w:p>
        </w:tc>
        <w:tc>
          <w:tcPr>
            <w:tcW w:w="6520" w:type="dxa"/>
            <w:vAlign w:val="center"/>
          </w:tcPr>
          <w:p w14:paraId="376DF65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按合同约定执行</w:t>
            </w:r>
          </w:p>
        </w:tc>
      </w:tr>
      <w:tr w14:paraId="5B863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993" w:type="dxa"/>
            <w:vAlign w:val="center"/>
          </w:tcPr>
          <w:p w14:paraId="351C959E">
            <w:pPr>
              <w:widowControl/>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9</w:t>
            </w:r>
          </w:p>
        </w:tc>
        <w:tc>
          <w:tcPr>
            <w:tcW w:w="1701" w:type="dxa"/>
            <w:vAlign w:val="center"/>
          </w:tcPr>
          <w:p w14:paraId="6498CDF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服务地点</w:t>
            </w:r>
          </w:p>
        </w:tc>
        <w:tc>
          <w:tcPr>
            <w:tcW w:w="6520" w:type="dxa"/>
            <w:vAlign w:val="center"/>
          </w:tcPr>
          <w:p w14:paraId="5A28E039">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采购人指定地点</w:t>
            </w:r>
          </w:p>
        </w:tc>
      </w:tr>
      <w:tr w14:paraId="634B8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93" w:type="dxa"/>
            <w:vAlign w:val="center"/>
          </w:tcPr>
          <w:p w14:paraId="159796AB">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10</w:t>
            </w:r>
          </w:p>
        </w:tc>
        <w:tc>
          <w:tcPr>
            <w:tcW w:w="1701" w:type="dxa"/>
            <w:vAlign w:val="center"/>
          </w:tcPr>
          <w:p w14:paraId="3194C7EA">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6520" w:type="dxa"/>
            <w:vAlign w:val="center"/>
          </w:tcPr>
          <w:p w14:paraId="5D2A25C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财政资金，已落实</w:t>
            </w:r>
          </w:p>
        </w:tc>
      </w:tr>
      <w:tr w14:paraId="24B07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93" w:type="dxa"/>
            <w:vAlign w:val="center"/>
          </w:tcPr>
          <w:p w14:paraId="029C615B">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11</w:t>
            </w:r>
          </w:p>
        </w:tc>
        <w:tc>
          <w:tcPr>
            <w:tcW w:w="1701" w:type="dxa"/>
            <w:vAlign w:val="center"/>
          </w:tcPr>
          <w:p w14:paraId="2DD7888C">
            <w:pPr>
              <w:adjustRightInd w:val="0"/>
              <w:spacing w:line="324" w:lineRule="auto"/>
              <w:jc w:val="center"/>
              <w:rPr>
                <w:rFonts w:hint="eastAsia" w:ascii="仿宋" w:hAnsi="仿宋" w:eastAsia="仿宋" w:cs="仿宋"/>
                <w:color w:val="000000" w:themeColor="text1"/>
                <w:spacing w:val="-40"/>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磋商供应商资格要求</w:t>
            </w:r>
          </w:p>
        </w:tc>
        <w:tc>
          <w:tcPr>
            <w:tcW w:w="6520" w:type="dxa"/>
            <w:vAlign w:val="center"/>
          </w:tcPr>
          <w:p w14:paraId="31A79255">
            <w:pPr>
              <w:pStyle w:val="21"/>
              <w:spacing w:beforeAutospacing="0" w:afterAutospacing="0" w:line="440" w:lineRule="atLeast"/>
              <w:ind w:firstLine="480" w:firstLineChars="200"/>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详见招标公告</w:t>
            </w:r>
          </w:p>
        </w:tc>
      </w:tr>
      <w:tr w14:paraId="73345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7A2F2944">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12</w:t>
            </w:r>
          </w:p>
        </w:tc>
        <w:tc>
          <w:tcPr>
            <w:tcW w:w="1701" w:type="dxa"/>
            <w:vAlign w:val="center"/>
          </w:tcPr>
          <w:p w14:paraId="24B61668">
            <w:pPr>
              <w:adjustRightInd w:val="0"/>
              <w:spacing w:line="324"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竞争性磋商有效</w:t>
            </w:r>
            <w:r>
              <w:rPr>
                <w:rFonts w:hint="eastAsia" w:ascii="仿宋" w:hAnsi="仿宋" w:eastAsia="仿宋" w:cs="仿宋"/>
                <w:color w:val="000000" w:themeColor="text1"/>
                <w:sz w:val="24"/>
                <w:szCs w:val="24"/>
                <w:highlight w:val="none"/>
                <w14:textFill>
                  <w14:solidFill>
                    <w14:schemeClr w14:val="tx1"/>
                  </w14:solidFill>
                </w14:textFill>
              </w:rPr>
              <w:t>期</w:t>
            </w:r>
          </w:p>
        </w:tc>
        <w:tc>
          <w:tcPr>
            <w:tcW w:w="6520" w:type="dxa"/>
            <w:vAlign w:val="center"/>
          </w:tcPr>
          <w:p w14:paraId="1FCACDA9">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60日历天(从磋商截止之日算起)</w:t>
            </w:r>
          </w:p>
        </w:tc>
      </w:tr>
      <w:tr w14:paraId="1A9FD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993" w:type="dxa"/>
            <w:vAlign w:val="center"/>
          </w:tcPr>
          <w:p w14:paraId="0D26A4D1">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13</w:t>
            </w:r>
          </w:p>
        </w:tc>
        <w:tc>
          <w:tcPr>
            <w:tcW w:w="1701" w:type="dxa"/>
            <w:vAlign w:val="center"/>
          </w:tcPr>
          <w:p w14:paraId="79DF034B">
            <w:pPr>
              <w:adjustRightInd w:val="0"/>
              <w:spacing w:line="324" w:lineRule="auto"/>
              <w:jc w:val="center"/>
              <w:rPr>
                <w:rFonts w:hint="eastAsia" w:ascii="仿宋" w:hAnsi="仿宋" w:eastAsia="仿宋" w:cs="仿宋"/>
                <w:color w:val="000000" w:themeColor="text1"/>
                <w:spacing w:val="-10"/>
                <w:sz w:val="24"/>
                <w:szCs w:val="24"/>
                <w:highlight w:val="none"/>
                <w14:textFill>
                  <w14:solidFill>
                    <w14:schemeClr w14:val="tx1"/>
                  </w14:solidFill>
                </w14:textFill>
              </w:rPr>
            </w:pPr>
            <w:r>
              <w:rPr>
                <w:rFonts w:hint="eastAsia" w:ascii="仿宋" w:hAnsi="仿宋" w:eastAsia="仿宋" w:cs="仿宋"/>
                <w:color w:val="000000" w:themeColor="text1"/>
                <w:spacing w:val="-10"/>
                <w:sz w:val="24"/>
                <w:szCs w:val="24"/>
                <w:highlight w:val="none"/>
                <w14:textFill>
                  <w14:solidFill>
                    <w14:schemeClr w14:val="tx1"/>
                  </w14:solidFill>
                </w14:textFill>
              </w:rPr>
              <w:t>竞争性磋商保证金</w:t>
            </w:r>
          </w:p>
        </w:tc>
        <w:tc>
          <w:tcPr>
            <w:tcW w:w="6520" w:type="dxa"/>
            <w:vAlign w:val="center"/>
          </w:tcPr>
          <w:p w14:paraId="47C03FE5">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根据《河南省财政厅关于优化政府采购营商环境有关问题的通知》（豫财购【2019】4号）第6条的规定，磋商保证金不再收取。</w:t>
            </w:r>
          </w:p>
        </w:tc>
      </w:tr>
      <w:tr w14:paraId="610C4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93" w:type="dxa"/>
            <w:vAlign w:val="center"/>
          </w:tcPr>
          <w:p w14:paraId="2F0ED510">
            <w:pPr>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w:t>
            </w:r>
          </w:p>
        </w:tc>
        <w:tc>
          <w:tcPr>
            <w:tcW w:w="1701" w:type="dxa"/>
            <w:vAlign w:val="center"/>
          </w:tcPr>
          <w:p w14:paraId="65BD993B">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付款方式</w:t>
            </w:r>
          </w:p>
        </w:tc>
        <w:tc>
          <w:tcPr>
            <w:tcW w:w="6520" w:type="dxa"/>
            <w:vAlign w:val="center"/>
          </w:tcPr>
          <w:p w14:paraId="44E6A6FF">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双方协商</w:t>
            </w:r>
          </w:p>
        </w:tc>
      </w:tr>
      <w:tr w14:paraId="3EC47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4218E754">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15</w:t>
            </w:r>
          </w:p>
        </w:tc>
        <w:tc>
          <w:tcPr>
            <w:tcW w:w="1701" w:type="dxa"/>
            <w:vAlign w:val="center"/>
          </w:tcPr>
          <w:p w14:paraId="03A351FA">
            <w:pPr>
              <w:adjustRightInd w:val="0"/>
              <w:spacing w:line="324" w:lineRule="auto"/>
              <w:jc w:val="cente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是否允许提交备选方案</w:t>
            </w:r>
          </w:p>
        </w:tc>
        <w:tc>
          <w:tcPr>
            <w:tcW w:w="6520" w:type="dxa"/>
            <w:vAlign w:val="center"/>
          </w:tcPr>
          <w:p w14:paraId="6F7C9BEB">
            <w:pPr>
              <w:adjustRightInd w:val="0"/>
              <w:spacing w:line="324" w:lineRule="auto"/>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不允许</w:t>
            </w:r>
          </w:p>
        </w:tc>
      </w:tr>
      <w:tr w14:paraId="0C77D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6CD9964D">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16</w:t>
            </w:r>
          </w:p>
        </w:tc>
        <w:tc>
          <w:tcPr>
            <w:tcW w:w="1701" w:type="dxa"/>
            <w:vAlign w:val="center"/>
          </w:tcPr>
          <w:p w14:paraId="43A4C8F0">
            <w:pPr>
              <w:adjustRightInd w:val="0"/>
              <w:spacing w:line="324" w:lineRule="auto"/>
              <w:jc w:val="lef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磋商响应文件递交截止时间</w:t>
            </w:r>
          </w:p>
        </w:tc>
        <w:tc>
          <w:tcPr>
            <w:tcW w:w="6520" w:type="dxa"/>
            <w:vAlign w:val="center"/>
          </w:tcPr>
          <w:p w14:paraId="5CC32939">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时间：</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2025</w:t>
            </w:r>
            <w:r>
              <w:rPr>
                <w:rFonts w:hint="eastAsia" w:cs="Times New Roman" w:asciiTheme="minorEastAsia" w:hAnsi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11</w:t>
            </w:r>
            <w:r>
              <w:rPr>
                <w:rFonts w:hint="eastAsia" w:cs="Times New Roman" w:asciiTheme="minorEastAsia" w:hAnsi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21</w:t>
            </w:r>
            <w:r>
              <w:rPr>
                <w:rFonts w:hint="eastAsia" w:cs="Times New Roman" w:asciiTheme="minorEastAsia" w:hAnsiTheme="minorEastAsia"/>
                <w:color w:val="000000" w:themeColor="text1"/>
                <w:sz w:val="24"/>
                <w:szCs w:val="24"/>
                <w:highlight w:val="none"/>
                <w14:textFill>
                  <w14:solidFill>
                    <w14:schemeClr w14:val="tx1"/>
                  </w14:solidFill>
                </w14:textFill>
              </w:rPr>
              <w:t>日</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09</w:t>
            </w:r>
            <w:r>
              <w:rPr>
                <w:rFonts w:hint="eastAsia" w:cs="Times New Roman" w:asciiTheme="minorEastAsia" w:hAnsiTheme="minorEastAsia"/>
                <w:color w:val="000000" w:themeColor="text1"/>
                <w:sz w:val="24"/>
                <w:szCs w:val="24"/>
                <w:highlight w:val="none"/>
                <w14:textFill>
                  <w14:solidFill>
                    <w14:schemeClr w14:val="tx1"/>
                  </w14:solidFill>
                </w14:textFill>
              </w:rPr>
              <w:t>时</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00</w:t>
            </w:r>
            <w:r>
              <w:rPr>
                <w:rFonts w:hint="eastAsia" w:cs="Times New Roman" w:asciiTheme="minorEastAsia" w:hAnsiTheme="minorEastAsia"/>
                <w:color w:val="000000" w:themeColor="text1"/>
                <w:sz w:val="24"/>
                <w:szCs w:val="24"/>
                <w:highlight w:val="none"/>
                <w14:textFill>
                  <w14:solidFill>
                    <w14:schemeClr w14:val="tx1"/>
                  </w14:solidFill>
                </w14:textFill>
              </w:rPr>
              <w:t>分</w:t>
            </w:r>
          </w:p>
        </w:tc>
      </w:tr>
      <w:tr w14:paraId="2441B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93" w:type="dxa"/>
            <w:vAlign w:val="center"/>
          </w:tcPr>
          <w:p w14:paraId="75EA0CF2">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17</w:t>
            </w:r>
          </w:p>
        </w:tc>
        <w:tc>
          <w:tcPr>
            <w:tcW w:w="1701" w:type="dxa"/>
            <w:vAlign w:val="center"/>
          </w:tcPr>
          <w:p w14:paraId="241A52B0">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spacing w:val="6"/>
                <w:sz w:val="24"/>
                <w:szCs w:val="24"/>
                <w:highlight w:val="none"/>
              </w:rPr>
              <w:t>竞争性磋商响应文件上传</w:t>
            </w:r>
          </w:p>
        </w:tc>
        <w:tc>
          <w:tcPr>
            <w:tcW w:w="6520" w:type="dxa"/>
            <w:vAlign w:val="center"/>
          </w:tcPr>
          <w:p w14:paraId="40BA44D8">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响应文件的电子版用企业和法人CA数字证书在磋商截止时间前上传至“三门峡市公共资源交易中心网站”。</w:t>
            </w:r>
          </w:p>
        </w:tc>
      </w:tr>
      <w:tr w14:paraId="1F303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76E04068">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18</w:t>
            </w:r>
          </w:p>
        </w:tc>
        <w:tc>
          <w:tcPr>
            <w:tcW w:w="1701" w:type="dxa"/>
            <w:vAlign w:val="center"/>
          </w:tcPr>
          <w:p w14:paraId="6F127374">
            <w:pPr>
              <w:adjustRightInd w:val="0"/>
              <w:spacing w:line="324" w:lineRule="auto"/>
              <w:jc w:val="center"/>
              <w:rPr>
                <w:rFonts w:hint="eastAsia" w:ascii="仿宋" w:hAnsi="仿宋" w:eastAsia="仿宋" w:cs="仿宋"/>
                <w:color w:val="000000" w:themeColor="text1"/>
                <w:spacing w:val="-10"/>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响应人要求澄清竞争性磋商文件的截止时间</w:t>
            </w:r>
          </w:p>
        </w:tc>
        <w:tc>
          <w:tcPr>
            <w:tcW w:w="6520" w:type="dxa"/>
            <w:vAlign w:val="center"/>
          </w:tcPr>
          <w:p w14:paraId="1F13C643">
            <w:pP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响应文件递交截止时间5日前</w:t>
            </w:r>
          </w:p>
        </w:tc>
      </w:tr>
      <w:tr w14:paraId="7635A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1CB5AE27">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19</w:t>
            </w:r>
          </w:p>
        </w:tc>
        <w:tc>
          <w:tcPr>
            <w:tcW w:w="1701" w:type="dxa"/>
            <w:vAlign w:val="center"/>
          </w:tcPr>
          <w:p w14:paraId="000D466F">
            <w:pPr>
              <w:spacing w:line="440" w:lineRule="exact"/>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响应人确认收到竞争性磋商文件澄清的时间</w:t>
            </w:r>
          </w:p>
        </w:tc>
        <w:tc>
          <w:tcPr>
            <w:tcW w:w="6520" w:type="dxa"/>
            <w:vAlign w:val="center"/>
          </w:tcPr>
          <w:p w14:paraId="70B4E75D">
            <w:pPr>
              <w:pStyle w:val="22"/>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在收到相应澄清文件后 24 小时内</w:t>
            </w:r>
          </w:p>
        </w:tc>
      </w:tr>
      <w:tr w14:paraId="5004C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226F4FA8">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20</w:t>
            </w:r>
          </w:p>
        </w:tc>
        <w:tc>
          <w:tcPr>
            <w:tcW w:w="1701" w:type="dxa"/>
            <w:vAlign w:val="center"/>
          </w:tcPr>
          <w:p w14:paraId="1FDAF503">
            <w:pPr>
              <w:spacing w:line="440" w:lineRule="exact"/>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响应人确认收到竞争性磋商文件修改的时间</w:t>
            </w:r>
          </w:p>
        </w:tc>
        <w:tc>
          <w:tcPr>
            <w:tcW w:w="6520" w:type="dxa"/>
            <w:vAlign w:val="center"/>
          </w:tcPr>
          <w:p w14:paraId="308694B4">
            <w:pPr>
              <w:widowControl/>
              <w:spacing w:line="400" w:lineRule="atLeas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在收到相应修改文件后 24小时内</w:t>
            </w:r>
          </w:p>
        </w:tc>
      </w:tr>
      <w:tr w14:paraId="5205F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5DF4AF87">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21</w:t>
            </w:r>
          </w:p>
        </w:tc>
        <w:tc>
          <w:tcPr>
            <w:tcW w:w="1701" w:type="dxa"/>
            <w:vAlign w:val="center"/>
          </w:tcPr>
          <w:p w14:paraId="09C6CFC6">
            <w:pPr>
              <w:widowControl/>
              <w:spacing w:line="400" w:lineRule="atLeas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响应文件是否退还</w:t>
            </w:r>
          </w:p>
        </w:tc>
        <w:tc>
          <w:tcPr>
            <w:tcW w:w="6520" w:type="dxa"/>
            <w:vAlign w:val="center"/>
          </w:tcPr>
          <w:p w14:paraId="363D151E">
            <w:pPr>
              <w:widowControl/>
              <w:spacing w:line="400" w:lineRule="atLeas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否</w:t>
            </w:r>
          </w:p>
        </w:tc>
      </w:tr>
      <w:tr w14:paraId="13C8F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032E5322">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22</w:t>
            </w:r>
          </w:p>
        </w:tc>
        <w:tc>
          <w:tcPr>
            <w:tcW w:w="1701" w:type="dxa"/>
            <w:vAlign w:val="center"/>
          </w:tcPr>
          <w:p w14:paraId="02C2B699">
            <w:pPr>
              <w:widowControl/>
              <w:spacing w:line="400" w:lineRule="atLeas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是否允许递交备选磋商方案</w:t>
            </w:r>
          </w:p>
        </w:tc>
        <w:tc>
          <w:tcPr>
            <w:tcW w:w="6520" w:type="dxa"/>
            <w:vAlign w:val="center"/>
          </w:tcPr>
          <w:p w14:paraId="5AD53647">
            <w:pPr>
              <w:widowControl/>
              <w:spacing w:line="400" w:lineRule="atLeast"/>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不允许</w:t>
            </w:r>
          </w:p>
        </w:tc>
      </w:tr>
      <w:tr w14:paraId="584AC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9" w:hRule="atLeast"/>
        </w:trPr>
        <w:tc>
          <w:tcPr>
            <w:tcW w:w="993" w:type="dxa"/>
            <w:vAlign w:val="center"/>
          </w:tcPr>
          <w:p w14:paraId="09B0A561">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23</w:t>
            </w:r>
          </w:p>
        </w:tc>
        <w:tc>
          <w:tcPr>
            <w:tcW w:w="1701" w:type="dxa"/>
            <w:vAlign w:val="center"/>
          </w:tcPr>
          <w:p w14:paraId="79B446B6">
            <w:pPr>
              <w:adjustRightInd w:val="0"/>
              <w:spacing w:line="324" w:lineRule="auto"/>
              <w:rPr>
                <w:rFonts w:hint="eastAsia" w:ascii="仿宋" w:hAnsi="仿宋" w:eastAsia="仿宋" w:cs="仿宋"/>
                <w:spacing w:val="6"/>
                <w:sz w:val="24"/>
                <w:szCs w:val="24"/>
                <w:highlight w:val="none"/>
              </w:rPr>
            </w:pPr>
            <w:r>
              <w:rPr>
                <w:rFonts w:hint="eastAsia" w:ascii="仿宋" w:hAnsi="仿宋" w:eastAsia="仿宋" w:cs="仿宋"/>
                <w:color w:val="000000" w:themeColor="text1"/>
                <w:spacing w:val="6"/>
                <w:sz w:val="24"/>
                <w:szCs w:val="24"/>
                <w:highlight w:val="none"/>
                <w14:textFill>
                  <w14:solidFill>
                    <w14:schemeClr w14:val="tx1"/>
                  </w14:solidFill>
                </w14:textFill>
              </w:rPr>
              <w:t>磋商小组的组建</w:t>
            </w:r>
          </w:p>
        </w:tc>
        <w:tc>
          <w:tcPr>
            <w:tcW w:w="6520" w:type="dxa"/>
            <w:vAlign w:val="center"/>
          </w:tcPr>
          <w:p w14:paraId="11EF9CD5">
            <w:pPr>
              <w:pStyle w:val="22"/>
              <w:ind w:firstLine="0" w:firstLineChars="0"/>
              <w:rPr>
                <w:rFonts w:hint="eastAsia" w:ascii="仿宋" w:hAnsi="仿宋" w:eastAsia="仿宋" w:cs="仿宋"/>
                <w:color w:val="000000" w:themeColor="text1"/>
                <w:spacing w:val="6"/>
                <w:kern w:val="2"/>
                <w:sz w:val="24"/>
                <w:szCs w:val="24"/>
                <w:highlight w:val="none"/>
                <w:lang w:val="zh-TW"/>
                <w14:textFill>
                  <w14:solidFill>
                    <w14:schemeClr w14:val="tx1"/>
                  </w14:solidFill>
                </w14:textFill>
              </w:rPr>
            </w:pPr>
            <w:r>
              <w:rPr>
                <w:rFonts w:hint="eastAsia" w:ascii="仿宋" w:hAnsi="仿宋" w:eastAsia="仿宋" w:cs="仿宋"/>
                <w:color w:val="000000" w:themeColor="text1"/>
                <w:spacing w:val="6"/>
                <w:kern w:val="2"/>
                <w:sz w:val="24"/>
                <w:szCs w:val="24"/>
                <w:highlight w:val="none"/>
                <w14:textFill>
                  <w14:solidFill>
                    <w14:schemeClr w14:val="tx1"/>
                  </w14:solidFill>
                </w14:textFill>
              </w:rPr>
              <w:t>磋商小组成员为3人，其中采购人代表1人，</w:t>
            </w:r>
            <w:r>
              <w:rPr>
                <w:rFonts w:hint="eastAsia" w:ascii="仿宋" w:hAnsi="仿宋" w:eastAsia="仿宋" w:cs="仿宋"/>
                <w:color w:val="000000" w:themeColor="text1"/>
                <w:spacing w:val="6"/>
                <w:kern w:val="2"/>
                <w:sz w:val="24"/>
                <w:szCs w:val="24"/>
                <w:highlight w:val="none"/>
                <w:lang w:val="zh-TW"/>
                <w14:textFill>
                  <w14:solidFill>
                    <w14:schemeClr w14:val="tx1"/>
                  </w14:solidFill>
                </w14:textFill>
              </w:rPr>
              <w:t>其余专家2人从河南省政府采购评审专家库中随机抽取。</w:t>
            </w:r>
          </w:p>
          <w:p w14:paraId="6DC080FD">
            <w:pPr>
              <w:adjustRightInd w:val="0"/>
              <w:spacing w:line="324" w:lineRule="auto"/>
              <w:rPr>
                <w:rFonts w:hint="eastAsia" w:ascii="仿宋" w:hAnsi="仿宋" w:eastAsia="仿宋" w:cs="仿宋"/>
                <w:spacing w:val="6"/>
                <w:sz w:val="24"/>
                <w:szCs w:val="24"/>
                <w:highlight w:val="none"/>
              </w:rPr>
            </w:pPr>
            <w:r>
              <w:rPr>
                <w:rFonts w:hint="eastAsia" w:ascii="仿宋" w:hAnsi="仿宋" w:eastAsia="仿宋" w:cs="仿宋"/>
                <w:color w:val="000000" w:themeColor="text1"/>
                <w:spacing w:val="6"/>
                <w:sz w:val="24"/>
                <w:szCs w:val="24"/>
                <w:highlight w:val="none"/>
                <w:lang w:val="zh-TW"/>
                <w14:textFill>
                  <w14:solidFill>
                    <w14:schemeClr w14:val="tx1"/>
                  </w14:solidFill>
                </w14:textFill>
              </w:rPr>
              <w:t>注：</w:t>
            </w:r>
            <w:r>
              <w:rPr>
                <w:rFonts w:hint="eastAsia" w:ascii="仿宋" w:hAnsi="仿宋" w:eastAsia="仿宋" w:cs="仿宋"/>
                <w:color w:val="000000" w:themeColor="text1"/>
                <w:spacing w:val="6"/>
                <w:sz w:val="24"/>
                <w:szCs w:val="24"/>
                <w:highlight w:val="none"/>
                <w14:textFill>
                  <w14:solidFill>
                    <w14:schemeClr w14:val="tx1"/>
                  </w14:solidFill>
                </w14:textFill>
              </w:rPr>
              <w:t>业主评委无评标劳务费用.</w:t>
            </w:r>
          </w:p>
        </w:tc>
      </w:tr>
      <w:tr w14:paraId="1E798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3" w:type="dxa"/>
            <w:vAlign w:val="center"/>
          </w:tcPr>
          <w:p w14:paraId="0077C261">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24</w:t>
            </w:r>
          </w:p>
        </w:tc>
        <w:tc>
          <w:tcPr>
            <w:tcW w:w="1701" w:type="dxa"/>
            <w:vAlign w:val="center"/>
          </w:tcPr>
          <w:p w14:paraId="751BECB2">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是否授权磋商小组确定成交人</w:t>
            </w:r>
          </w:p>
        </w:tc>
        <w:tc>
          <w:tcPr>
            <w:tcW w:w="6520" w:type="dxa"/>
            <w:vAlign w:val="center"/>
          </w:tcPr>
          <w:p w14:paraId="2FB49057">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否，根据排名推荐3名成交候选人</w:t>
            </w:r>
          </w:p>
        </w:tc>
      </w:tr>
      <w:tr w14:paraId="2091B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trPr>
        <w:tc>
          <w:tcPr>
            <w:tcW w:w="993" w:type="dxa"/>
            <w:vAlign w:val="center"/>
          </w:tcPr>
          <w:p w14:paraId="07DF9B95">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25</w:t>
            </w:r>
          </w:p>
        </w:tc>
        <w:tc>
          <w:tcPr>
            <w:tcW w:w="1701" w:type="dxa"/>
            <w:vAlign w:val="center"/>
          </w:tcPr>
          <w:p w14:paraId="3E0274EA">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磋商标准及方法</w:t>
            </w:r>
          </w:p>
        </w:tc>
        <w:tc>
          <w:tcPr>
            <w:tcW w:w="6520" w:type="dxa"/>
            <w:vAlign w:val="center"/>
          </w:tcPr>
          <w:p w14:paraId="7D239ED7">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74C92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3" w:type="dxa"/>
            <w:vAlign w:val="center"/>
          </w:tcPr>
          <w:p w14:paraId="14597032">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26</w:t>
            </w:r>
          </w:p>
        </w:tc>
        <w:tc>
          <w:tcPr>
            <w:tcW w:w="1701" w:type="dxa"/>
            <w:vAlign w:val="center"/>
          </w:tcPr>
          <w:p w14:paraId="24805777">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履约保证金</w:t>
            </w:r>
          </w:p>
        </w:tc>
        <w:tc>
          <w:tcPr>
            <w:tcW w:w="6520" w:type="dxa"/>
            <w:vAlign w:val="center"/>
          </w:tcPr>
          <w:p w14:paraId="7F5587AD">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无</w:t>
            </w:r>
          </w:p>
        </w:tc>
      </w:tr>
      <w:tr w14:paraId="5EE17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01C1E6F3">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27</w:t>
            </w:r>
          </w:p>
        </w:tc>
        <w:tc>
          <w:tcPr>
            <w:tcW w:w="1701" w:type="dxa"/>
            <w:vAlign w:val="center"/>
          </w:tcPr>
          <w:p w14:paraId="21F1B28F">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spacing w:val="6"/>
                <w:sz w:val="24"/>
                <w:szCs w:val="24"/>
                <w:highlight w:val="none"/>
              </w:rPr>
              <w:t>最高限价</w:t>
            </w:r>
          </w:p>
        </w:tc>
        <w:tc>
          <w:tcPr>
            <w:tcW w:w="6520" w:type="dxa"/>
            <w:vAlign w:val="center"/>
          </w:tcPr>
          <w:p w14:paraId="1318B0E8">
            <w:pPr>
              <w:adjustRightInd w:val="0"/>
              <w:spacing w:line="324" w:lineRule="auto"/>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本项目最高限价：</w:t>
            </w:r>
            <w:r>
              <w:rPr>
                <w:rFonts w:hint="eastAsia" w:ascii="仿宋" w:hAnsi="仿宋" w:eastAsia="仿宋" w:cs="仿宋"/>
                <w:spacing w:val="6"/>
                <w:sz w:val="24"/>
                <w:szCs w:val="24"/>
                <w:highlight w:val="none"/>
                <w:lang w:val="en-US" w:eastAsia="zh-CN"/>
              </w:rPr>
              <w:t>480000.00</w:t>
            </w:r>
            <w:r>
              <w:rPr>
                <w:rFonts w:hint="eastAsia" w:ascii="仿宋" w:hAnsi="仿宋" w:eastAsia="仿宋" w:cs="仿宋"/>
                <w:spacing w:val="6"/>
                <w:sz w:val="24"/>
                <w:szCs w:val="24"/>
                <w:highlight w:val="none"/>
              </w:rPr>
              <w:t>元</w:t>
            </w:r>
          </w:p>
          <w:p w14:paraId="02C5700F">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spacing w:val="6"/>
                <w:sz w:val="24"/>
                <w:szCs w:val="24"/>
                <w:highlight w:val="none"/>
              </w:rPr>
              <w:t>磋商供应商磋商报价超出“最高限价”的，该磋商供应商按无效处理。</w:t>
            </w:r>
          </w:p>
        </w:tc>
      </w:tr>
      <w:tr w14:paraId="37553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59CF5883">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28</w:t>
            </w:r>
          </w:p>
        </w:tc>
        <w:tc>
          <w:tcPr>
            <w:tcW w:w="1701" w:type="dxa"/>
            <w:vAlign w:val="center"/>
          </w:tcPr>
          <w:p w14:paraId="72A2DA11">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报价</w:t>
            </w:r>
          </w:p>
        </w:tc>
        <w:tc>
          <w:tcPr>
            <w:tcW w:w="6520" w:type="dxa"/>
            <w:vAlign w:val="center"/>
          </w:tcPr>
          <w:p w14:paraId="2B5A9DB0">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本次磋商应以人民币报价，分两次进行报价。</w:t>
            </w:r>
          </w:p>
        </w:tc>
      </w:tr>
      <w:tr w14:paraId="5F940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93" w:type="dxa"/>
            <w:vAlign w:val="center"/>
          </w:tcPr>
          <w:p w14:paraId="023C3539">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29</w:t>
            </w:r>
          </w:p>
        </w:tc>
        <w:tc>
          <w:tcPr>
            <w:tcW w:w="1701" w:type="dxa"/>
            <w:vAlign w:val="center"/>
          </w:tcPr>
          <w:p w14:paraId="13F8ED62">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代理服务费</w:t>
            </w:r>
          </w:p>
        </w:tc>
        <w:tc>
          <w:tcPr>
            <w:tcW w:w="6520" w:type="dxa"/>
            <w:vAlign w:val="center"/>
          </w:tcPr>
          <w:p w14:paraId="7D64C850">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招标代理服务费参照《河南省招标代理服务收费指导意见》（豫招协【2023】002号）计取，由中标人支付。</w:t>
            </w:r>
          </w:p>
        </w:tc>
      </w:tr>
      <w:tr w14:paraId="7D8E8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993" w:type="dxa"/>
            <w:vAlign w:val="center"/>
          </w:tcPr>
          <w:p w14:paraId="2F8EABDE">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30</w:t>
            </w:r>
          </w:p>
        </w:tc>
        <w:tc>
          <w:tcPr>
            <w:tcW w:w="1701" w:type="dxa"/>
            <w:vAlign w:val="center"/>
          </w:tcPr>
          <w:p w14:paraId="003BFD29">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电子化注意事项</w:t>
            </w:r>
          </w:p>
        </w:tc>
        <w:tc>
          <w:tcPr>
            <w:tcW w:w="6520" w:type="dxa"/>
            <w:vAlign w:val="center"/>
          </w:tcPr>
          <w:p w14:paraId="02BA23B4">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5F93DDAD">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电子化响应文件具体制作文件请点击https://download.bqpoint.com/download/downloadlist.html?SoftTypeCode=06进行下载。</w:t>
            </w:r>
          </w:p>
          <w:p w14:paraId="065F21E5">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温馨提示：本项目为电子化、无纸化交易项目，为保证您能投标成功，请需仔细阅读以下条款。</w:t>
            </w:r>
          </w:p>
          <w:p w14:paraId="4477CFD2">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一、电子化投标</w:t>
            </w:r>
          </w:p>
          <w:p w14:paraId="4AF55F2A">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（一）电子化响应文件的签章</w:t>
            </w:r>
          </w:p>
          <w:p w14:paraId="68E598D1">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1、响应人在生成电子化响应文件后，应对电子化响应文件进行签章，未进行签章的视为无效投标。</w:t>
            </w:r>
          </w:p>
          <w:p w14:paraId="56C6CAFE">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2、竞争性磋商文件中要求法定代表人或授权委托人签字或盖章的，响应人在进行电子化响应文件签章时，以签盖法定代表人签章为准。</w:t>
            </w:r>
          </w:p>
          <w:p w14:paraId="3B0D1C22">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（二）电子化响应文件的格式及上传投标</w:t>
            </w:r>
          </w:p>
          <w:p w14:paraId="48452467">
            <w:pPr>
              <w:wordWrap w:val="0"/>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17283DCC">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注：响应人投报多个标段的，需要每个标段单独制作电子响应文件。</w:t>
            </w:r>
          </w:p>
          <w:p w14:paraId="4006849F">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0AD12D06">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0979AA3D">
            <w:pPr>
              <w:autoSpaceDE w:val="0"/>
              <w:autoSpaceDN w:val="0"/>
              <w:adjustRightInd w:val="0"/>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技术联系电话：0398-</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3117871</w:t>
            </w:r>
          </w:p>
          <w:p w14:paraId="5B58C49C">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新点客服电话:4009980000</w:t>
            </w:r>
          </w:p>
          <w:p w14:paraId="3D88B58F">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（三）电子化项目开标、解密、评标</w:t>
            </w:r>
          </w:p>
          <w:p w14:paraId="40993351">
            <w:pPr>
              <w:wordWrap w:val="0"/>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1183653C">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52F7C65C">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3、电子化响应文件解密异常的处理</w:t>
            </w:r>
          </w:p>
          <w:p w14:paraId="4B081C1D">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如出现响应人的电子响应文件无法解密等异常情况，响应人应及时致电中介服务机构说明。响应文件异常，按以下步骤进行处理：</w:t>
            </w:r>
          </w:p>
          <w:p w14:paraId="7B5C2BEB">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（1）首先由技术人员进行问题排查。</w:t>
            </w:r>
          </w:p>
          <w:p w14:paraId="5C173FD7">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（2）经技术人员排查后，是响应人文件自身问题导致响应文件无法解密的，该响应文件将不予接收、解密。开标会议继续进行。</w:t>
            </w:r>
          </w:p>
          <w:p w14:paraId="39D1996D">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694148D">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4、待所有响应人响应文件解密完成后，由中介服务机构操作，对所有已解密响应文件进行解密。</w:t>
            </w:r>
          </w:p>
          <w:p w14:paraId="5EFA8306">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4591C617">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A6D1F6A">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6A2C716B">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7、如评标委员会对需要回复的响应人连续三次致电未接通的，视为响应人放弃回复，评标委员会将自行对需要回复的内容进行认定。</w:t>
            </w:r>
          </w:p>
          <w:p w14:paraId="60907739">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二、资格审查资料</w:t>
            </w:r>
          </w:p>
          <w:p w14:paraId="06497CC4">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32665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993" w:type="dxa"/>
            <w:vAlign w:val="center"/>
          </w:tcPr>
          <w:p w14:paraId="70352260">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31</w:t>
            </w:r>
          </w:p>
        </w:tc>
        <w:tc>
          <w:tcPr>
            <w:tcW w:w="1701" w:type="dxa"/>
            <w:shd w:val="clear" w:color="auto" w:fill="auto"/>
            <w:vAlign w:val="center"/>
          </w:tcPr>
          <w:p w14:paraId="0F50E304">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其他要求</w:t>
            </w:r>
          </w:p>
        </w:tc>
        <w:tc>
          <w:tcPr>
            <w:tcW w:w="6520" w:type="dxa"/>
            <w:shd w:val="clear" w:color="auto" w:fill="auto"/>
            <w:vAlign w:val="center"/>
          </w:tcPr>
          <w:p w14:paraId="6CCF381F">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pacing w:val="6"/>
                <w:sz w:val="24"/>
                <w:szCs w:val="24"/>
                <w:highlight w:val="none"/>
                <w14:textFill>
                  <w14:solidFill>
                    <w14:schemeClr w14:val="tx1"/>
                  </w14:solidFill>
                </w14:textFill>
              </w:rPr>
              <w:t>.本项目为电子化、无纸化交易项目，开标时不再接受任何纸质资料，为保证您能投标成功，请需仔细阅读竞争性磋商文件和三门峡市公共资源交易中心官网业务办理指南。</w:t>
            </w:r>
          </w:p>
          <w:p w14:paraId="178FABED">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2.本项目实行资格后审，审查内容以竞争性磋商响应文件为准，其上传资料真实性由供应商自行承担，同时，供应商请完善主体库。</w:t>
            </w:r>
          </w:p>
          <w:p w14:paraId="1D9DD630">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3.评标打分部分：评标打分部分仍按照100分制原则进行，涉及到资格审查、企业荣誉、企业业绩等计分部分时，以投标单位自行上传到磋商响应文件中的相应内容为准。</w:t>
            </w:r>
          </w:p>
          <w:p w14:paraId="12CA0C0B">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4.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5568DC50">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5.我单位（采购人）严格按三财购【2021】9号文要求的时限发布中标结果公告，发出中标通知书，签订采购合同，上传采购合同。</w:t>
            </w:r>
          </w:p>
        </w:tc>
      </w:tr>
      <w:tr w14:paraId="2876A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993" w:type="dxa"/>
            <w:vAlign w:val="center"/>
          </w:tcPr>
          <w:p w14:paraId="23E31E1D">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32</w:t>
            </w:r>
          </w:p>
        </w:tc>
        <w:tc>
          <w:tcPr>
            <w:tcW w:w="1701" w:type="dxa"/>
            <w:shd w:val="clear" w:color="auto" w:fill="auto"/>
            <w:vAlign w:val="center"/>
          </w:tcPr>
          <w:p w14:paraId="0D24AE30">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政府采购政策</w:t>
            </w:r>
          </w:p>
        </w:tc>
        <w:tc>
          <w:tcPr>
            <w:tcW w:w="6520" w:type="dxa"/>
            <w:shd w:val="clear" w:color="auto" w:fill="auto"/>
            <w:vAlign w:val="center"/>
          </w:tcPr>
          <w:p w14:paraId="7DCEB7D5">
            <w:pPr>
              <w:spacing w:line="360" w:lineRule="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1.本项目专门面向中小企业采购（监狱企业、残疾人福利性企业视同小微企业）</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p>
          <w:p w14:paraId="02C60A5C">
            <w:pPr>
              <w:spacing w:line="360" w:lineRule="auto"/>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本项目所属行业：</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服务业</w:t>
            </w:r>
          </w:p>
          <w:p w14:paraId="2A9FF0A1">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AC7B2CB">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3DB6FC45">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760A0C4B">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p w14:paraId="4793DAAF">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中小企业划分标准</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按照《工业和信息化部、国家统计局、国家发展和改革委员会、财政部关于印发中小企业划型标准规定的通知》（工信部联企业〔2011〕300号）规定的中小企业划分标准。</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698851C0">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2.节能产品、环境标志产品政府采购政策：</w:t>
            </w:r>
          </w:p>
          <w:p w14:paraId="0F1E03B9">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根据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国家公布的认证机构认证的处于有效期之内的节能产品(政府强制采购产品除外)、环境标志产品。供应商应提供国家公布的认证机构出具的处于有效期之内的节能产品、环境标志产品认证证书。</w:t>
            </w:r>
          </w:p>
          <w:p w14:paraId="0E1A07AC">
            <w:pPr>
              <w:spacing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对于同时获得节能产品和环境标志产品认证证书产品，只给予其中一种认证证书产品优先采购。</w:t>
            </w:r>
          </w:p>
          <w:p w14:paraId="4F4BB601">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按品目清单内的政府优先采购节能产品和环境标志产品金额之和占其总价的比例，比例高的优先。</w:t>
            </w:r>
          </w:p>
        </w:tc>
      </w:tr>
      <w:tr w14:paraId="2BFB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993" w:type="dxa"/>
            <w:vAlign w:val="center"/>
          </w:tcPr>
          <w:p w14:paraId="2B183D31">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33</w:t>
            </w:r>
          </w:p>
        </w:tc>
        <w:tc>
          <w:tcPr>
            <w:tcW w:w="1701" w:type="dxa"/>
            <w:shd w:val="clear" w:color="auto" w:fill="auto"/>
            <w:vAlign w:val="center"/>
          </w:tcPr>
          <w:p w14:paraId="022A0446">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政府采购合同融资政策</w:t>
            </w:r>
          </w:p>
        </w:tc>
        <w:tc>
          <w:tcPr>
            <w:tcW w:w="6520" w:type="dxa"/>
            <w:shd w:val="clear" w:color="auto" w:fill="auto"/>
            <w:vAlign w:val="center"/>
          </w:tcPr>
          <w:p w14:paraId="108C33DE">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成交供应商中标后，如需融资，参照《河南省政府采购合同融资工作实施方案》（豫财购〔2017〕10号）执行。</w:t>
            </w:r>
          </w:p>
        </w:tc>
      </w:tr>
      <w:tr w14:paraId="19DB7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993" w:type="dxa"/>
            <w:vAlign w:val="center"/>
          </w:tcPr>
          <w:p w14:paraId="65E193DB">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34</w:t>
            </w:r>
          </w:p>
        </w:tc>
        <w:tc>
          <w:tcPr>
            <w:tcW w:w="1701" w:type="dxa"/>
            <w:shd w:val="clear" w:color="auto" w:fill="auto"/>
            <w:vAlign w:val="center"/>
          </w:tcPr>
          <w:p w14:paraId="09E8E22F">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近年完成的类似项目的业绩年份要求</w:t>
            </w:r>
          </w:p>
        </w:tc>
        <w:tc>
          <w:tcPr>
            <w:tcW w:w="6520" w:type="dxa"/>
            <w:shd w:val="clear" w:color="auto" w:fill="auto"/>
            <w:vAlign w:val="center"/>
          </w:tcPr>
          <w:p w14:paraId="33CCEF64">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202</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6"/>
                <w:sz w:val="24"/>
                <w:szCs w:val="24"/>
                <w:highlight w:val="none"/>
                <w14:textFill>
                  <w14:solidFill>
                    <w14:schemeClr w14:val="tx1"/>
                  </w14:solidFill>
                </w14:textFill>
              </w:rPr>
              <w:t>年01月01日以来完成类似项目</w:t>
            </w:r>
          </w:p>
        </w:tc>
      </w:tr>
      <w:tr w14:paraId="3A507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993" w:type="dxa"/>
            <w:vAlign w:val="center"/>
          </w:tcPr>
          <w:p w14:paraId="2B4847A3">
            <w:pPr>
              <w:adjustRightInd w:val="0"/>
              <w:spacing w:line="324" w:lineRule="auto"/>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35</w:t>
            </w:r>
          </w:p>
        </w:tc>
        <w:tc>
          <w:tcPr>
            <w:tcW w:w="1701" w:type="dxa"/>
            <w:shd w:val="clear" w:color="auto" w:fill="auto"/>
            <w:vAlign w:val="center"/>
          </w:tcPr>
          <w:p w14:paraId="2B93EC35">
            <w:pPr>
              <w:adjustRightInd w:val="0"/>
              <w:spacing w:line="324"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成交公告发布网站</w:t>
            </w:r>
          </w:p>
        </w:tc>
        <w:tc>
          <w:tcPr>
            <w:tcW w:w="6520" w:type="dxa"/>
            <w:shd w:val="clear" w:color="auto" w:fill="auto"/>
            <w:vAlign w:val="center"/>
          </w:tcPr>
          <w:p w14:paraId="5E9A392D">
            <w:pPr>
              <w:autoSpaceDE w:val="0"/>
              <w:autoSpaceDN w:val="0"/>
              <w:adjustRightInd w:val="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同竞争性磋商公告发布平台。</w:t>
            </w:r>
          </w:p>
        </w:tc>
      </w:tr>
    </w:tbl>
    <w:p w14:paraId="4FBD31AF">
      <w:pPr>
        <w:widowControl/>
        <w:ind w:firstLine="464" w:firstLineChars="200"/>
        <w:jc w:val="left"/>
        <w:rPr>
          <w:rFonts w:hint="eastAsia" w:ascii="仿宋" w:hAnsi="仿宋" w:eastAsia="仿宋" w:cs="仿宋"/>
          <w:color w:val="000000" w:themeColor="text1"/>
          <w:w w:val="97"/>
          <w:kern w:val="0"/>
          <w:sz w:val="24"/>
          <w:szCs w:val="24"/>
          <w:highlight w:val="none"/>
          <w14:textFill>
            <w14:solidFill>
              <w14:schemeClr w14:val="tx1"/>
            </w14:solidFill>
          </w14:textFill>
        </w:rPr>
      </w:pPr>
      <w:r>
        <w:rPr>
          <w:rFonts w:hint="eastAsia" w:ascii="仿宋" w:hAnsi="仿宋" w:eastAsia="仿宋" w:cs="仿宋"/>
          <w:color w:val="000000" w:themeColor="text1"/>
          <w:w w:val="97"/>
          <w:kern w:val="0"/>
          <w:sz w:val="24"/>
          <w:szCs w:val="24"/>
          <w:highlight w:val="none"/>
          <w14:textFill>
            <w14:solidFill>
              <w14:schemeClr w14:val="tx1"/>
            </w14:solidFill>
          </w14:textFill>
        </w:rPr>
        <w:t>一、说明</w:t>
      </w:r>
    </w:p>
    <w:p w14:paraId="501C1410">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1.适用范围</w:t>
      </w:r>
    </w:p>
    <w:p w14:paraId="4FC64FE9">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本竞争性磋商文件仅适用于竞争性磋商公告中所叙述项目的相关采购。</w:t>
      </w:r>
    </w:p>
    <w:p w14:paraId="1C7F53E9">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2.定义</w:t>
      </w:r>
    </w:p>
    <w:p w14:paraId="46B1FB37">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2.1 “采购人”系指本次采购项目的采购单位。</w:t>
      </w:r>
    </w:p>
    <w:p w14:paraId="2487C419">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2.2 “采购代理机构”系指本次采购项目活动组织方。</w:t>
      </w:r>
    </w:p>
    <w:p w14:paraId="5C2E6A8B">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2.3 “供应商”系指购买了本次竞争性磋商文件，且已经提交本次响应性文件。</w:t>
      </w:r>
    </w:p>
    <w:p w14:paraId="4B711D5D">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2.4 “供应商代表”系指代表供应商参加本次磋商活动的磋商供应商的法定代表人或其委托代理人。</w:t>
      </w:r>
    </w:p>
    <w:p w14:paraId="7690C03B">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2.5 “货物”系指供应商按竞争性磋商文件规定的采购人所要求的一切项目内容。</w:t>
      </w:r>
    </w:p>
    <w:p w14:paraId="48AF6DFB">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2.6 “相关服务”系指竞争性磋商文件规定磋商供应商须承担的与本次采购项目相关的服务、协调工作以及其他类似的义务。</w:t>
      </w:r>
    </w:p>
    <w:p w14:paraId="62A0DFB9">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3.磋商最高限价</w:t>
      </w:r>
    </w:p>
    <w:p w14:paraId="5F5AB334">
      <w:pPr>
        <w:ind w:firstLine="468" w:firstLineChars="200"/>
        <w:rPr>
          <w:rFonts w:hint="eastAsia" w:ascii="仿宋" w:hAnsi="仿宋" w:eastAsia="仿宋" w:cs="仿宋"/>
          <w:sz w:val="24"/>
          <w:szCs w:val="24"/>
          <w:highlight w:val="none"/>
        </w:rPr>
      </w:pPr>
      <w:r>
        <w:rPr>
          <w:rFonts w:hint="eastAsia" w:ascii="仿宋" w:hAnsi="仿宋" w:eastAsia="仿宋" w:cs="仿宋"/>
          <w:spacing w:val="-3"/>
          <w:kern w:val="0"/>
          <w:sz w:val="24"/>
          <w:szCs w:val="24"/>
          <w:highlight w:val="none"/>
        </w:rPr>
        <w:t>本次磋商最高限价为：</w:t>
      </w:r>
      <w:r>
        <w:rPr>
          <w:rFonts w:hint="eastAsia" w:ascii="仿宋" w:hAnsi="仿宋" w:eastAsia="仿宋" w:cs="仿宋"/>
          <w:spacing w:val="-3"/>
          <w:kern w:val="0"/>
          <w:sz w:val="24"/>
          <w:szCs w:val="24"/>
          <w:highlight w:val="none"/>
          <w:lang w:val="en-US" w:eastAsia="zh-CN"/>
        </w:rPr>
        <w:t>480000.00</w:t>
      </w:r>
      <w:r>
        <w:rPr>
          <w:rFonts w:hint="eastAsia" w:ascii="仿宋" w:hAnsi="仿宋" w:eastAsia="仿宋" w:cs="仿宋"/>
          <w:sz w:val="24"/>
          <w:szCs w:val="24"/>
          <w:highlight w:val="none"/>
        </w:rPr>
        <w:t>元</w:t>
      </w:r>
    </w:p>
    <w:p w14:paraId="7A515523">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4.供应商应提交的资格证明文件</w:t>
      </w:r>
    </w:p>
    <w:p w14:paraId="7A12F7DC">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详见供应商须知</w:t>
      </w:r>
    </w:p>
    <w:p w14:paraId="0E351A90">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5.联合体参加磋商</w:t>
      </w:r>
    </w:p>
    <w:p w14:paraId="1A665F6B">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本项目不接受联合体参加磋商。</w:t>
      </w:r>
    </w:p>
    <w:p w14:paraId="558D3B58">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6.转包与分包</w:t>
      </w:r>
    </w:p>
    <w:p w14:paraId="1F6F8EEB">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6.1 本项目不允许采取转包方式履行合同。</w:t>
      </w:r>
    </w:p>
    <w:p w14:paraId="0182FE99">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6.2 本项目不允许采取分包方式履行合同。</w:t>
      </w:r>
    </w:p>
    <w:p w14:paraId="16497DFD">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7.特别说明：</w:t>
      </w:r>
    </w:p>
    <w:p w14:paraId="49257B79">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7.1供应商参加磋商所使用的资格、信誉、荣誉、业绩与企业认证必须为本法人所拥有，</w:t>
      </w:r>
    </w:p>
    <w:p w14:paraId="4F17EF77">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7.2供应商代表只能接受一个供应商的委托参加磋商。</w:t>
      </w:r>
    </w:p>
    <w:p w14:paraId="0A3055AA">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7.3 供应商在磋商活动中提供虚假材料或从事其他违法活动的,其响应无效，由相关部门查处。</w:t>
      </w:r>
    </w:p>
    <w:p w14:paraId="0945A67E">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8.质疑和投诉</w:t>
      </w:r>
    </w:p>
    <w:p w14:paraId="39A56A4D">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8.1供应商认为磋商过程和成交结果使自己的合法权益受到损害的，应当在知道或者应知其权益受到损害之日起 7 个工作日内，向采购人或采购代理机构提出质疑。供应商对采购人或采购代理机构的质疑答复不满意或采购人或采购代理机构未在规定时间内作出答复的，可以在答复期满后 15 个工作日内向同级财政部门投诉。</w:t>
      </w:r>
    </w:p>
    <w:p w14:paraId="6FDEF0A1">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321877E">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9.供应商的风险</w:t>
      </w:r>
    </w:p>
    <w:p w14:paraId="5320FC4F">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7DD10F44">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9.1费用承担</w:t>
      </w:r>
    </w:p>
    <w:p w14:paraId="3B9C904C">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投标人应承担其投标文件编制与递交所涉及的一切费用。在任何情况下招标人和招标代理机构对上述费用均不负担任何责任。</w:t>
      </w:r>
    </w:p>
    <w:p w14:paraId="37FAE28A">
      <w:pPr>
        <w:autoSpaceDE w:val="0"/>
        <w:autoSpaceDN w:val="0"/>
        <w:adjustRightInd w:val="0"/>
        <w:spacing w:before="32" w:line="360" w:lineRule="auto"/>
        <w:ind w:right="-58" w:firstLine="468" w:firstLineChars="200"/>
        <w:jc w:val="center"/>
        <w:outlineLvl w:val="1"/>
        <w:rPr>
          <w:rFonts w:hint="eastAsia" w:ascii="仿宋" w:hAnsi="仿宋" w:eastAsia="仿宋" w:cs="仿宋"/>
          <w:color w:val="000000" w:themeColor="text1"/>
          <w:spacing w:val="-3"/>
          <w:kern w:val="0"/>
          <w:sz w:val="24"/>
          <w:szCs w:val="24"/>
          <w:highlight w:val="none"/>
          <w14:textFill>
            <w14:solidFill>
              <w14:schemeClr w14:val="tx1"/>
            </w14:solidFill>
          </w14:textFill>
        </w:rPr>
      </w:pPr>
      <w:bookmarkStart w:id="3" w:name="_Toc109675034"/>
      <w:bookmarkStart w:id="4" w:name="_Toc518571704"/>
      <w:r>
        <w:rPr>
          <w:rFonts w:hint="eastAsia" w:ascii="仿宋" w:hAnsi="仿宋" w:eastAsia="仿宋" w:cs="仿宋"/>
          <w:color w:val="000000" w:themeColor="text1"/>
          <w:spacing w:val="-3"/>
          <w:kern w:val="0"/>
          <w:sz w:val="24"/>
          <w:szCs w:val="24"/>
          <w:highlight w:val="none"/>
          <w14:textFill>
            <w14:solidFill>
              <w14:schemeClr w14:val="tx1"/>
            </w14:solidFill>
          </w14:textFill>
        </w:rPr>
        <w:t>二、竞争性磋商文件</w:t>
      </w:r>
      <w:bookmarkEnd w:id="3"/>
      <w:bookmarkEnd w:id="4"/>
    </w:p>
    <w:p w14:paraId="02B3ADD7">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10.竞争性磋商文件的构成。本竞争性磋商文件由以下部分组成：</w:t>
      </w:r>
    </w:p>
    <w:p w14:paraId="6427AF66">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10.1 竞争性磋商公告</w:t>
      </w:r>
    </w:p>
    <w:p w14:paraId="0086D543">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10.2 供应商须知</w:t>
      </w:r>
    </w:p>
    <w:p w14:paraId="141F97C2">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10.3 服务需求</w:t>
      </w:r>
    </w:p>
    <w:p w14:paraId="33F412A5">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10.4 合同条款及合同文件格式</w:t>
      </w:r>
    </w:p>
    <w:p w14:paraId="41B846F5">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10.5 评审标准</w:t>
      </w:r>
    </w:p>
    <w:p w14:paraId="3EC6769E">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10.6 磋商文件格式</w:t>
      </w:r>
    </w:p>
    <w:p w14:paraId="01ED8AD0">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11.竞争性磋商文件的澄清与修改</w:t>
      </w:r>
    </w:p>
    <w:p w14:paraId="5120EEFD">
      <w:pPr>
        <w:autoSpaceDE w:val="0"/>
        <w:autoSpaceDN w:val="0"/>
        <w:adjustRightInd w:val="0"/>
        <w:spacing w:before="32" w:line="360" w:lineRule="auto"/>
        <w:ind w:right="-58" w:firstLine="468" w:firstLineChars="200"/>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11.1 采购代理机构对已发出的竞争性磋商文件进行必要澄清、修改或补充</w:t>
      </w:r>
      <w:r>
        <w:rPr>
          <w:rFonts w:hint="eastAsia" w:ascii="仿宋" w:hAnsi="仿宋" w:eastAsia="仿宋" w:cs="仿宋"/>
          <w:color w:val="000000" w:themeColor="text1"/>
          <w:spacing w:val="-6"/>
          <w:kern w:val="0"/>
          <w:sz w:val="24"/>
          <w:szCs w:val="24"/>
          <w:highlight w:val="none"/>
          <w14:textFill>
            <w14:solidFill>
              <w14:schemeClr w14:val="tx1"/>
            </w14:solidFill>
          </w14:textFill>
        </w:rPr>
        <w:t>的，应当在竞争性磋商文件要求提交响应性文件截止时间5日（如至原定</w:t>
      </w:r>
      <w:r>
        <w:rPr>
          <w:rFonts w:hint="eastAsia" w:ascii="仿宋" w:hAnsi="仿宋" w:eastAsia="仿宋" w:cs="仿宋"/>
          <w:color w:val="000000" w:themeColor="text1"/>
          <w:spacing w:val="-4"/>
          <w:kern w:val="0"/>
          <w:sz w:val="24"/>
          <w:szCs w:val="24"/>
          <w:highlight w:val="none"/>
          <w14:textFill>
            <w14:solidFill>
              <w14:schemeClr w14:val="tx1"/>
            </w14:solidFill>
          </w14:textFill>
        </w:rPr>
        <w:t>截止时间不足5日，则需延长磋商开始时间）前，在</w:t>
      </w:r>
      <w:r>
        <w:rPr>
          <w:rFonts w:hint="eastAsia" w:ascii="仿宋" w:hAnsi="仿宋" w:eastAsia="仿宋" w:cs="仿宋"/>
          <w:color w:val="000000" w:themeColor="text1"/>
          <w:sz w:val="24"/>
          <w:szCs w:val="24"/>
          <w:highlight w:val="none"/>
          <w14:textFill>
            <w14:solidFill>
              <w14:schemeClr w14:val="tx1"/>
            </w14:solidFill>
          </w14:textFill>
        </w:rPr>
        <w:t>《河南省政府采购网》、《中国招标投标公共服务平台》和《三门峡市公共资源交易中心网》</w:t>
      </w:r>
      <w:r>
        <w:rPr>
          <w:rFonts w:hint="eastAsia" w:ascii="仿宋" w:hAnsi="仿宋" w:eastAsia="仿宋" w:cs="仿宋"/>
          <w:color w:val="000000" w:themeColor="text1"/>
          <w:spacing w:val="-4"/>
          <w:kern w:val="0"/>
          <w:sz w:val="24"/>
          <w:szCs w:val="24"/>
          <w:highlight w:val="none"/>
          <w14:textFill>
            <w14:solidFill>
              <w14:schemeClr w14:val="tx1"/>
            </w14:solidFill>
          </w14:textFill>
        </w:rPr>
        <w:t>等相关媒体上发布更正公告</w:t>
      </w:r>
      <w:r>
        <w:rPr>
          <w:rFonts w:hint="eastAsia" w:ascii="仿宋" w:hAnsi="仿宋" w:eastAsia="仿宋" w:cs="仿宋"/>
          <w:color w:val="000000" w:themeColor="text1"/>
          <w:spacing w:val="-3"/>
          <w:kern w:val="0"/>
          <w:sz w:val="24"/>
          <w:szCs w:val="24"/>
          <w:highlight w:val="none"/>
          <w14:textFill>
            <w14:solidFill>
              <w14:schemeClr w14:val="tx1"/>
            </w14:solidFill>
          </w14:textFill>
        </w:rPr>
        <w:t>。竞争性磋商文件公示期间对竞争性磋商文件进行的澄清、修改或补充不受上述限制。</w:t>
      </w:r>
    </w:p>
    <w:p w14:paraId="7D1321AC">
      <w:pPr>
        <w:autoSpaceDE w:val="0"/>
        <w:autoSpaceDN w:val="0"/>
        <w:adjustRightInd w:val="0"/>
        <w:spacing w:before="163" w:line="360" w:lineRule="auto"/>
        <w:ind w:firstLine="468" w:firstLineChars="200"/>
        <w:jc w:val="left"/>
        <w:rPr>
          <w:rFonts w:hint="eastAsia" w:ascii="仿宋" w:hAnsi="仿宋" w:eastAsia="仿宋" w:cs="仿宋"/>
          <w:color w:val="000000" w:themeColor="text1"/>
          <w:spacing w:val="-3"/>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11.2 竞争性磋商文件澄清、修改或补充的内容为竞争性磋商文件的组成部分。</w:t>
      </w:r>
    </w:p>
    <w:p w14:paraId="097E6DDB">
      <w:pPr>
        <w:autoSpaceDE w:val="0"/>
        <w:autoSpaceDN w:val="0"/>
        <w:adjustRightInd w:val="0"/>
        <w:spacing w:before="20" w:line="360" w:lineRule="auto"/>
        <w:ind w:right="-58" w:firstLine="468" w:firstLineChars="200"/>
        <w:rPr>
          <w:rFonts w:hint="eastAsia" w:ascii="仿宋" w:hAnsi="仿宋" w:eastAsia="仿宋" w:cs="仿宋"/>
          <w:color w:val="000000" w:themeColor="text1"/>
          <w:spacing w:val="-5"/>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11.3 竞争性磋商文件的澄清、修改或补充都应通过本代理机构以法定形式</w:t>
      </w:r>
      <w:r>
        <w:rPr>
          <w:rFonts w:hint="eastAsia" w:ascii="仿宋" w:hAnsi="仿宋" w:eastAsia="仿宋" w:cs="仿宋"/>
          <w:color w:val="000000" w:themeColor="text1"/>
          <w:spacing w:val="-5"/>
          <w:kern w:val="0"/>
          <w:sz w:val="24"/>
          <w:szCs w:val="24"/>
          <w:highlight w:val="none"/>
          <w14:textFill>
            <w14:solidFill>
              <w14:schemeClr w14:val="tx1"/>
            </w14:solidFill>
          </w14:textFill>
        </w:rPr>
        <w:t>发布。采购人未通过本采购理机构对竞争性磋商文件进行的澄清、修改或补充无效，磋商时不予认可。</w:t>
      </w:r>
    </w:p>
    <w:p w14:paraId="26B6369A">
      <w:pPr>
        <w:autoSpaceDE w:val="0"/>
        <w:autoSpaceDN w:val="0"/>
        <w:adjustRightInd w:val="0"/>
        <w:spacing w:line="360" w:lineRule="auto"/>
        <w:ind w:right="-58" w:firstLine="468"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3"/>
          <w:kern w:val="0"/>
          <w:sz w:val="24"/>
          <w:szCs w:val="24"/>
          <w:highlight w:val="none"/>
          <w14:textFill>
            <w14:solidFill>
              <w14:schemeClr w14:val="tx1"/>
            </w14:solidFill>
          </w14:textFill>
        </w:rPr>
        <w:t>11.4 采购代理机构可以视采购具体情况，延长递交响应性文件截止时间和</w:t>
      </w:r>
      <w:r>
        <w:rPr>
          <w:rFonts w:hint="eastAsia" w:ascii="仿宋" w:hAnsi="仿宋" w:eastAsia="仿宋" w:cs="仿宋"/>
          <w:color w:val="000000" w:themeColor="text1"/>
          <w:spacing w:val="-4"/>
          <w:kern w:val="0"/>
          <w:sz w:val="24"/>
          <w:szCs w:val="24"/>
          <w:highlight w:val="none"/>
          <w14:textFill>
            <w14:solidFill>
              <w14:schemeClr w14:val="tx1"/>
            </w14:solidFill>
          </w14:textFill>
        </w:rPr>
        <w:t>开始磋商时间，但至少应当在竞争性磋商文件要求提交响应性文件的截止时间5日前，将变更时间书面通知所有竞争性磋商文件收受人，并在</w:t>
      </w:r>
      <w:r>
        <w:rPr>
          <w:rFonts w:hint="eastAsia" w:ascii="仿宋" w:hAnsi="仿宋" w:eastAsia="仿宋" w:cs="仿宋"/>
          <w:color w:val="000000" w:themeColor="text1"/>
          <w:sz w:val="24"/>
          <w:szCs w:val="24"/>
          <w:highlight w:val="none"/>
          <w14:textFill>
            <w14:solidFill>
              <w14:schemeClr w14:val="tx1"/>
            </w14:solidFill>
          </w14:textFill>
        </w:rPr>
        <w:t>《河南省政府采购网》、《中国招标投标公共服务平台》和《三门峡市公共资源交易中心网》</w:t>
      </w:r>
      <w:r>
        <w:rPr>
          <w:rFonts w:hint="eastAsia" w:ascii="仿宋" w:hAnsi="仿宋" w:eastAsia="仿宋" w:cs="仿宋"/>
          <w:color w:val="000000" w:themeColor="text1"/>
          <w:spacing w:val="-4"/>
          <w:kern w:val="0"/>
          <w:sz w:val="24"/>
          <w:szCs w:val="24"/>
          <w:highlight w:val="none"/>
          <w14:textFill>
            <w14:solidFill>
              <w14:schemeClr w14:val="tx1"/>
            </w14:solidFill>
          </w14:textFill>
        </w:rPr>
        <w:t>等相关媒体上发布更正公告。</w:t>
      </w:r>
    </w:p>
    <w:p w14:paraId="15A73858">
      <w:pPr>
        <w:autoSpaceDE w:val="0"/>
        <w:autoSpaceDN w:val="0"/>
        <w:adjustRightInd w:val="0"/>
        <w:spacing w:before="32" w:line="360" w:lineRule="auto"/>
        <w:ind w:right="-58" w:firstLine="468" w:firstLineChars="200"/>
        <w:jc w:val="center"/>
        <w:outlineLvl w:val="1"/>
        <w:rPr>
          <w:rFonts w:hint="eastAsia" w:ascii="仿宋" w:hAnsi="仿宋" w:eastAsia="仿宋" w:cs="仿宋"/>
          <w:color w:val="000000" w:themeColor="text1"/>
          <w:spacing w:val="-3"/>
          <w:kern w:val="0"/>
          <w:sz w:val="24"/>
          <w:szCs w:val="24"/>
          <w:highlight w:val="none"/>
          <w14:textFill>
            <w14:solidFill>
              <w14:schemeClr w14:val="tx1"/>
            </w14:solidFill>
          </w14:textFill>
        </w:rPr>
      </w:pPr>
      <w:bookmarkStart w:id="5" w:name="_Toc518571705"/>
      <w:bookmarkStart w:id="6" w:name="_Toc109675035"/>
      <w:r>
        <w:rPr>
          <w:rFonts w:hint="eastAsia" w:ascii="仿宋" w:hAnsi="仿宋" w:eastAsia="仿宋" w:cs="仿宋"/>
          <w:color w:val="000000" w:themeColor="text1"/>
          <w:spacing w:val="-3"/>
          <w:kern w:val="0"/>
          <w:sz w:val="24"/>
          <w:szCs w:val="24"/>
          <w:highlight w:val="none"/>
          <w14:textFill>
            <w14:solidFill>
              <w14:schemeClr w14:val="tx1"/>
            </w14:solidFill>
          </w14:textFill>
        </w:rPr>
        <w:t>三、响应性文件的编制</w:t>
      </w:r>
      <w:bookmarkEnd w:id="5"/>
      <w:bookmarkEnd w:id="6"/>
    </w:p>
    <w:p w14:paraId="7C6F63A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12.要求</w:t>
      </w:r>
    </w:p>
    <w:p w14:paraId="4D8A102F">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75FC227A">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13.响应性文件的语言和计量单位</w:t>
      </w:r>
    </w:p>
    <w:p w14:paraId="5FF35036">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13.1 响应性文件以及供应商与采购、代理机构就有关磋商事宜的所有来往函电均应使用简体中文书写。</w:t>
      </w:r>
    </w:p>
    <w:p w14:paraId="73BE92A5">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14:paraId="3847A544">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14.响应性文件的组成。响应性文件应包括下列部分：</w:t>
      </w:r>
    </w:p>
    <w:p w14:paraId="5BDA6B77">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（1）法定代表人身份证明书</w:t>
      </w:r>
    </w:p>
    <w:p w14:paraId="14996C81">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（2）授权委托书</w:t>
      </w:r>
    </w:p>
    <w:p w14:paraId="67FB954F">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（3）磋 商 函</w:t>
      </w:r>
    </w:p>
    <w:p w14:paraId="5B9C0FE7">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（4）</w:t>
      </w:r>
      <w:r>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t>磋商函附表</w:t>
      </w:r>
    </w:p>
    <w:p w14:paraId="499E3D33">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4"/>
          <w:kern w:val="0"/>
          <w:sz w:val="24"/>
          <w:szCs w:val="24"/>
          <w:highlight w:val="none"/>
          <w14:textFill>
            <w14:solidFill>
              <w14:schemeClr w14:val="tx1"/>
            </w14:solidFill>
          </w14:textFill>
        </w:rPr>
        <w:t>服务方案</w:t>
      </w:r>
    </w:p>
    <w:p w14:paraId="468F2EE3">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w:t>
      </w:r>
      <w:r>
        <w:rPr>
          <w:rFonts w:hint="eastAsia" w:ascii="仿宋" w:hAnsi="仿宋" w:eastAsia="仿宋" w:cs="仿宋"/>
          <w:color w:val="000000" w:themeColor="text1"/>
          <w:spacing w:val="-4"/>
          <w:kern w:val="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pacing w:val="-4"/>
          <w:kern w:val="0"/>
          <w:sz w:val="24"/>
          <w:szCs w:val="24"/>
          <w:highlight w:val="none"/>
          <w14:textFill>
            <w14:solidFill>
              <w14:schemeClr w14:val="tx1"/>
            </w14:solidFill>
          </w14:textFill>
        </w:rPr>
        <w:t>）资格</w:t>
      </w:r>
      <w:r>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t>审查资料</w:t>
      </w:r>
    </w:p>
    <w:p w14:paraId="5711A94E">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w:t>
      </w:r>
      <w:r>
        <w:rPr>
          <w:rFonts w:hint="eastAsia" w:ascii="仿宋" w:hAnsi="仿宋" w:eastAsia="仿宋" w:cs="仿宋"/>
          <w:color w:val="000000" w:themeColor="text1"/>
          <w:spacing w:val="-4"/>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pacing w:val="-4"/>
          <w:kern w:val="0"/>
          <w:sz w:val="24"/>
          <w:szCs w:val="24"/>
          <w:highlight w:val="none"/>
          <w14:textFill>
            <w14:solidFill>
              <w14:schemeClr w14:val="tx1"/>
            </w14:solidFill>
          </w14:textFill>
        </w:rPr>
        <w:t>）供应商承诺书</w:t>
      </w:r>
    </w:p>
    <w:p w14:paraId="523C813E">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w:t>
      </w:r>
      <w:r>
        <w:rPr>
          <w:rFonts w:hint="eastAsia" w:ascii="仿宋" w:hAnsi="仿宋" w:eastAsia="仿宋" w:cs="仿宋"/>
          <w:color w:val="000000" w:themeColor="text1"/>
          <w:spacing w:val="-4"/>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pacing w:val="-4"/>
          <w:kern w:val="0"/>
          <w:sz w:val="24"/>
          <w:szCs w:val="24"/>
          <w:highlight w:val="none"/>
          <w14:textFill>
            <w14:solidFill>
              <w14:schemeClr w14:val="tx1"/>
            </w14:solidFill>
          </w14:textFill>
        </w:rPr>
        <w:t>）磋商承诺函</w:t>
      </w:r>
    </w:p>
    <w:p w14:paraId="0A36032E">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w:t>
      </w:r>
      <w:r>
        <w:rPr>
          <w:rFonts w:hint="eastAsia" w:ascii="仿宋" w:hAnsi="仿宋" w:eastAsia="仿宋" w:cs="仿宋"/>
          <w:color w:val="000000" w:themeColor="text1"/>
          <w:spacing w:val="-4"/>
          <w:kern w:val="0"/>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pacing w:val="-4"/>
          <w:kern w:val="0"/>
          <w:sz w:val="24"/>
          <w:szCs w:val="24"/>
          <w:highlight w:val="none"/>
          <w14:textFill>
            <w14:solidFill>
              <w14:schemeClr w14:val="tx1"/>
            </w14:solidFill>
          </w14:textFill>
        </w:rPr>
        <w:t>）其他资料</w:t>
      </w:r>
    </w:p>
    <w:p w14:paraId="7142C25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15.1响应性文件从首次递交竞争性磋商响应文件截止时间之日起开始生效，磋商有效期为60日历天，有效期短于此规定的响应文件将被视为无效响应文件。</w:t>
      </w:r>
    </w:p>
    <w:p w14:paraId="6EB6850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15.2特殊情况下，采购人可于磋商响应文件有效期满之前要求供应商同意延长有效期，要求与答复均为书面形式。供应商可以拒绝上述要求，对于同意该要求的供应商，不允许其修改磋商响应文件。。</w:t>
      </w:r>
    </w:p>
    <w:p w14:paraId="015D58CE">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16.磋商报价</w:t>
      </w:r>
    </w:p>
    <w:p w14:paraId="64DE4496">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16.1 所有磋商报价均以人民币元为计算单位。供应商的报价为项目实施所需的人工费、服务费、运输费、税费、服务费及完成项目所需其他一切费用。</w:t>
      </w:r>
    </w:p>
    <w:p w14:paraId="02412A4A">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16.2供应商要按磋商函附表的内容填写。</w:t>
      </w:r>
    </w:p>
    <w:p w14:paraId="1ABE0D98">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16.3 本次磋商应以人民币报价，分两次进行报价。</w:t>
      </w:r>
    </w:p>
    <w:p w14:paraId="2BF1BFD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17、磋商保证金</w:t>
      </w:r>
    </w:p>
    <w:p w14:paraId="7A53CE98">
      <w:pPr>
        <w:spacing w:line="360" w:lineRule="auto"/>
        <w:ind w:firstLine="464"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17.1</w:t>
      </w:r>
      <w:r>
        <w:rPr>
          <w:rFonts w:hint="eastAsia" w:ascii="仿宋" w:hAnsi="仿宋" w:eastAsia="仿宋" w:cs="仿宋"/>
          <w:color w:val="000000" w:themeColor="text1"/>
          <w:sz w:val="24"/>
          <w:szCs w:val="24"/>
          <w:highlight w:val="none"/>
          <w14:textFill>
            <w14:solidFill>
              <w14:schemeClr w14:val="tx1"/>
            </w14:solidFill>
          </w14:textFill>
        </w:rPr>
        <w:t>根据《河南省财政厅关于优化政府采购营商环境有关问题的通知》（豫财购【2019】4号）第6条的规定，保证金不再收取。</w:t>
      </w:r>
    </w:p>
    <w:p w14:paraId="67267EE1">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18. 响应性文件的签署</w:t>
      </w:r>
    </w:p>
    <w:p w14:paraId="0D2E369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54D48A91">
      <w:pPr>
        <w:autoSpaceDE w:val="0"/>
        <w:autoSpaceDN w:val="0"/>
        <w:adjustRightInd w:val="0"/>
        <w:spacing w:before="32" w:line="360" w:lineRule="auto"/>
        <w:ind w:right="-58" w:firstLine="464" w:firstLineChars="200"/>
        <w:jc w:val="center"/>
        <w:outlineLvl w:val="1"/>
        <w:rPr>
          <w:rFonts w:hint="eastAsia" w:ascii="仿宋" w:hAnsi="仿宋" w:eastAsia="仿宋" w:cs="仿宋"/>
          <w:color w:val="000000" w:themeColor="text1"/>
          <w:spacing w:val="-4"/>
          <w:kern w:val="0"/>
          <w:sz w:val="24"/>
          <w:szCs w:val="24"/>
          <w:highlight w:val="none"/>
          <w14:textFill>
            <w14:solidFill>
              <w14:schemeClr w14:val="tx1"/>
            </w14:solidFill>
          </w14:textFill>
        </w:rPr>
      </w:pPr>
      <w:bookmarkStart w:id="7" w:name="_Toc518571706"/>
      <w:bookmarkStart w:id="8" w:name="_Toc109675036"/>
      <w:r>
        <w:rPr>
          <w:rFonts w:hint="eastAsia" w:ascii="仿宋" w:hAnsi="仿宋" w:eastAsia="仿宋" w:cs="仿宋"/>
          <w:color w:val="000000" w:themeColor="text1"/>
          <w:spacing w:val="-4"/>
          <w:kern w:val="0"/>
          <w:sz w:val="24"/>
          <w:szCs w:val="24"/>
          <w:highlight w:val="none"/>
          <w14:textFill>
            <w14:solidFill>
              <w14:schemeClr w14:val="tx1"/>
            </w14:solidFill>
          </w14:textFill>
        </w:rPr>
        <w:t>四、响应性文件的递交</w:t>
      </w:r>
      <w:bookmarkEnd w:id="7"/>
      <w:bookmarkEnd w:id="8"/>
    </w:p>
    <w:p w14:paraId="1FB0CA2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19.响应性文件的递交</w:t>
      </w:r>
    </w:p>
    <w:p w14:paraId="49A32AC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在响应文件截止时间前上传至三门峡市公共资源交易中心系统平台。</w:t>
      </w:r>
    </w:p>
    <w:p w14:paraId="0F4E32A7">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20.响应性文件的修改和撤回</w:t>
      </w:r>
    </w:p>
    <w:p w14:paraId="64E2A016">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20.1 供应商在递交竞争性磋商文件截止时间前，可以对所提交的响应性文件进行补充、修改或者撤回。</w:t>
      </w:r>
    </w:p>
    <w:p w14:paraId="34D1F5F7">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21. 供应商有下列情形之一的，采购人或采购代理机构将拒绝接受其响应性文件：</w:t>
      </w:r>
    </w:p>
    <w:p w14:paraId="06037E3F">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21. 1 在竞争性磋商文件规定的递交竞争性磋商文件截止时间之后上传竞争性磋商文件的。</w:t>
      </w:r>
    </w:p>
    <w:p w14:paraId="480F592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21. 2 未提交磋商保证金承诺。</w:t>
      </w:r>
    </w:p>
    <w:p w14:paraId="10EDC07E">
      <w:pPr>
        <w:autoSpaceDE w:val="0"/>
        <w:autoSpaceDN w:val="0"/>
        <w:adjustRightInd w:val="0"/>
        <w:spacing w:before="32" w:line="360" w:lineRule="auto"/>
        <w:ind w:right="-58" w:firstLine="464" w:firstLineChars="200"/>
        <w:jc w:val="center"/>
        <w:outlineLvl w:val="1"/>
        <w:rPr>
          <w:rFonts w:hint="eastAsia" w:ascii="仿宋" w:hAnsi="仿宋" w:eastAsia="仿宋" w:cs="仿宋"/>
          <w:color w:val="000000" w:themeColor="text1"/>
          <w:spacing w:val="-4"/>
          <w:kern w:val="0"/>
          <w:sz w:val="24"/>
          <w:szCs w:val="24"/>
          <w:highlight w:val="none"/>
          <w14:textFill>
            <w14:solidFill>
              <w14:schemeClr w14:val="tx1"/>
            </w14:solidFill>
          </w14:textFill>
        </w:rPr>
      </w:pPr>
      <w:bookmarkStart w:id="9" w:name="_Toc109675037"/>
      <w:bookmarkStart w:id="10" w:name="_Toc518571707"/>
      <w:r>
        <w:rPr>
          <w:rFonts w:hint="eastAsia" w:ascii="仿宋" w:hAnsi="仿宋" w:eastAsia="仿宋" w:cs="仿宋"/>
          <w:color w:val="000000" w:themeColor="text1"/>
          <w:spacing w:val="-4"/>
          <w:kern w:val="0"/>
          <w:sz w:val="24"/>
          <w:szCs w:val="24"/>
          <w:highlight w:val="none"/>
          <w14:textFill>
            <w14:solidFill>
              <w14:schemeClr w14:val="tx1"/>
            </w14:solidFill>
          </w14:textFill>
        </w:rPr>
        <w:t>五、磋商</w:t>
      </w:r>
      <w:bookmarkEnd w:id="9"/>
      <w:bookmarkEnd w:id="10"/>
    </w:p>
    <w:p w14:paraId="78D6E12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22、磋商仪式</w:t>
      </w:r>
    </w:p>
    <w:p w14:paraId="11CAD7E9">
      <w:pPr>
        <w:wordWrap w:val="0"/>
        <w:autoSpaceDE w:val="0"/>
        <w:autoSpaceDN w:val="0"/>
        <w:adjustRightInd w:val="0"/>
        <w:spacing w:before="32" w:line="360" w:lineRule="auto"/>
        <w:ind w:right="-57"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F313D17">
      <w:pPr>
        <w:wordWrap w:val="0"/>
        <w:autoSpaceDE w:val="0"/>
        <w:autoSpaceDN w:val="0"/>
        <w:adjustRightInd w:val="0"/>
        <w:spacing w:before="32" w:line="360" w:lineRule="auto"/>
        <w:ind w:right="-57"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23、磋商小组</w:t>
      </w:r>
    </w:p>
    <w:p w14:paraId="48E52D1C">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磋商小组共 3 人组成，其中采购人代表 1 人；在相关评标专家库中随机抽取有关技术、经济等方面专家 2 人。</w:t>
      </w:r>
    </w:p>
    <w:p w14:paraId="6F764EAE">
      <w:pPr>
        <w:autoSpaceDE w:val="0"/>
        <w:autoSpaceDN w:val="0"/>
        <w:adjustRightInd w:val="0"/>
        <w:spacing w:before="32" w:line="360" w:lineRule="auto"/>
        <w:ind w:right="-58" w:firstLine="696" w:firstLineChars="3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磋商小组有下列情形之一的，应当回避：</w:t>
      </w:r>
    </w:p>
    <w:p w14:paraId="08E504F0">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（1）供应商或供应商的主要负责人的近亲属；</w:t>
      </w:r>
    </w:p>
    <w:p w14:paraId="62C80CE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（2）项目主管部门或者行政监督部门的人员；</w:t>
      </w:r>
    </w:p>
    <w:p w14:paraId="36DCF0FF">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（3）与供应商有经济利益关系，可能影响对投标公正评审的；</w:t>
      </w:r>
    </w:p>
    <w:p w14:paraId="0425575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（4）曾因在招标、评标以及其他与招标投标有关活动中从事违法行为而受过行政处罚或刑事处罚的。</w:t>
      </w:r>
    </w:p>
    <w:p w14:paraId="1E360007">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（5）与供应商有其他利害关系。</w:t>
      </w:r>
    </w:p>
    <w:p w14:paraId="680FEAE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24、磋商工作纪律及保密</w:t>
      </w:r>
    </w:p>
    <w:p w14:paraId="69E3DD0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评审专家应当遵守评审工作纪律，不得泄露评审情况和评审中获悉的商业秘密。</w:t>
      </w:r>
    </w:p>
    <w:p w14:paraId="36CA107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25、磋商小组工作原则</w:t>
      </w:r>
    </w:p>
    <w:p w14:paraId="5E08CB6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ADBCF75">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26、响应文件审查</w:t>
      </w:r>
    </w:p>
    <w:p w14:paraId="44C10E5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5E481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27、供应商澄清</w:t>
      </w:r>
    </w:p>
    <w:p w14:paraId="7F6DB4C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磋商小组要求供应商澄清、说明或者更正响应文件将在电子系统作出。</w:t>
      </w:r>
    </w:p>
    <w:p w14:paraId="65B61905">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28、磋商程序、最后报价、综合评分</w:t>
      </w:r>
    </w:p>
    <w:p w14:paraId="46E2CD3C">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磋商小组所有成员应当集中与单一供应商分别进行磋商，并给予所有参加磋商的供应商平等的磋商机会。</w:t>
      </w:r>
    </w:p>
    <w:p w14:paraId="0D599A88">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1EFE77E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5D7E4A91">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已提交响应文件的供应商，在提交最后报价之前，可以根据情况退出磋商。</w:t>
      </w:r>
    </w:p>
    <w:p w14:paraId="441C005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5D5741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评审时，磋商小组各成员独立对每个有效响应的文件进行评价、打分，然后汇总每个供应商每项评分因素的得分。</w:t>
      </w:r>
    </w:p>
    <w:p w14:paraId="63D23A75">
      <w:pPr>
        <w:autoSpaceDE w:val="0"/>
        <w:autoSpaceDN w:val="0"/>
        <w:adjustRightInd w:val="0"/>
        <w:spacing w:before="32" w:line="360" w:lineRule="auto"/>
        <w:ind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49F9C728">
      <w:pPr>
        <w:autoSpaceDE w:val="0"/>
        <w:autoSpaceDN w:val="0"/>
        <w:adjustRightInd w:val="0"/>
        <w:spacing w:before="32" w:line="360" w:lineRule="auto"/>
        <w:ind w:right="-58" w:firstLine="464" w:firstLineChars="200"/>
        <w:rPr>
          <w:rFonts w:hint="eastAsia" w:ascii="仿宋" w:hAnsi="仿宋" w:eastAsia="仿宋" w:cs="仿宋"/>
          <w:bCs/>
          <w:color w:val="000000" w:themeColor="text1"/>
          <w:spacing w:val="-4"/>
          <w:kern w:val="0"/>
          <w:sz w:val="24"/>
          <w:szCs w:val="24"/>
          <w:highlight w:val="none"/>
          <w14:textFill>
            <w14:solidFill>
              <w14:schemeClr w14:val="tx1"/>
            </w14:solidFill>
          </w14:textFill>
        </w:rPr>
      </w:pPr>
      <w:bookmarkStart w:id="11" w:name="_Toc109675038"/>
      <w:bookmarkStart w:id="12" w:name="_Toc518571708"/>
      <w:r>
        <w:rPr>
          <w:rFonts w:hint="eastAsia" w:ascii="仿宋" w:hAnsi="仿宋" w:eastAsia="仿宋" w:cs="仿宋"/>
          <w:bCs/>
          <w:color w:val="000000" w:themeColor="text1"/>
          <w:spacing w:val="-4"/>
          <w:kern w:val="0"/>
          <w:sz w:val="24"/>
          <w:szCs w:val="24"/>
          <w:highlight w:val="none"/>
          <w14:textFill>
            <w14:solidFill>
              <w14:schemeClr w14:val="tx1"/>
            </w14:solidFill>
          </w14:textFill>
        </w:rPr>
        <w:t>出现下列情形之一的，采购人或者采购代理机构应当终止竞争性磋商采购活动，发布项目终止公告并说明原因，重新开展采购活动：</w:t>
      </w:r>
    </w:p>
    <w:p w14:paraId="12000E46">
      <w:pPr>
        <w:autoSpaceDE w:val="0"/>
        <w:autoSpaceDN w:val="0"/>
        <w:adjustRightInd w:val="0"/>
        <w:spacing w:before="32" w:line="360" w:lineRule="auto"/>
        <w:ind w:right="-58" w:firstLine="464" w:firstLineChars="200"/>
        <w:rPr>
          <w:rFonts w:hint="eastAsia" w:ascii="仿宋" w:hAnsi="仿宋" w:eastAsia="仿宋" w:cs="仿宋"/>
          <w:bCs/>
          <w:color w:val="000000" w:themeColor="text1"/>
          <w:spacing w:val="-4"/>
          <w:kern w:val="0"/>
          <w:sz w:val="24"/>
          <w:szCs w:val="24"/>
          <w:highlight w:val="none"/>
          <w14:textFill>
            <w14:solidFill>
              <w14:schemeClr w14:val="tx1"/>
            </w14:solidFill>
          </w14:textFill>
        </w:rPr>
      </w:pPr>
      <w:r>
        <w:rPr>
          <w:rFonts w:hint="eastAsia" w:ascii="仿宋" w:hAnsi="仿宋" w:eastAsia="仿宋" w:cs="仿宋"/>
          <w:bCs/>
          <w:color w:val="000000" w:themeColor="text1"/>
          <w:spacing w:val="-4"/>
          <w:kern w:val="0"/>
          <w:sz w:val="24"/>
          <w:szCs w:val="24"/>
          <w:highlight w:val="none"/>
          <w14:textFill>
            <w14:solidFill>
              <w14:schemeClr w14:val="tx1"/>
            </w14:solidFill>
          </w14:textFill>
        </w:rPr>
        <w:t>（一）因情况变化，不再符合规定的竞争性磋商采购方式适用情形的；</w:t>
      </w:r>
    </w:p>
    <w:p w14:paraId="57A469B4">
      <w:pPr>
        <w:autoSpaceDE w:val="0"/>
        <w:autoSpaceDN w:val="0"/>
        <w:adjustRightInd w:val="0"/>
        <w:spacing w:before="32" w:line="360" w:lineRule="auto"/>
        <w:ind w:right="-58" w:firstLine="464" w:firstLineChars="200"/>
        <w:rPr>
          <w:rFonts w:hint="eastAsia" w:ascii="仿宋" w:hAnsi="仿宋" w:eastAsia="仿宋" w:cs="仿宋"/>
          <w:bCs/>
          <w:color w:val="000000" w:themeColor="text1"/>
          <w:spacing w:val="-4"/>
          <w:kern w:val="0"/>
          <w:sz w:val="24"/>
          <w:szCs w:val="24"/>
          <w:highlight w:val="none"/>
          <w14:textFill>
            <w14:solidFill>
              <w14:schemeClr w14:val="tx1"/>
            </w14:solidFill>
          </w14:textFill>
        </w:rPr>
      </w:pPr>
      <w:r>
        <w:rPr>
          <w:rFonts w:hint="eastAsia" w:ascii="仿宋" w:hAnsi="仿宋" w:eastAsia="仿宋" w:cs="仿宋"/>
          <w:bCs/>
          <w:color w:val="000000" w:themeColor="text1"/>
          <w:spacing w:val="-4"/>
          <w:kern w:val="0"/>
          <w:sz w:val="24"/>
          <w:szCs w:val="24"/>
          <w:highlight w:val="none"/>
          <w14:textFill>
            <w14:solidFill>
              <w14:schemeClr w14:val="tx1"/>
            </w14:solidFill>
          </w14:textFill>
        </w:rPr>
        <w:t>（二）出现影响采购公正的违法、违规行为的；</w:t>
      </w:r>
    </w:p>
    <w:p w14:paraId="0C9C584B">
      <w:pPr>
        <w:autoSpaceDE w:val="0"/>
        <w:autoSpaceDN w:val="0"/>
        <w:adjustRightInd w:val="0"/>
        <w:spacing w:before="32" w:line="360" w:lineRule="auto"/>
        <w:ind w:right="-58" w:firstLine="464" w:firstLineChars="200"/>
        <w:rPr>
          <w:rFonts w:hint="eastAsia" w:ascii="仿宋" w:hAnsi="仿宋" w:eastAsia="仿宋" w:cs="仿宋"/>
          <w:bCs/>
          <w:color w:val="000000" w:themeColor="text1"/>
          <w:spacing w:val="-4"/>
          <w:kern w:val="0"/>
          <w:sz w:val="24"/>
          <w:szCs w:val="24"/>
          <w:highlight w:val="none"/>
          <w14:textFill>
            <w14:solidFill>
              <w14:schemeClr w14:val="tx1"/>
            </w14:solidFill>
          </w14:textFill>
        </w:rPr>
      </w:pPr>
      <w:r>
        <w:rPr>
          <w:rFonts w:hint="eastAsia" w:ascii="仿宋" w:hAnsi="仿宋" w:eastAsia="仿宋" w:cs="仿宋"/>
          <w:bCs/>
          <w:color w:val="000000" w:themeColor="text1"/>
          <w:spacing w:val="-4"/>
          <w:kern w:val="0"/>
          <w:sz w:val="24"/>
          <w:szCs w:val="24"/>
          <w:highlight w:val="none"/>
          <w14:textFill>
            <w14:solidFill>
              <w14:schemeClr w14:val="tx1"/>
            </w14:solidFill>
          </w14:textFill>
        </w:rPr>
        <w:t>（三）在采购过程中符合要求的供应商或者报价未超过采购预算的供应商不足3家的。</w:t>
      </w:r>
    </w:p>
    <w:p w14:paraId="1F21FF90">
      <w:pPr>
        <w:autoSpaceDE w:val="0"/>
        <w:autoSpaceDN w:val="0"/>
        <w:adjustRightInd w:val="0"/>
        <w:spacing w:before="32" w:line="360" w:lineRule="auto"/>
        <w:ind w:right="-58" w:firstLine="464" w:firstLineChars="200"/>
        <w:jc w:val="center"/>
        <w:outlineLvl w:val="1"/>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六、确定成交</w:t>
      </w:r>
      <w:bookmarkEnd w:id="11"/>
      <w:bookmarkEnd w:id="12"/>
    </w:p>
    <w:p w14:paraId="6CA1B893">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采购人在收到评审报告后2个工作日内，从评审报告提出的成交候选供应商中，按照排序由高到低的原则确定成交供应商。</w:t>
      </w:r>
    </w:p>
    <w:p w14:paraId="5AD9C8F1">
      <w:pPr>
        <w:autoSpaceDE w:val="0"/>
        <w:autoSpaceDN w:val="0"/>
        <w:adjustRightInd w:val="0"/>
        <w:spacing w:before="32" w:line="360" w:lineRule="auto"/>
        <w:ind w:right="-58" w:firstLine="464" w:firstLineChars="200"/>
        <w:jc w:val="center"/>
        <w:outlineLvl w:val="1"/>
        <w:rPr>
          <w:rFonts w:hint="eastAsia" w:ascii="仿宋" w:hAnsi="仿宋" w:eastAsia="仿宋" w:cs="仿宋"/>
          <w:color w:val="000000" w:themeColor="text1"/>
          <w:spacing w:val="-4"/>
          <w:kern w:val="0"/>
          <w:sz w:val="24"/>
          <w:szCs w:val="24"/>
          <w:highlight w:val="none"/>
          <w14:textFill>
            <w14:solidFill>
              <w14:schemeClr w14:val="tx1"/>
            </w14:solidFill>
          </w14:textFill>
        </w:rPr>
      </w:pPr>
      <w:bookmarkStart w:id="13" w:name="_Toc109675039"/>
      <w:bookmarkStart w:id="14" w:name="_Toc518571709"/>
      <w:r>
        <w:rPr>
          <w:rFonts w:hint="eastAsia" w:ascii="仿宋" w:hAnsi="仿宋" w:eastAsia="仿宋" w:cs="仿宋"/>
          <w:color w:val="000000" w:themeColor="text1"/>
          <w:spacing w:val="-4"/>
          <w:kern w:val="0"/>
          <w:sz w:val="24"/>
          <w:szCs w:val="24"/>
          <w:highlight w:val="none"/>
          <w14:textFill>
            <w14:solidFill>
              <w14:schemeClr w14:val="tx1"/>
            </w14:solidFill>
          </w14:textFill>
        </w:rPr>
        <w:t>七、授予合同</w:t>
      </w:r>
      <w:bookmarkEnd w:id="13"/>
      <w:bookmarkEnd w:id="14"/>
    </w:p>
    <w:p w14:paraId="14ACB7E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采购人、成交供应商在成交通知书发出之日起2个工作日内，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497A01BC">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9ABBFE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78884579">
      <w:pPr>
        <w:pStyle w:val="39"/>
        <w:ind w:firstLine="544"/>
        <w:rPr>
          <w:rFonts w:hint="eastAsia" w:ascii="仿宋" w:hAnsi="仿宋" w:eastAsia="仿宋" w:cs="仿宋"/>
          <w:color w:val="000000" w:themeColor="text1"/>
          <w:spacing w:val="-4"/>
          <w:sz w:val="24"/>
          <w:szCs w:val="24"/>
          <w:highlight w:val="none"/>
          <w14:textFill>
            <w14:solidFill>
              <w14:schemeClr w14:val="tx1"/>
            </w14:solidFill>
          </w14:textFill>
        </w:rPr>
      </w:pPr>
    </w:p>
    <w:p w14:paraId="5E49F675">
      <w:pPr>
        <w:pStyle w:val="39"/>
        <w:ind w:firstLine="544"/>
        <w:rPr>
          <w:rFonts w:hint="eastAsia" w:ascii="仿宋" w:hAnsi="仿宋" w:eastAsia="仿宋" w:cs="仿宋"/>
          <w:color w:val="000000" w:themeColor="text1"/>
          <w:spacing w:val="-4"/>
          <w:sz w:val="24"/>
          <w:szCs w:val="24"/>
          <w:highlight w:val="none"/>
          <w14:textFill>
            <w14:solidFill>
              <w14:schemeClr w14:val="tx1"/>
            </w14:solidFill>
          </w14:textFill>
        </w:rPr>
      </w:pPr>
    </w:p>
    <w:p w14:paraId="3F1CBFF0">
      <w:pPr>
        <w:pStyle w:val="39"/>
        <w:ind w:firstLine="544"/>
        <w:rPr>
          <w:rFonts w:hint="eastAsia" w:ascii="仿宋" w:hAnsi="仿宋" w:eastAsia="仿宋" w:cs="仿宋"/>
          <w:color w:val="000000" w:themeColor="text1"/>
          <w:spacing w:val="-4"/>
          <w:sz w:val="24"/>
          <w:szCs w:val="24"/>
          <w:highlight w:val="none"/>
          <w14:textFill>
            <w14:solidFill>
              <w14:schemeClr w14:val="tx1"/>
            </w14:solidFill>
          </w14:textFill>
        </w:rPr>
      </w:pPr>
    </w:p>
    <w:p w14:paraId="1B82B683">
      <w:pPr>
        <w:rPr>
          <w:rFonts w:hint="eastAsia" w:ascii="仿宋" w:hAnsi="仿宋" w:eastAsia="仿宋" w:cs="仿宋"/>
          <w:b/>
          <w:color w:val="000000" w:themeColor="text1"/>
          <w:w w:val="97"/>
          <w:kern w:val="0"/>
          <w:sz w:val="24"/>
          <w:szCs w:val="24"/>
          <w:highlight w:val="none"/>
          <w14:textFill>
            <w14:solidFill>
              <w14:schemeClr w14:val="tx1"/>
            </w14:solidFill>
          </w14:textFill>
        </w:rPr>
      </w:pPr>
      <w:r>
        <w:rPr>
          <w:rFonts w:hint="eastAsia" w:ascii="仿宋" w:hAnsi="仿宋" w:eastAsia="仿宋" w:cs="仿宋"/>
          <w:b/>
          <w:color w:val="000000" w:themeColor="text1"/>
          <w:w w:val="97"/>
          <w:kern w:val="0"/>
          <w:sz w:val="24"/>
          <w:szCs w:val="24"/>
          <w:highlight w:val="none"/>
          <w14:textFill>
            <w14:solidFill>
              <w14:schemeClr w14:val="tx1"/>
            </w14:solidFill>
          </w14:textFill>
        </w:rPr>
        <w:br w:type="page"/>
      </w:r>
    </w:p>
    <w:p w14:paraId="6D255062">
      <w:pPr>
        <w:keepNext/>
        <w:keepLines/>
        <w:spacing w:before="240" w:after="200"/>
        <w:ind w:left="542"/>
        <w:jc w:val="center"/>
        <w:outlineLvl w:val="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b/>
          <w:color w:val="000000" w:themeColor="text1"/>
          <w:w w:val="97"/>
          <w:kern w:val="0"/>
          <w:sz w:val="24"/>
          <w:szCs w:val="24"/>
          <w:highlight w:val="none"/>
          <w14:textFill>
            <w14:solidFill>
              <w14:schemeClr w14:val="tx1"/>
            </w14:solidFill>
          </w14:textFill>
        </w:rPr>
        <w:t xml:space="preserve">第三章 </w:t>
      </w:r>
      <w:bookmarkStart w:id="15" w:name="_Toc14134"/>
      <w:bookmarkStart w:id="16" w:name="_Toc16544"/>
      <w:bookmarkStart w:id="17" w:name="_Toc4259"/>
      <w:r>
        <w:rPr>
          <w:rFonts w:hint="eastAsia" w:ascii="仿宋" w:hAnsi="仿宋" w:eastAsia="仿宋" w:cs="仿宋"/>
          <w:b/>
          <w:color w:val="000000" w:themeColor="text1"/>
          <w:w w:val="97"/>
          <w:kern w:val="0"/>
          <w:sz w:val="24"/>
          <w:szCs w:val="24"/>
          <w:highlight w:val="none"/>
          <w14:textFill>
            <w14:solidFill>
              <w14:schemeClr w14:val="tx1"/>
            </w14:solidFill>
          </w14:textFill>
        </w:rPr>
        <w:t>服务需求</w:t>
      </w:r>
      <w:bookmarkEnd w:id="15"/>
      <w:bookmarkEnd w:id="16"/>
      <w:bookmarkEnd w:id="17"/>
    </w:p>
    <w:p w14:paraId="0F8EBA80">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本次湖滨区乡镇集中式饮用水水源地共3处，分别为湖滨区交口乡、磁钟乡、高庙乡。根据当前相关乡镇和水源地实际，开展湖滨区乡镇集中式饮用水水源保护区环境状况调查、保护区勘界和立标等相关工作。</w:t>
      </w:r>
    </w:p>
    <w:p w14:paraId="5D360EF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主要工作内容</w:t>
      </w:r>
    </w:p>
    <w:p w14:paraId="1A50FFF3">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饮用水水源保护区环境状况调查</w:t>
      </w:r>
    </w:p>
    <w:p w14:paraId="4D0C79CF">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依照饮用水水源保护区相关技术规范要求，在充分结合和分析湖滨区社会经济发展规划、水资源保护和综合利用相关规划、国土空间规划及相关乡镇供水相关规划等资料的基础上，开展集中式饮用水水源保护区环境状况调查工作。主要工作内容包括:</w:t>
      </w:r>
    </w:p>
    <w:p w14:paraId="542FC9DE">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水源地基础状况调查:通过收集资料、走访座谈等方式，开展水源地基础状况调查，包括水源地基础信息、供水量、开采方式、服务区域及水厂等，以及应对突发环境事件的应急响应能力及管理状况等。</w:t>
      </w:r>
    </w:p>
    <w:p w14:paraId="1A1F3E2C">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水文地质调查与测量:对水源地所在区域地质、水文地质资料、所在河流水系等进行调查收集和现场测量，包括打井相关资料、附近项目水文地质勘察资料等，掌握区域地质地层岩性及地下水赋存特征和运动规律等。</w:t>
      </w:r>
    </w:p>
    <w:p w14:paraId="669761CF">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环境风险调查:通过实地勘察和走访，对水源地周边及上游汇水区域和补给区等环境风险进行调查，包括排污口、规模化畜禽养殖、农业农村面源和流动源等，并在后续报告编制过程中提出对应整治措施和要求。</w:t>
      </w:r>
    </w:p>
    <w:p w14:paraId="19AB89A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水质监测评价:收集水源近5年水质和水位监测数据，统计分析主要水质指标变化趋势，开展水质评价分析。</w:t>
      </w:r>
    </w:p>
    <w:p w14:paraId="3336F601">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遥感卫片解译和水文地质单元分析:通过对卫星遥感正射影像的解译,分析水源地周边土地利用状况，通过高程数据开展水源地周边流域分析，并结合水文地质资料确定水文地质单元范围或边界等。</w:t>
      </w:r>
    </w:p>
    <w:p w14:paraId="33B0A5E4">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根据调查结果，按照相关技术规范要求，结合实际编制保护区环境现状调查报告。</w:t>
      </w:r>
    </w:p>
    <w:p w14:paraId="5287E93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采用 ArcGIS 软件制作相关图件，形成湖滨区乡镇集中式饮用水水源保护区环境现状调查成果图及其他相关图件等。</w:t>
      </w:r>
    </w:p>
    <w:p w14:paraId="0C830AD9">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(二)保护区勘界</w:t>
      </w:r>
    </w:p>
    <w:p w14:paraId="5E0C1B8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按照保护区批复文件范围及相关资料，开展保护区勘界工作。按照《集中式饮用水水源保护区勘界技术规范》(DB41/T2528-2023)相关要求，采用 RTK测量仪器和 GIS 制图工具对新划定的水源保护区范围进行勘界，绘制保护区戡界成果图，为后续当地政府对水源保护区的管理提供依据。主要工作内容包括:</w:t>
      </w:r>
    </w:p>
    <w:p w14:paraId="049FFCE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(1)资料数字化处理:对水源地相关资料和图件进行数字化、拼接融合</w:t>
      </w:r>
      <w:r>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4"/>
          <w:kern w:val="0"/>
          <w:sz w:val="24"/>
          <w:szCs w:val="24"/>
          <w:highlight w:val="none"/>
          <w14:textFill>
            <w14:solidFill>
              <w14:schemeClr w14:val="tx1"/>
            </w14:solidFill>
          </w14:textFill>
        </w:rPr>
        <w:t>坐标转换、拓扑检查等相关处理，为制作底图提供基础资料。</w:t>
      </w:r>
    </w:p>
    <w:p w14:paraId="076BD48D">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(2)购买基础图件:购买水源保护区所在区域高清数字卫星影像图，为勘界前期工作底图和后期勘界成果图制作提供基础。</w:t>
      </w:r>
    </w:p>
    <w:p w14:paraId="4188F59B">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(3)预设拐点和界标点:根据水源保护区区划图，在底图上预设主要拐点:并选择合适的位置拟作为保护区界标设立处，参照实际位置标在卫星底图上并按要求进行编码。</w:t>
      </w:r>
    </w:p>
    <w:p w14:paraId="5855F710">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(4)制作工作底图:把保护区划分时的边界界线、预设的拐点和界标点、其他地理信息专题数据等标注在高清卫星影像图上，制作勘界工作底图，为现场测量提供依据和参考。</w:t>
      </w:r>
    </w:p>
    <w:p w14:paraId="1A4F8847">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(5)开展现场测量:实地查验划分阶段水源保护区边界走向与批复文件的一致性，尤其是关键地物标志位置，并对照工作底图检查预设界标点位置。现场测量主要测量取水口、实际地物、重要拐点和界标点、保护区内及周边 100m范围内各类基础信息。</w:t>
      </w:r>
    </w:p>
    <w:p w14:paraId="08630D7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(6)保护区边界标绘:按照现场测量结果，将各类信息标绘在底图上，对工作底图初绘的保护区边界予以矫正，精准绘制保护区边界。</w:t>
      </w:r>
    </w:p>
    <w:p w14:paraId="43C127C8">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(7)编制勘界成果:按照《集中式饮用水水源保护区勘界技术规范》(DB41/T2528-2023)要求，编制勘界成果登记表、勘界报告，绘制勘界成果图，构建保护区勘界地理信息数据库等，并按要求开展质量检查。</w:t>
      </w:r>
    </w:p>
    <w:p w14:paraId="7AC92F93">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(三)保护区立标</w:t>
      </w:r>
    </w:p>
    <w:p w14:paraId="7B4B0150">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在水源保护区完成勘界工作后，根据保护区勘界成果图预设的界标位置，结合现场勘察确定立标点后，开展标志标识设置工作，为后续对水源保护区的管理和保护、宣传提供依据。主要工作内容包括:</w:t>
      </w:r>
    </w:p>
    <w:p w14:paraId="0FADCB4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(1)开展现场调查:根据勘界成果图预设界标位置，赴现场进行踏勘复核,制作立标位置图，制定工作技术方案。</w:t>
      </w:r>
    </w:p>
    <w:p w14:paraId="4E278B5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(2)编制标志设置实施方案:在现场调查复核的基础上确定标志标识的数量、材质和内容等，开展资金预算等，编制标志设置实施方案，为立标工作提供基础支撑。</w:t>
      </w:r>
    </w:p>
    <w:p w14:paraId="15DE37A0">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(3)定制标志标识:根据实施方案确定的标志标识数量和内容，定制标志标识和立杆等。</w:t>
      </w:r>
    </w:p>
    <w:p w14:paraId="14BB79D0">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(4)现场施工:购置施工相关材料，组织现场施工人员开展标志标识现场设立工作。</w:t>
      </w:r>
    </w:p>
    <w:p w14:paraId="597ED475">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(5)项目验收:组织相关单位对立标工作进行验收，并编制验收相关资料存档备查。</w:t>
      </w:r>
    </w:p>
    <w:p w14:paraId="2C9163E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二、形成技术成果</w:t>
      </w:r>
    </w:p>
    <w:p w14:paraId="48088762">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(1)保护区环境状况调查报告:形成《湖滨区乡镇集中式饮用水水源保护范围(区)环境状况调查报告》1套，满足相关技术规范和环境管理要求。</w:t>
      </w:r>
    </w:p>
    <w:p w14:paraId="65B8CBA6">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14:textFill>
            <w14:solidFill>
              <w14:schemeClr w14:val="tx1"/>
            </w14:solidFill>
          </w14:textFill>
        </w:rPr>
      </w:pPr>
      <w:r>
        <w:rPr>
          <w:rFonts w:hint="eastAsia" w:ascii="仿宋" w:hAnsi="仿宋" w:eastAsia="仿宋" w:cs="仿宋"/>
          <w:color w:val="000000" w:themeColor="text1"/>
          <w:spacing w:val="-4"/>
          <w:kern w:val="0"/>
          <w:sz w:val="24"/>
          <w:szCs w:val="24"/>
          <w:highlight w:val="none"/>
          <w14:textFill>
            <w14:solidFill>
              <w14:schemeClr w14:val="tx1"/>
            </w14:solidFill>
          </w14:textFill>
        </w:rPr>
        <w:t>(2)勘界报告、勘界成果图及地理信息数据库:形成《湖滨区乡镇集中式饮用水水源保护范围(区)勘界技术报告》1 套(含成果登记表和勘界成果图集).勘界成果地理信息数据库1个，满足《集中式饮用水水源保护区勘界技术规范》(DB41/T 2528-2023)要求。</w:t>
      </w:r>
    </w:p>
    <w:p w14:paraId="33E715E3">
      <w:pPr>
        <w:autoSpaceDE w:val="0"/>
        <w:autoSpaceDN w:val="0"/>
        <w:adjustRightInd w:val="0"/>
        <w:spacing w:before="32" w:line="360" w:lineRule="auto"/>
        <w:ind w:right="-58" w:firstLine="464" w:firstLineChars="200"/>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color w:val="000000" w:themeColor="text1"/>
          <w:spacing w:val="-4"/>
          <w:kern w:val="0"/>
          <w:sz w:val="24"/>
          <w:szCs w:val="24"/>
          <w:highlight w:val="none"/>
          <w14:textFill>
            <w14:solidFill>
              <w14:schemeClr w14:val="tx1"/>
            </w14:solidFill>
          </w14:textFill>
        </w:rPr>
        <w:t>(3)标志设置实施方案、现场标识标识、验收相关资料:形成《湖滨区乡镇集中式饮用水水源保护范围(区)标志设置实施方案》1套、现场标志标识若干、验收相关资料一套</w:t>
      </w:r>
      <w:r>
        <w:rPr>
          <w:rFonts w:hint="eastAsia" w:ascii="仿宋" w:hAnsi="仿宋" w:eastAsia="仿宋" w:cs="仿宋"/>
          <w:color w:val="000000" w:themeColor="text1"/>
          <w:spacing w:val="-4"/>
          <w:kern w:val="0"/>
          <w:sz w:val="24"/>
          <w:szCs w:val="24"/>
          <w:highlight w:val="none"/>
          <w:lang w:eastAsia="zh-CN"/>
          <w14:textFill>
            <w14:solidFill>
              <w14:schemeClr w14:val="tx1"/>
            </w14:solidFill>
          </w14:textFill>
        </w:rPr>
        <w:t>。</w:t>
      </w:r>
    </w:p>
    <w:p w14:paraId="73E58DA2">
      <w:pPr>
        <w:widowControl/>
        <w:jc w:val="center"/>
        <w:rPr>
          <w:rFonts w:hint="eastAsia" w:ascii="仿宋" w:hAnsi="仿宋" w:eastAsia="仿宋" w:cs="仿宋"/>
          <w:b/>
          <w:color w:val="000000" w:themeColor="text1"/>
          <w:sz w:val="24"/>
          <w:szCs w:val="24"/>
          <w:highlight w:val="none"/>
          <w14:textFill>
            <w14:solidFill>
              <w14:schemeClr w14:val="tx1"/>
            </w14:solidFill>
          </w14:textFill>
        </w:rPr>
      </w:pPr>
      <w:bookmarkStart w:id="18" w:name="_Toc522547233"/>
      <w:r>
        <w:rPr>
          <w:rFonts w:hint="eastAsia" w:ascii="仿宋" w:hAnsi="仿宋" w:eastAsia="仿宋" w:cs="仿宋"/>
          <w:b/>
          <w:color w:val="000000" w:themeColor="text1"/>
          <w:sz w:val="24"/>
          <w:szCs w:val="24"/>
          <w:highlight w:val="none"/>
          <w14:textFill>
            <w14:solidFill>
              <w14:schemeClr w14:val="tx1"/>
            </w14:solidFill>
          </w14:textFill>
        </w:rPr>
        <w:t>第四章  合同条款及合同文件格式</w:t>
      </w:r>
      <w:bookmarkEnd w:id="18"/>
    </w:p>
    <w:p w14:paraId="0629D994">
      <w:pPr>
        <w:ind w:firstLine="1456" w:firstLineChars="60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（合同具体格式以招标人和供应商签订的合同为准）</w:t>
      </w:r>
    </w:p>
    <w:p w14:paraId="45B0DF68">
      <w:pPr>
        <w:ind w:firstLine="645"/>
        <w:rPr>
          <w:rFonts w:hint="eastAsia" w:ascii="仿宋" w:hAnsi="仿宋" w:eastAsia="仿宋" w:cs="仿宋"/>
          <w:color w:val="000000" w:themeColor="text1"/>
          <w:sz w:val="24"/>
          <w:szCs w:val="24"/>
          <w:highlight w:val="none"/>
          <w14:textFill>
            <w14:solidFill>
              <w14:schemeClr w14:val="tx1"/>
            </w14:solidFill>
          </w14:textFill>
        </w:rPr>
      </w:pPr>
    </w:p>
    <w:p w14:paraId="49794118">
      <w:pPr>
        <w:ind w:firstLine="64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61A23298">
      <w:pPr>
        <w:adjustRightInd w:val="0"/>
        <w:snapToGrid w:val="0"/>
        <w:jc w:val="center"/>
        <w:rPr>
          <w:rFonts w:hint="eastAsia" w:ascii="仿宋" w:hAnsi="仿宋" w:eastAsia="仿宋" w:cs="仿宋"/>
          <w:b/>
          <w:color w:val="000000" w:themeColor="text1"/>
          <w:sz w:val="24"/>
          <w:szCs w:val="24"/>
          <w:highlight w:val="none"/>
          <w14:textFill>
            <w14:solidFill>
              <w14:schemeClr w14:val="tx1"/>
            </w14:solidFill>
          </w14:textFill>
        </w:rPr>
      </w:pPr>
      <w:bookmarkStart w:id="19" w:name="_Toc20313"/>
      <w:r>
        <w:rPr>
          <w:rFonts w:hint="eastAsia" w:ascii="仿宋" w:hAnsi="仿宋" w:eastAsia="仿宋" w:cs="仿宋"/>
          <w:color w:val="000000" w:themeColor="text1"/>
          <w:sz w:val="24"/>
          <w:szCs w:val="24"/>
          <w:highlight w:val="none"/>
          <w14:textFill>
            <w14:solidFill>
              <w14:schemeClr w14:val="tx1"/>
            </w14:solidFill>
          </w14:textFill>
        </w:rPr>
        <w:br w:type="page"/>
      </w:r>
      <w:bookmarkEnd w:id="19"/>
    </w:p>
    <w:p w14:paraId="34015BC9">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第五章  评审标准</w:t>
      </w:r>
    </w:p>
    <w:tbl>
      <w:tblPr>
        <w:tblStyle w:val="24"/>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19"/>
        <w:gridCol w:w="2883"/>
        <w:gridCol w:w="5727"/>
      </w:tblGrid>
      <w:tr w14:paraId="1D8A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196" w:type="dxa"/>
            <w:gridSpan w:val="2"/>
            <w:tcBorders>
              <w:top w:val="single" w:color="auto" w:sz="4" w:space="0"/>
              <w:left w:val="single" w:color="auto" w:sz="4" w:space="0"/>
              <w:bottom w:val="single" w:color="auto" w:sz="4" w:space="0"/>
              <w:right w:val="single" w:color="auto" w:sz="4" w:space="0"/>
            </w:tcBorders>
            <w:vAlign w:val="center"/>
          </w:tcPr>
          <w:p w14:paraId="051B6890">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条款号</w:t>
            </w:r>
          </w:p>
        </w:tc>
        <w:tc>
          <w:tcPr>
            <w:tcW w:w="2883" w:type="dxa"/>
            <w:tcBorders>
              <w:top w:val="single" w:color="auto" w:sz="4" w:space="0"/>
              <w:left w:val="single" w:color="auto" w:sz="4" w:space="0"/>
              <w:bottom w:val="single" w:color="auto" w:sz="4" w:space="0"/>
              <w:right w:val="single" w:color="auto" w:sz="4" w:space="0"/>
            </w:tcBorders>
            <w:vAlign w:val="center"/>
          </w:tcPr>
          <w:p w14:paraId="0A26B61B">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评审因素</w:t>
            </w:r>
          </w:p>
        </w:tc>
        <w:tc>
          <w:tcPr>
            <w:tcW w:w="5727" w:type="dxa"/>
            <w:tcBorders>
              <w:top w:val="single" w:color="auto" w:sz="4" w:space="0"/>
              <w:left w:val="single" w:color="auto" w:sz="4" w:space="0"/>
              <w:bottom w:val="single" w:color="auto" w:sz="4" w:space="0"/>
              <w:right w:val="single" w:color="auto" w:sz="4" w:space="0"/>
            </w:tcBorders>
            <w:vAlign w:val="center"/>
          </w:tcPr>
          <w:p w14:paraId="16F56D02">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评审标准</w:t>
            </w:r>
          </w:p>
        </w:tc>
      </w:tr>
      <w:tr w14:paraId="1B5F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1077" w:type="dxa"/>
            <w:vMerge w:val="restart"/>
            <w:tcBorders>
              <w:top w:val="single" w:color="auto" w:sz="4" w:space="0"/>
              <w:left w:val="single" w:color="auto" w:sz="4" w:space="0"/>
              <w:right w:val="single" w:color="auto" w:sz="4" w:space="0"/>
            </w:tcBorders>
            <w:vAlign w:val="center"/>
          </w:tcPr>
          <w:p w14:paraId="3174B69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2.1.1</w:t>
            </w:r>
          </w:p>
        </w:tc>
        <w:tc>
          <w:tcPr>
            <w:tcW w:w="1119" w:type="dxa"/>
            <w:vMerge w:val="restart"/>
            <w:tcBorders>
              <w:top w:val="single" w:color="auto" w:sz="4" w:space="0"/>
              <w:left w:val="single" w:color="auto" w:sz="4" w:space="0"/>
              <w:right w:val="single" w:color="auto" w:sz="4" w:space="0"/>
            </w:tcBorders>
            <w:vAlign w:val="center"/>
          </w:tcPr>
          <w:p w14:paraId="54CEEB4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w:t>
            </w:r>
          </w:p>
          <w:p w14:paraId="6D0834A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审查</w:t>
            </w:r>
          </w:p>
          <w:p w14:paraId="2D47FBC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标准</w:t>
            </w:r>
          </w:p>
        </w:tc>
        <w:tc>
          <w:tcPr>
            <w:tcW w:w="2883" w:type="dxa"/>
            <w:tcBorders>
              <w:top w:val="single" w:color="auto" w:sz="4" w:space="0"/>
              <w:left w:val="single" w:color="auto" w:sz="4" w:space="0"/>
              <w:right w:val="single" w:color="auto" w:sz="4" w:space="0"/>
            </w:tcBorders>
            <w:vAlign w:val="center"/>
          </w:tcPr>
          <w:p w14:paraId="68AD064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满足《中华人民共和国政府采购法》第二十二条规定</w:t>
            </w:r>
          </w:p>
        </w:tc>
        <w:tc>
          <w:tcPr>
            <w:tcW w:w="5727" w:type="dxa"/>
            <w:tcBorders>
              <w:top w:val="single" w:color="auto" w:sz="4" w:space="0"/>
              <w:left w:val="single" w:color="auto" w:sz="4" w:space="0"/>
              <w:right w:val="single" w:color="auto" w:sz="4" w:space="0"/>
            </w:tcBorders>
            <w:vAlign w:val="center"/>
          </w:tcPr>
          <w:p w14:paraId="07136260">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满足《中华人民共和国政府采购法》第二十二条规定，提供承诺书。</w:t>
            </w:r>
          </w:p>
        </w:tc>
      </w:tr>
      <w:tr w14:paraId="1B4B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77" w:type="dxa"/>
            <w:vMerge w:val="continue"/>
            <w:tcBorders>
              <w:left w:val="single" w:color="auto" w:sz="4" w:space="0"/>
              <w:right w:val="single" w:color="auto" w:sz="4" w:space="0"/>
            </w:tcBorders>
            <w:vAlign w:val="center"/>
          </w:tcPr>
          <w:p w14:paraId="4900E2F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1EAD0EE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3FDCC66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w:t>
            </w:r>
          </w:p>
        </w:tc>
        <w:tc>
          <w:tcPr>
            <w:tcW w:w="5727" w:type="dxa"/>
            <w:tcBorders>
              <w:top w:val="single" w:color="auto" w:sz="4" w:space="0"/>
              <w:left w:val="single" w:color="auto" w:sz="4" w:space="0"/>
              <w:right w:val="single" w:color="auto" w:sz="4" w:space="0"/>
            </w:tcBorders>
            <w:vAlign w:val="center"/>
          </w:tcPr>
          <w:p w14:paraId="00F5903A">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供应商须具有合法有效的营业执照</w:t>
            </w:r>
          </w:p>
        </w:tc>
      </w:tr>
      <w:tr w14:paraId="6F35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077" w:type="dxa"/>
            <w:vMerge w:val="continue"/>
            <w:tcBorders>
              <w:left w:val="single" w:color="auto" w:sz="4" w:space="0"/>
              <w:right w:val="single" w:color="auto" w:sz="4" w:space="0"/>
            </w:tcBorders>
            <w:vAlign w:val="center"/>
          </w:tcPr>
          <w:p w14:paraId="55CDE83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39DE9D9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42E8198A">
            <w:pPr>
              <w:spacing w:line="276"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资质要求</w:t>
            </w:r>
          </w:p>
        </w:tc>
        <w:tc>
          <w:tcPr>
            <w:tcW w:w="5727" w:type="dxa"/>
            <w:tcBorders>
              <w:top w:val="single" w:color="auto" w:sz="4" w:space="0"/>
              <w:left w:val="single" w:color="auto" w:sz="4" w:space="0"/>
              <w:right w:val="single" w:color="auto" w:sz="4" w:space="0"/>
            </w:tcBorders>
            <w:vAlign w:val="center"/>
          </w:tcPr>
          <w:p w14:paraId="6EE3A44E">
            <w:pPr>
              <w:spacing w:line="500" w:lineRule="exact"/>
              <w:rPr>
                <w:rFonts w:hint="eastAsia"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供应商须具有测绘主管部门颁发的测绘资质证书乙级及以上资质（专业范围需包含工程测量）</w:t>
            </w:r>
          </w:p>
        </w:tc>
      </w:tr>
      <w:tr w14:paraId="5340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077" w:type="dxa"/>
            <w:vMerge w:val="continue"/>
            <w:tcBorders>
              <w:left w:val="single" w:color="auto" w:sz="4" w:space="0"/>
              <w:right w:val="single" w:color="auto" w:sz="4" w:space="0"/>
            </w:tcBorders>
            <w:vAlign w:val="center"/>
          </w:tcPr>
          <w:p w14:paraId="02364C3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676F49B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735FCF8E">
            <w:pPr>
              <w:spacing w:line="276"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项目负责人</w:t>
            </w:r>
          </w:p>
        </w:tc>
        <w:tc>
          <w:tcPr>
            <w:tcW w:w="5727" w:type="dxa"/>
            <w:tcBorders>
              <w:top w:val="single" w:color="auto" w:sz="4" w:space="0"/>
              <w:left w:val="single" w:color="auto" w:sz="4" w:space="0"/>
              <w:right w:val="single" w:color="auto" w:sz="4" w:space="0"/>
            </w:tcBorders>
            <w:vAlign w:val="center"/>
          </w:tcPr>
          <w:p w14:paraId="7E5EB543">
            <w:pPr>
              <w:spacing w:line="500" w:lineRule="exact"/>
              <w:rPr>
                <w:rFonts w:hint="eastAsia"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拟派项目负责人须具有工程测量类中级工程师及以上职称。</w:t>
            </w:r>
          </w:p>
        </w:tc>
      </w:tr>
      <w:tr w14:paraId="6D7E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077" w:type="dxa"/>
            <w:vMerge w:val="continue"/>
            <w:tcBorders>
              <w:left w:val="single" w:color="auto" w:sz="4" w:space="0"/>
              <w:right w:val="single" w:color="auto" w:sz="4" w:space="0"/>
            </w:tcBorders>
            <w:vAlign w:val="center"/>
          </w:tcPr>
          <w:p w14:paraId="1565396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6D7B8AB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7C0253C6">
            <w:pPr>
              <w:spacing w:line="276"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无商业贿赂和不正当竞争行为</w:t>
            </w:r>
          </w:p>
        </w:tc>
        <w:tc>
          <w:tcPr>
            <w:tcW w:w="5727" w:type="dxa"/>
            <w:tcBorders>
              <w:top w:val="single" w:color="auto" w:sz="4" w:space="0"/>
              <w:left w:val="single" w:color="auto" w:sz="4" w:space="0"/>
              <w:right w:val="single" w:color="auto" w:sz="4" w:space="0"/>
            </w:tcBorders>
            <w:vAlign w:val="center"/>
          </w:tcPr>
          <w:p w14:paraId="583530CC">
            <w:pPr>
              <w:spacing w:line="500" w:lineRule="exact"/>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供应商须提供本企业无商业贿赂和不正当竞争行为承诺书（格式自拟）</w:t>
            </w:r>
          </w:p>
        </w:tc>
      </w:tr>
      <w:tr w14:paraId="1061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77" w:type="dxa"/>
            <w:vMerge w:val="continue"/>
            <w:tcBorders>
              <w:left w:val="single" w:color="auto" w:sz="4" w:space="0"/>
              <w:right w:val="single" w:color="auto" w:sz="4" w:space="0"/>
            </w:tcBorders>
            <w:vAlign w:val="center"/>
          </w:tcPr>
          <w:p w14:paraId="5B6252F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7F3FDA7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190800C0">
            <w:pPr>
              <w:spacing w:line="276"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信用查询</w:t>
            </w:r>
          </w:p>
        </w:tc>
        <w:tc>
          <w:tcPr>
            <w:tcW w:w="5727" w:type="dxa"/>
            <w:tcBorders>
              <w:top w:val="single" w:color="auto" w:sz="4" w:space="0"/>
              <w:left w:val="single" w:color="auto" w:sz="4" w:space="0"/>
              <w:right w:val="single" w:color="auto" w:sz="4" w:space="0"/>
            </w:tcBorders>
            <w:vAlign w:val="center"/>
          </w:tcPr>
          <w:p w14:paraId="54DB4657">
            <w:pPr>
              <w:pStyle w:val="21"/>
              <w:spacing w:beforeAutospacing="0" w:afterAutospacing="0" w:line="44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磋商截止时间止。</w:t>
            </w:r>
          </w:p>
        </w:tc>
      </w:tr>
      <w:tr w14:paraId="7909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7" w:type="dxa"/>
            <w:vMerge w:val="continue"/>
            <w:tcBorders>
              <w:left w:val="single" w:color="auto" w:sz="4" w:space="0"/>
              <w:right w:val="single" w:color="auto" w:sz="4" w:space="0"/>
            </w:tcBorders>
            <w:vAlign w:val="center"/>
          </w:tcPr>
          <w:p w14:paraId="02FF934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5ED57DE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3D6C73D3">
            <w:pPr>
              <w:spacing w:line="276"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控股关系</w:t>
            </w:r>
          </w:p>
        </w:tc>
        <w:tc>
          <w:tcPr>
            <w:tcW w:w="5727" w:type="dxa"/>
            <w:tcBorders>
              <w:top w:val="single" w:color="auto" w:sz="4" w:space="0"/>
              <w:left w:val="single" w:color="auto" w:sz="4" w:space="0"/>
              <w:right w:val="single" w:color="auto" w:sz="4" w:space="0"/>
            </w:tcBorders>
            <w:vAlign w:val="center"/>
          </w:tcPr>
          <w:p w14:paraId="1F9B0B7B">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单位负责人为同一人或者存在直接控股、管理关系的不同供应商，不得参加同一合同项下的政府采购活动；（供应商自行承诺，格式自拟）</w:t>
            </w:r>
          </w:p>
        </w:tc>
      </w:tr>
      <w:tr w14:paraId="740E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7" w:type="dxa"/>
            <w:vMerge w:val="continue"/>
            <w:tcBorders>
              <w:left w:val="single" w:color="auto" w:sz="4" w:space="0"/>
              <w:right w:val="single" w:color="auto" w:sz="4" w:space="0"/>
            </w:tcBorders>
            <w:vAlign w:val="center"/>
          </w:tcPr>
          <w:p w14:paraId="6C91DE1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047DC99A">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right w:val="single" w:color="auto" w:sz="4" w:space="0"/>
            </w:tcBorders>
            <w:vAlign w:val="center"/>
          </w:tcPr>
          <w:p w14:paraId="278599F2">
            <w:pPr>
              <w:spacing w:line="276"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是否接受联合体</w:t>
            </w:r>
          </w:p>
        </w:tc>
        <w:tc>
          <w:tcPr>
            <w:tcW w:w="5727" w:type="dxa"/>
            <w:tcBorders>
              <w:top w:val="single" w:color="auto" w:sz="4" w:space="0"/>
              <w:left w:val="single" w:color="auto" w:sz="4" w:space="0"/>
              <w:right w:val="single" w:color="auto" w:sz="4" w:space="0"/>
            </w:tcBorders>
            <w:vAlign w:val="center"/>
          </w:tcPr>
          <w:p w14:paraId="376EB4D5">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本项目不接受联合体投标</w:t>
            </w:r>
          </w:p>
        </w:tc>
      </w:tr>
      <w:tr w14:paraId="5B7B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481C4B7A">
            <w:pPr>
              <w:tabs>
                <w:tab w:val="left" w:pos="1868"/>
              </w:tabs>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资格评审以响应文件为准，其上传资料真实性由投标人自行承担，同时，投标人要完善主体库。</w:t>
            </w:r>
          </w:p>
        </w:tc>
      </w:tr>
      <w:tr w14:paraId="0085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77" w:type="dxa"/>
            <w:vMerge w:val="restart"/>
            <w:tcBorders>
              <w:top w:val="single" w:color="auto" w:sz="4" w:space="0"/>
              <w:left w:val="single" w:color="auto" w:sz="4" w:space="0"/>
              <w:right w:val="single" w:color="auto" w:sz="4" w:space="0"/>
            </w:tcBorders>
            <w:vAlign w:val="center"/>
          </w:tcPr>
          <w:p w14:paraId="2E4BDF0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2.1.2</w:t>
            </w:r>
          </w:p>
        </w:tc>
        <w:tc>
          <w:tcPr>
            <w:tcW w:w="1119" w:type="dxa"/>
            <w:vMerge w:val="restart"/>
            <w:tcBorders>
              <w:top w:val="single" w:color="auto" w:sz="4" w:space="0"/>
              <w:left w:val="single" w:color="auto" w:sz="4" w:space="0"/>
              <w:right w:val="single" w:color="auto" w:sz="4" w:space="0"/>
            </w:tcBorders>
            <w:vAlign w:val="center"/>
          </w:tcPr>
          <w:p w14:paraId="5802778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实质响应性评审标准</w:t>
            </w:r>
          </w:p>
        </w:tc>
        <w:tc>
          <w:tcPr>
            <w:tcW w:w="2883" w:type="dxa"/>
            <w:tcBorders>
              <w:top w:val="single" w:color="auto" w:sz="4" w:space="0"/>
              <w:left w:val="single" w:color="auto" w:sz="4" w:space="0"/>
              <w:right w:val="single" w:color="auto" w:sz="4" w:space="0"/>
            </w:tcBorders>
            <w:vAlign w:val="center"/>
          </w:tcPr>
          <w:p w14:paraId="29EBD57C">
            <w:pPr>
              <w:spacing w:line="72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c>
          <w:tcPr>
            <w:tcW w:w="5727" w:type="dxa"/>
            <w:tcBorders>
              <w:top w:val="single" w:color="auto" w:sz="4" w:space="0"/>
              <w:left w:val="single" w:color="auto" w:sz="4" w:space="0"/>
              <w:right w:val="single" w:color="auto" w:sz="4" w:space="0"/>
            </w:tcBorders>
            <w:vAlign w:val="center"/>
          </w:tcPr>
          <w:p w14:paraId="62540A56">
            <w:pPr>
              <w:spacing w:line="500" w:lineRule="exact"/>
              <w:ind w:firstLine="1440" w:firstLineChars="6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30日历天</w:t>
            </w:r>
          </w:p>
        </w:tc>
      </w:tr>
      <w:tr w14:paraId="0FB6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77" w:type="dxa"/>
            <w:vMerge w:val="continue"/>
            <w:tcBorders>
              <w:left w:val="single" w:color="auto" w:sz="4" w:space="0"/>
              <w:right w:val="single" w:color="auto" w:sz="4" w:space="0"/>
            </w:tcBorders>
            <w:vAlign w:val="center"/>
          </w:tcPr>
          <w:p w14:paraId="3EB85E82">
            <w:pPr>
              <w:rPr>
                <w:rFonts w:hint="eastAsia" w:ascii="仿宋" w:hAnsi="仿宋" w:eastAsia="仿宋" w:cs="仿宋"/>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34698144">
            <w:pP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bottom w:val="single" w:color="auto" w:sz="4" w:space="0"/>
              <w:right w:val="single" w:color="auto" w:sz="4" w:space="0"/>
            </w:tcBorders>
            <w:vAlign w:val="center"/>
          </w:tcPr>
          <w:p w14:paraId="6FBDF833">
            <w:pPr>
              <w:spacing w:line="72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质量要求</w:t>
            </w:r>
          </w:p>
        </w:tc>
        <w:tc>
          <w:tcPr>
            <w:tcW w:w="5727" w:type="dxa"/>
            <w:tcBorders>
              <w:top w:val="single" w:color="auto" w:sz="4" w:space="0"/>
              <w:left w:val="single" w:color="auto" w:sz="4" w:space="0"/>
              <w:bottom w:val="single" w:color="auto" w:sz="4" w:space="0"/>
              <w:right w:val="single" w:color="auto" w:sz="4" w:space="0"/>
            </w:tcBorders>
            <w:vAlign w:val="center"/>
          </w:tcPr>
          <w:p w14:paraId="79E8048E">
            <w:pPr>
              <w:spacing w:line="72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w:t>
            </w:r>
            <w:r>
              <w:rPr>
                <w:rFonts w:hint="eastAsia" w:ascii="仿宋" w:hAnsi="仿宋" w:eastAsia="仿宋" w:cs="仿宋"/>
                <w:color w:val="000000" w:themeColor="text1"/>
                <w:sz w:val="24"/>
                <w:szCs w:val="24"/>
                <w:highlight w:val="none"/>
                <w:lang w:eastAsia="zh-CN"/>
                <w14:textFill>
                  <w14:solidFill>
                    <w14:schemeClr w14:val="tx1"/>
                  </w14:solidFill>
                </w14:textFill>
              </w:rPr>
              <w:t>并符合</w:t>
            </w:r>
            <w:r>
              <w:rPr>
                <w:rFonts w:hint="eastAsia" w:ascii="仿宋" w:hAnsi="仿宋" w:eastAsia="仿宋" w:cs="仿宋"/>
                <w:color w:val="000000" w:themeColor="text1"/>
                <w:sz w:val="24"/>
                <w:szCs w:val="24"/>
                <w:highlight w:val="none"/>
                <w14:textFill>
                  <w14:solidFill>
                    <w14:schemeClr w14:val="tx1"/>
                  </w14:solidFill>
                </w14:textFill>
              </w:rPr>
              <w:t>采购人</w:t>
            </w:r>
            <w:r>
              <w:rPr>
                <w:rFonts w:hint="eastAsia" w:ascii="仿宋" w:hAnsi="仿宋" w:eastAsia="仿宋" w:cs="仿宋"/>
                <w:color w:val="000000" w:themeColor="text1"/>
                <w:sz w:val="24"/>
                <w:szCs w:val="24"/>
                <w:highlight w:val="none"/>
                <w:lang w:eastAsia="zh-CN"/>
                <w14:textFill>
                  <w14:solidFill>
                    <w14:schemeClr w14:val="tx1"/>
                  </w14:solidFill>
                </w14:textFill>
              </w:rPr>
              <w:t>需求</w:t>
            </w:r>
          </w:p>
        </w:tc>
      </w:tr>
      <w:tr w14:paraId="70DA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77" w:type="dxa"/>
            <w:vMerge w:val="continue"/>
            <w:tcBorders>
              <w:left w:val="single" w:color="auto" w:sz="4" w:space="0"/>
              <w:right w:val="single" w:color="auto" w:sz="4" w:space="0"/>
            </w:tcBorders>
            <w:vAlign w:val="center"/>
          </w:tcPr>
          <w:p w14:paraId="143D5335">
            <w:pPr>
              <w:rPr>
                <w:rFonts w:hint="eastAsia" w:ascii="仿宋" w:hAnsi="仿宋" w:eastAsia="仿宋" w:cs="仿宋"/>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03BA1799">
            <w:pP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bottom w:val="single" w:color="auto" w:sz="4" w:space="0"/>
              <w:right w:val="single" w:color="auto" w:sz="4" w:space="0"/>
            </w:tcBorders>
            <w:vAlign w:val="center"/>
          </w:tcPr>
          <w:p w14:paraId="0DE13CB3">
            <w:pPr>
              <w:spacing w:line="72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磋商有效期</w:t>
            </w:r>
          </w:p>
        </w:tc>
        <w:tc>
          <w:tcPr>
            <w:tcW w:w="5727" w:type="dxa"/>
            <w:tcBorders>
              <w:top w:val="single" w:color="auto" w:sz="4" w:space="0"/>
              <w:left w:val="single" w:color="auto" w:sz="4" w:space="0"/>
              <w:bottom w:val="single" w:color="auto" w:sz="4" w:space="0"/>
              <w:right w:val="single" w:color="auto" w:sz="4" w:space="0"/>
            </w:tcBorders>
            <w:vAlign w:val="center"/>
          </w:tcPr>
          <w:p w14:paraId="1C3F2215">
            <w:pPr>
              <w:spacing w:line="72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60日历天(从磋商截止之日算起)</w:t>
            </w:r>
          </w:p>
        </w:tc>
      </w:tr>
      <w:tr w14:paraId="084A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jc w:val="center"/>
        </w:trPr>
        <w:tc>
          <w:tcPr>
            <w:tcW w:w="1077" w:type="dxa"/>
            <w:vMerge w:val="continue"/>
            <w:tcBorders>
              <w:left w:val="single" w:color="auto" w:sz="4" w:space="0"/>
              <w:right w:val="single" w:color="auto" w:sz="4" w:space="0"/>
            </w:tcBorders>
            <w:vAlign w:val="center"/>
          </w:tcPr>
          <w:p w14:paraId="7B7BAB79">
            <w:pPr>
              <w:rPr>
                <w:rFonts w:hint="eastAsia" w:ascii="仿宋" w:hAnsi="仿宋" w:eastAsia="仿宋" w:cs="仿宋"/>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72CD2C96">
            <w:pP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bottom w:val="single" w:color="auto" w:sz="4" w:space="0"/>
              <w:right w:val="single" w:color="auto" w:sz="4" w:space="0"/>
            </w:tcBorders>
            <w:vAlign w:val="center"/>
          </w:tcPr>
          <w:p w14:paraId="56957123">
            <w:pPr>
              <w:spacing w:line="72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w:t>
            </w:r>
          </w:p>
        </w:tc>
        <w:tc>
          <w:tcPr>
            <w:tcW w:w="5727" w:type="dxa"/>
            <w:tcBorders>
              <w:top w:val="single" w:color="auto" w:sz="4" w:space="0"/>
              <w:left w:val="single" w:color="auto" w:sz="4" w:space="0"/>
              <w:bottom w:val="single" w:color="auto" w:sz="4" w:space="0"/>
              <w:right w:val="single" w:color="auto" w:sz="4" w:space="0"/>
            </w:tcBorders>
            <w:vAlign w:val="center"/>
          </w:tcPr>
          <w:p w14:paraId="672768BF">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响应人磋商总报价不得高于采购人的预算价，否则其投标将予否决。</w:t>
            </w:r>
          </w:p>
        </w:tc>
      </w:tr>
      <w:tr w14:paraId="3E00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077" w:type="dxa"/>
            <w:vMerge w:val="restart"/>
            <w:tcBorders>
              <w:left w:val="single" w:color="auto" w:sz="4" w:space="0"/>
              <w:right w:val="single" w:color="auto" w:sz="4" w:space="0"/>
            </w:tcBorders>
            <w:vAlign w:val="center"/>
          </w:tcPr>
          <w:p w14:paraId="2E995281">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2.1.3</w:t>
            </w:r>
          </w:p>
        </w:tc>
        <w:tc>
          <w:tcPr>
            <w:tcW w:w="1119" w:type="dxa"/>
            <w:vMerge w:val="restart"/>
            <w:tcBorders>
              <w:left w:val="single" w:color="auto" w:sz="4" w:space="0"/>
              <w:right w:val="single" w:color="auto" w:sz="4" w:space="0"/>
            </w:tcBorders>
            <w:vAlign w:val="center"/>
          </w:tcPr>
          <w:p w14:paraId="1E750B1D">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符合性评审标准</w:t>
            </w:r>
          </w:p>
        </w:tc>
        <w:tc>
          <w:tcPr>
            <w:tcW w:w="2883" w:type="dxa"/>
            <w:tcBorders>
              <w:top w:val="single" w:color="auto" w:sz="4" w:space="0"/>
              <w:left w:val="single" w:color="auto" w:sz="4" w:space="0"/>
              <w:bottom w:val="single" w:color="auto" w:sz="4" w:space="0"/>
              <w:right w:val="single" w:color="auto" w:sz="4" w:space="0"/>
            </w:tcBorders>
            <w:vAlign w:val="center"/>
          </w:tcPr>
          <w:p w14:paraId="21EBA5CB">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w:t>
            </w:r>
          </w:p>
        </w:tc>
        <w:tc>
          <w:tcPr>
            <w:tcW w:w="5727" w:type="dxa"/>
            <w:tcBorders>
              <w:top w:val="single" w:color="auto" w:sz="4" w:space="0"/>
              <w:left w:val="single" w:color="auto" w:sz="4" w:space="0"/>
              <w:bottom w:val="single" w:color="auto" w:sz="4" w:space="0"/>
              <w:right w:val="single" w:color="auto" w:sz="4" w:space="0"/>
            </w:tcBorders>
            <w:vAlign w:val="center"/>
          </w:tcPr>
          <w:p w14:paraId="3CAA2798">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与营业执照一致</w:t>
            </w:r>
          </w:p>
        </w:tc>
      </w:tr>
      <w:tr w14:paraId="0383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077" w:type="dxa"/>
            <w:vMerge w:val="continue"/>
            <w:tcBorders>
              <w:left w:val="single" w:color="auto" w:sz="4" w:space="0"/>
              <w:right w:val="single" w:color="auto" w:sz="4" w:space="0"/>
            </w:tcBorders>
            <w:vAlign w:val="center"/>
          </w:tcPr>
          <w:p w14:paraId="3838DCD3">
            <w:pPr>
              <w:rPr>
                <w:rFonts w:hint="eastAsia" w:ascii="仿宋" w:hAnsi="仿宋" w:eastAsia="仿宋" w:cs="仿宋"/>
                <w:color w:val="000000" w:themeColor="text1"/>
                <w:sz w:val="24"/>
                <w:szCs w:val="24"/>
                <w:highlight w:val="none"/>
                <w14:textFill>
                  <w14:solidFill>
                    <w14:schemeClr w14:val="tx1"/>
                  </w14:solidFill>
                </w14:textFill>
              </w:rPr>
            </w:pPr>
          </w:p>
        </w:tc>
        <w:tc>
          <w:tcPr>
            <w:tcW w:w="1119" w:type="dxa"/>
            <w:vMerge w:val="continue"/>
            <w:tcBorders>
              <w:left w:val="single" w:color="auto" w:sz="4" w:space="0"/>
              <w:right w:val="single" w:color="auto" w:sz="4" w:space="0"/>
            </w:tcBorders>
            <w:vAlign w:val="center"/>
          </w:tcPr>
          <w:p w14:paraId="27B8F8F8">
            <w:pP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bottom w:val="single" w:color="auto" w:sz="4" w:space="0"/>
              <w:right w:val="single" w:color="auto" w:sz="4" w:space="0"/>
            </w:tcBorders>
            <w:vAlign w:val="center"/>
          </w:tcPr>
          <w:p w14:paraId="1E0633FE">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报价唯一</w:t>
            </w:r>
          </w:p>
        </w:tc>
        <w:tc>
          <w:tcPr>
            <w:tcW w:w="5727" w:type="dxa"/>
            <w:tcBorders>
              <w:top w:val="single" w:color="auto" w:sz="4" w:space="0"/>
              <w:left w:val="single" w:color="auto" w:sz="4" w:space="0"/>
              <w:bottom w:val="single" w:color="auto" w:sz="4" w:space="0"/>
              <w:right w:val="single" w:color="auto" w:sz="4" w:space="0"/>
            </w:tcBorders>
            <w:vAlign w:val="center"/>
          </w:tcPr>
          <w:p w14:paraId="120C5CBA">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只有一个有效报价</w:t>
            </w:r>
          </w:p>
        </w:tc>
      </w:tr>
      <w:tr w14:paraId="5223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077" w:type="dxa"/>
            <w:vMerge w:val="continue"/>
            <w:tcBorders>
              <w:left w:val="single" w:color="auto" w:sz="4" w:space="0"/>
              <w:bottom w:val="single" w:color="auto" w:sz="4" w:space="0"/>
              <w:right w:val="single" w:color="auto" w:sz="4" w:space="0"/>
            </w:tcBorders>
            <w:vAlign w:val="center"/>
          </w:tcPr>
          <w:p w14:paraId="304B7B87">
            <w:pPr>
              <w:rPr>
                <w:rFonts w:hint="eastAsia" w:ascii="仿宋" w:hAnsi="仿宋" w:eastAsia="仿宋" w:cs="仿宋"/>
                <w:color w:val="000000" w:themeColor="text1"/>
                <w:sz w:val="24"/>
                <w:szCs w:val="24"/>
                <w:highlight w:val="none"/>
                <w14:textFill>
                  <w14:solidFill>
                    <w14:schemeClr w14:val="tx1"/>
                  </w14:solidFill>
                </w14:textFill>
              </w:rPr>
            </w:pPr>
          </w:p>
        </w:tc>
        <w:tc>
          <w:tcPr>
            <w:tcW w:w="1119" w:type="dxa"/>
            <w:vMerge w:val="continue"/>
            <w:tcBorders>
              <w:left w:val="single" w:color="auto" w:sz="4" w:space="0"/>
              <w:bottom w:val="single" w:color="auto" w:sz="4" w:space="0"/>
              <w:right w:val="single" w:color="auto" w:sz="4" w:space="0"/>
            </w:tcBorders>
            <w:vAlign w:val="center"/>
          </w:tcPr>
          <w:p w14:paraId="26FC566A">
            <w:pPr>
              <w:rPr>
                <w:rFonts w:hint="eastAsia" w:ascii="仿宋" w:hAnsi="仿宋" w:eastAsia="仿宋" w:cs="仿宋"/>
                <w:color w:val="000000" w:themeColor="text1"/>
                <w:sz w:val="24"/>
                <w:szCs w:val="24"/>
                <w:highlight w:val="none"/>
                <w14:textFill>
                  <w14:solidFill>
                    <w14:schemeClr w14:val="tx1"/>
                  </w14:solidFill>
                </w14:textFill>
              </w:rPr>
            </w:pPr>
          </w:p>
        </w:tc>
        <w:tc>
          <w:tcPr>
            <w:tcW w:w="2883" w:type="dxa"/>
            <w:tcBorders>
              <w:top w:val="single" w:color="auto" w:sz="4" w:space="0"/>
              <w:left w:val="single" w:color="auto" w:sz="4" w:space="0"/>
              <w:bottom w:val="single" w:color="auto" w:sz="4" w:space="0"/>
              <w:right w:val="single" w:color="auto" w:sz="4" w:space="0"/>
            </w:tcBorders>
            <w:vAlign w:val="center"/>
          </w:tcPr>
          <w:p w14:paraId="47D2901A">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投标文件格式</w:t>
            </w:r>
          </w:p>
        </w:tc>
        <w:tc>
          <w:tcPr>
            <w:tcW w:w="5727" w:type="dxa"/>
            <w:tcBorders>
              <w:top w:val="single" w:color="auto" w:sz="4" w:space="0"/>
              <w:left w:val="single" w:color="auto" w:sz="4" w:space="0"/>
              <w:bottom w:val="single" w:color="auto" w:sz="4" w:space="0"/>
              <w:right w:val="single" w:color="auto" w:sz="4" w:space="0"/>
            </w:tcBorders>
            <w:vAlign w:val="center"/>
          </w:tcPr>
          <w:p w14:paraId="5D81C72A">
            <w:pPr>
              <w:spacing w:line="72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符合“投标文件格式要求”</w:t>
            </w:r>
          </w:p>
        </w:tc>
      </w:tr>
    </w:tbl>
    <w:p w14:paraId="3BB358DB">
      <w:pPr>
        <w:spacing w:line="500" w:lineRule="exact"/>
        <w:rPr>
          <w:rFonts w:hint="eastAsia" w:ascii="仿宋" w:hAnsi="仿宋" w:eastAsia="仿宋" w:cs="仿宋"/>
          <w:b/>
          <w:color w:val="000000" w:themeColor="text1"/>
          <w:sz w:val="24"/>
          <w:szCs w:val="24"/>
          <w:highlight w:val="none"/>
          <w14:textFill>
            <w14:solidFill>
              <w14:schemeClr w14:val="tx1"/>
            </w14:solidFill>
          </w14:textFill>
        </w:rPr>
      </w:pPr>
    </w:p>
    <w:p w14:paraId="7617C4C0">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磋商文件的评审、比较和否决</w:t>
      </w:r>
    </w:p>
    <w:p w14:paraId="7716A55C">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磋商小组将按照竞争性磋商文件的规定，仅对在实质上响应竞争性磋商文件要求的响应文件进行评估和比较。</w:t>
      </w:r>
    </w:p>
    <w:p w14:paraId="40C5AFAC">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09FE61F6">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在磋商过程中，磋商小组可以以书面形式要求磋商供应商就响应文件中含义不明确的内容进行书面说明并提供相关材料；</w:t>
      </w:r>
      <w:r>
        <w:rPr>
          <w:rFonts w:hint="eastAsia" w:ascii="仿宋" w:hAnsi="仿宋" w:eastAsia="仿宋" w:cs="仿宋"/>
          <w:color w:val="000000" w:themeColor="text1"/>
          <w:spacing w:val="-12"/>
          <w:sz w:val="24"/>
          <w:szCs w:val="24"/>
          <w:highlight w:val="none"/>
          <w14:textFill>
            <w14:solidFill>
              <w14:schemeClr w14:val="tx1"/>
            </w14:solidFill>
          </w14:textFill>
        </w:rPr>
        <w:t>凡遇到响应文件中无界定或界定不清、前后不一致使评委会成员</w:t>
      </w:r>
      <w:r>
        <w:rPr>
          <w:rFonts w:hint="eastAsia" w:ascii="仿宋" w:hAnsi="仿宋" w:eastAsia="仿宋" w:cs="仿宋"/>
          <w:color w:val="000000" w:themeColor="text1"/>
          <w:sz w:val="24"/>
          <w:szCs w:val="24"/>
          <w:highlight w:val="none"/>
          <w14:textFill>
            <w14:solidFill>
              <w14:schemeClr w14:val="tx1"/>
            </w14:solidFill>
          </w14:textFill>
        </w:rPr>
        <w:t>意见</w:t>
      </w:r>
      <w:r>
        <w:rPr>
          <w:rFonts w:hint="eastAsia" w:ascii="仿宋" w:hAnsi="仿宋" w:eastAsia="仿宋" w:cs="仿宋"/>
          <w:color w:val="000000" w:themeColor="text1"/>
          <w:spacing w:val="-12"/>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仿宋" w:hAnsi="仿宋" w:eastAsia="仿宋" w:cs="仿宋"/>
          <w:color w:val="000000" w:themeColor="text1"/>
          <w:sz w:val="24"/>
          <w:szCs w:val="24"/>
          <w:highlight w:val="none"/>
          <w14:textFill>
            <w14:solidFill>
              <w14:schemeClr w14:val="tx1"/>
            </w14:solidFill>
          </w14:textFill>
        </w:rPr>
        <w:t>。</w:t>
      </w:r>
    </w:p>
    <w:p w14:paraId="7DD6F083">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1.4</w:t>
      </w:r>
      <w:r>
        <w:rPr>
          <w:rFonts w:hint="eastAsia" w:ascii="仿宋" w:hAnsi="仿宋" w:eastAsia="仿宋" w:cs="仿宋"/>
          <w:color w:val="000000" w:themeColor="text1"/>
          <w:sz w:val="24"/>
          <w:szCs w:val="24"/>
          <w:highlight w:val="none"/>
          <w14:textFill>
            <w14:solidFill>
              <w14:schemeClr w14:val="tx1"/>
            </w14:solidFill>
          </w14:textFill>
        </w:rPr>
        <w:t>磋商时，磋商报价是磋商的重要依据，但不是唯一依据，采购人不承诺将合同授予报价最低或最高的磋商供应商。</w:t>
      </w:r>
    </w:p>
    <w:p w14:paraId="2B3D103C">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69A5EB9C">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磋商程序</w:t>
      </w:r>
    </w:p>
    <w:p w14:paraId="46CECBA2">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资格审查</w:t>
      </w:r>
    </w:p>
    <w:p w14:paraId="2EF7A1A0">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本项目采用资格后审</w:t>
      </w:r>
    </w:p>
    <w:p w14:paraId="5F65BC19">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71DFEB1D">
      <w:pPr>
        <w:spacing w:line="5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3.磋商具体方法和标准</w:t>
      </w:r>
    </w:p>
    <w:p w14:paraId="698D22CB">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磋商小组根据磋商原则和办法对所有响应文件进行集中审核，分别评价。</w:t>
      </w:r>
    </w:p>
    <w:p w14:paraId="3A5413EB">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54CBE3F1">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029EB795">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083B0505">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详细评审表</w:t>
      </w:r>
    </w:p>
    <w:tbl>
      <w:tblPr>
        <w:tblStyle w:val="24"/>
        <w:tblW w:w="919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013"/>
        <w:gridCol w:w="1230"/>
        <w:gridCol w:w="1507"/>
        <w:gridCol w:w="5443"/>
      </w:tblGrid>
      <w:tr w14:paraId="10A7E4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0" w:hRule="atLeast"/>
          <w:jc w:val="center"/>
        </w:trPr>
        <w:tc>
          <w:tcPr>
            <w:tcW w:w="9193" w:type="dxa"/>
            <w:gridSpan w:val="4"/>
            <w:tcBorders>
              <w:top w:val="single" w:color="auto" w:sz="4" w:space="0"/>
              <w:left w:val="single" w:color="auto" w:sz="4" w:space="0"/>
              <w:bottom w:val="single" w:color="auto" w:sz="4" w:space="0"/>
              <w:right w:val="single" w:color="auto" w:sz="4" w:space="0"/>
            </w:tcBorders>
            <w:vAlign w:val="center"/>
          </w:tcPr>
          <w:p w14:paraId="1C2134D3">
            <w:pPr>
              <w:widowControl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综合评分部分（满分100分）</w:t>
            </w:r>
          </w:p>
        </w:tc>
      </w:tr>
      <w:tr w14:paraId="4EB664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05"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4C104A5C">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1.1.1</w:t>
            </w:r>
          </w:p>
        </w:tc>
        <w:tc>
          <w:tcPr>
            <w:tcW w:w="2737" w:type="dxa"/>
            <w:gridSpan w:val="2"/>
            <w:tcBorders>
              <w:top w:val="single" w:color="auto" w:sz="4" w:space="0"/>
              <w:left w:val="nil"/>
              <w:bottom w:val="single" w:color="auto" w:sz="4" w:space="0"/>
              <w:right w:val="single" w:color="auto" w:sz="4" w:space="0"/>
            </w:tcBorders>
            <w:vAlign w:val="center"/>
          </w:tcPr>
          <w:p w14:paraId="3F9209E5">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分值构成</w:t>
            </w:r>
          </w:p>
          <w:p w14:paraId="0E10248B">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（总分100分）</w:t>
            </w:r>
          </w:p>
        </w:tc>
        <w:tc>
          <w:tcPr>
            <w:tcW w:w="5443" w:type="dxa"/>
            <w:tcBorders>
              <w:top w:val="single" w:color="auto" w:sz="4" w:space="0"/>
              <w:left w:val="nil"/>
              <w:bottom w:val="single" w:color="auto" w:sz="4" w:space="0"/>
              <w:right w:val="single" w:color="auto" w:sz="4" w:space="0"/>
            </w:tcBorders>
          </w:tcPr>
          <w:p w14:paraId="6CB1F1E4">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投标报价：30分</w:t>
            </w:r>
          </w:p>
          <w:p w14:paraId="03798457">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技术部分：50分</w:t>
            </w:r>
          </w:p>
          <w:p w14:paraId="6FC9E13B">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商务部分：20分</w:t>
            </w:r>
          </w:p>
        </w:tc>
      </w:tr>
      <w:tr w14:paraId="20637D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5602BDE1">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条款号</w:t>
            </w:r>
          </w:p>
        </w:tc>
        <w:tc>
          <w:tcPr>
            <w:tcW w:w="2737" w:type="dxa"/>
            <w:gridSpan w:val="2"/>
            <w:tcBorders>
              <w:top w:val="single" w:color="auto" w:sz="4" w:space="0"/>
              <w:left w:val="nil"/>
              <w:bottom w:val="single" w:color="auto" w:sz="4" w:space="0"/>
              <w:right w:val="single" w:color="auto" w:sz="4" w:space="0"/>
            </w:tcBorders>
            <w:vAlign w:val="center"/>
          </w:tcPr>
          <w:p w14:paraId="62F87248">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评分因素</w:t>
            </w:r>
          </w:p>
        </w:tc>
        <w:tc>
          <w:tcPr>
            <w:tcW w:w="5443" w:type="dxa"/>
            <w:tcBorders>
              <w:top w:val="single" w:color="auto" w:sz="4" w:space="0"/>
              <w:left w:val="nil"/>
              <w:bottom w:val="single" w:color="auto" w:sz="4" w:space="0"/>
              <w:right w:val="single" w:color="auto" w:sz="4" w:space="0"/>
            </w:tcBorders>
            <w:vAlign w:val="center"/>
          </w:tcPr>
          <w:p w14:paraId="0EBA17D9">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评标标准</w:t>
            </w:r>
          </w:p>
        </w:tc>
      </w:tr>
      <w:tr w14:paraId="3DED2E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5"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6EA0B18D">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1.1.2</w:t>
            </w:r>
          </w:p>
        </w:tc>
        <w:tc>
          <w:tcPr>
            <w:tcW w:w="1230" w:type="dxa"/>
            <w:tcBorders>
              <w:top w:val="single" w:color="auto" w:sz="4" w:space="0"/>
              <w:left w:val="nil"/>
              <w:bottom w:val="single" w:color="auto" w:sz="4" w:space="0"/>
              <w:right w:val="single" w:color="auto" w:sz="4" w:space="0"/>
            </w:tcBorders>
            <w:vAlign w:val="center"/>
          </w:tcPr>
          <w:p w14:paraId="31BDBB6B">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tc>
        <w:tc>
          <w:tcPr>
            <w:tcW w:w="6950" w:type="dxa"/>
            <w:gridSpan w:val="2"/>
            <w:tcBorders>
              <w:top w:val="single" w:color="auto" w:sz="4" w:space="0"/>
              <w:left w:val="nil"/>
              <w:bottom w:val="single" w:color="auto" w:sz="4" w:space="0"/>
              <w:right w:val="single" w:color="auto" w:sz="4" w:space="0"/>
            </w:tcBorders>
            <w:vAlign w:val="center"/>
          </w:tcPr>
          <w:p w14:paraId="72838DCE">
            <w:pPr>
              <w:adjustRightInd w:val="0"/>
              <w:spacing w:line="360" w:lineRule="auto"/>
              <w:ind w:left="2" w:hanging="2" w:hangingChars="1"/>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1、价格分采用低价优先法计算，即满足磋商文件通过资格性和形式性审查且投标价格最低的投标报价为评标基准价，其价格得分为满分30分。</w:t>
            </w:r>
          </w:p>
          <w:p w14:paraId="33B64A8E">
            <w:pPr>
              <w:adjustRightInd w:val="0"/>
              <w:spacing w:line="360" w:lineRule="auto"/>
              <w:ind w:left="2" w:hanging="2" w:hangingChars="1"/>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2、其他供应商的价格分统一按照下列公式计算：</w:t>
            </w:r>
          </w:p>
          <w:p w14:paraId="6970FF11">
            <w:pPr>
              <w:adjustRightInd w:val="0"/>
              <w:spacing w:line="360" w:lineRule="auto"/>
              <w:ind w:left="2" w:hanging="2" w:hangingChars="1"/>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投标报价得分=(评标基准价／投标报价)×30</w:t>
            </w:r>
          </w:p>
          <w:p w14:paraId="1924DD9D">
            <w:pPr>
              <w:adjustRightInd w:val="0"/>
              <w:spacing w:line="360" w:lineRule="auto"/>
              <w:ind w:left="2" w:hanging="2" w:hangingChars="1"/>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注：价格分计算保留小数点后二位。在评标过程中，磋商小组发现供应商的报价明显低于其他通过初步审查供应商的报价</w:t>
            </w:r>
            <w:r>
              <w:rPr>
                <w:rFonts w:hint="eastAsia" w:ascii="仿宋" w:hAnsi="仿宋" w:eastAsia="仿宋" w:cs="仿宋"/>
                <w:color w:val="000000"/>
                <w:sz w:val="24"/>
                <w:szCs w:val="24"/>
                <w:highlight w:val="none"/>
              </w:rPr>
              <w:t>或其报价无法正常履行合同的</w:t>
            </w:r>
            <w:r>
              <w:rPr>
                <w:rFonts w:hint="eastAsia" w:ascii="仿宋" w:hAnsi="仿宋" w:eastAsia="仿宋" w:cs="仿宋"/>
                <w:kern w:val="2"/>
                <w:sz w:val="24"/>
                <w:szCs w:val="24"/>
                <w:highlight w:val="none"/>
              </w:rPr>
              <w:t>，有可能影响产品质量或者不能诚信履约的，磋商小组</w:t>
            </w:r>
            <w:r>
              <w:rPr>
                <w:rFonts w:hint="eastAsia" w:ascii="仿宋" w:hAnsi="仿宋" w:eastAsia="仿宋" w:cs="仿宋"/>
                <w:color w:val="000000"/>
                <w:sz w:val="24"/>
                <w:szCs w:val="24"/>
                <w:highlight w:val="none"/>
              </w:rPr>
              <w:t>对其投标报价提出质疑</w:t>
            </w:r>
            <w:r>
              <w:rPr>
                <w:rFonts w:hint="eastAsia" w:ascii="仿宋" w:hAnsi="仿宋" w:eastAsia="仿宋" w:cs="仿宋"/>
                <w:kern w:val="2"/>
                <w:sz w:val="24"/>
                <w:szCs w:val="24"/>
                <w:highlight w:val="none"/>
              </w:rPr>
              <w:t>，</w:t>
            </w:r>
            <w:r>
              <w:rPr>
                <w:rFonts w:hint="eastAsia" w:ascii="仿宋" w:hAnsi="仿宋" w:eastAsia="仿宋" w:cs="仿宋"/>
                <w:color w:val="000000"/>
                <w:sz w:val="24"/>
                <w:szCs w:val="24"/>
                <w:highlight w:val="none"/>
              </w:rPr>
              <w:t>供应商应对其投标报价在规定时间内提供证明文件并做出澄清</w:t>
            </w:r>
            <w:r>
              <w:rPr>
                <w:rFonts w:hint="eastAsia" w:ascii="仿宋" w:hAnsi="仿宋" w:eastAsia="仿宋" w:cs="仿宋"/>
                <w:kern w:val="2"/>
                <w:sz w:val="24"/>
                <w:szCs w:val="24"/>
                <w:highlight w:val="none"/>
              </w:rPr>
              <w:t>。若供应商</w:t>
            </w:r>
            <w:r>
              <w:rPr>
                <w:rFonts w:hint="eastAsia" w:ascii="仿宋" w:hAnsi="仿宋" w:eastAsia="仿宋" w:cs="仿宋"/>
                <w:color w:val="000000"/>
                <w:sz w:val="24"/>
                <w:szCs w:val="24"/>
                <w:highlight w:val="none"/>
              </w:rPr>
              <w:t>不能在规定时间内</w:t>
            </w:r>
            <w:r>
              <w:rPr>
                <w:rFonts w:hint="eastAsia" w:ascii="仿宋" w:hAnsi="仿宋" w:eastAsia="仿宋" w:cs="仿宋"/>
                <w:kern w:val="2"/>
                <w:sz w:val="24"/>
                <w:szCs w:val="24"/>
                <w:highlight w:val="none"/>
              </w:rPr>
              <w:t>提供相关证明材料证明</w:t>
            </w:r>
            <w:r>
              <w:rPr>
                <w:rFonts w:hint="eastAsia" w:ascii="仿宋" w:hAnsi="仿宋" w:eastAsia="仿宋" w:cs="仿宋"/>
                <w:color w:val="000000"/>
                <w:sz w:val="24"/>
                <w:szCs w:val="24"/>
                <w:highlight w:val="none"/>
              </w:rPr>
              <w:t>其报价合理的</w:t>
            </w:r>
            <w:r>
              <w:rPr>
                <w:rFonts w:hint="eastAsia" w:ascii="仿宋" w:hAnsi="仿宋" w:eastAsia="仿宋" w:cs="仿宋"/>
                <w:kern w:val="2"/>
                <w:sz w:val="24"/>
                <w:szCs w:val="24"/>
                <w:highlight w:val="none"/>
              </w:rPr>
              <w:t>，磋商小组</w:t>
            </w:r>
            <w:r>
              <w:rPr>
                <w:rFonts w:hint="eastAsia" w:ascii="仿宋" w:hAnsi="仿宋" w:eastAsia="仿宋" w:cs="仿宋"/>
                <w:color w:val="000000"/>
                <w:sz w:val="24"/>
                <w:szCs w:val="24"/>
                <w:highlight w:val="none"/>
              </w:rPr>
              <w:t>将视同</w:t>
            </w:r>
            <w:r>
              <w:rPr>
                <w:rFonts w:hint="eastAsia" w:ascii="仿宋" w:hAnsi="仿宋" w:eastAsia="仿宋" w:cs="仿宋"/>
                <w:kern w:val="2"/>
                <w:sz w:val="24"/>
                <w:szCs w:val="24"/>
                <w:highlight w:val="none"/>
              </w:rPr>
              <w:t>该供应商以低于成本价恶意竞标，其投标作废标处理</w:t>
            </w:r>
            <w:r>
              <w:rPr>
                <w:rFonts w:hint="eastAsia" w:ascii="仿宋" w:hAnsi="仿宋" w:eastAsia="仿宋" w:cs="仿宋"/>
                <w:color w:val="000000"/>
                <w:sz w:val="24"/>
                <w:szCs w:val="24"/>
                <w:highlight w:val="none"/>
              </w:rPr>
              <w:t>。</w:t>
            </w:r>
          </w:p>
        </w:tc>
      </w:tr>
      <w:tr w14:paraId="5E1A1D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52" w:hRule="atLeast"/>
          <w:jc w:val="center"/>
        </w:trPr>
        <w:tc>
          <w:tcPr>
            <w:tcW w:w="1013" w:type="dxa"/>
            <w:vMerge w:val="restart"/>
            <w:tcBorders>
              <w:top w:val="single" w:color="auto" w:sz="4" w:space="0"/>
              <w:left w:val="single" w:color="auto" w:sz="4" w:space="0"/>
              <w:bottom w:val="single" w:color="auto" w:sz="4" w:space="0"/>
              <w:right w:val="single" w:color="auto" w:sz="4" w:space="0"/>
            </w:tcBorders>
            <w:vAlign w:val="center"/>
          </w:tcPr>
          <w:p w14:paraId="69E47BE1">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1.1.3</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731D801E">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技术部分评分标准</w:t>
            </w:r>
          </w:p>
          <w:p w14:paraId="2A780917">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（50分）</w:t>
            </w:r>
          </w:p>
        </w:tc>
        <w:tc>
          <w:tcPr>
            <w:tcW w:w="1507" w:type="dxa"/>
            <w:tcBorders>
              <w:top w:val="single" w:color="auto" w:sz="4" w:space="0"/>
              <w:left w:val="single" w:color="auto" w:sz="4" w:space="0"/>
              <w:bottom w:val="single" w:color="auto" w:sz="4" w:space="0"/>
              <w:right w:val="single" w:color="auto" w:sz="4" w:space="0"/>
            </w:tcBorders>
            <w:vAlign w:val="center"/>
          </w:tcPr>
          <w:p w14:paraId="42B2E584">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人员配置</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c>
          <w:tcPr>
            <w:tcW w:w="5443" w:type="dxa"/>
            <w:tcBorders>
              <w:top w:val="single" w:color="auto" w:sz="4" w:space="0"/>
              <w:left w:val="single" w:color="auto" w:sz="4" w:space="0"/>
              <w:bottom w:val="single" w:color="auto" w:sz="4" w:space="0"/>
              <w:right w:val="single" w:color="auto" w:sz="4" w:space="0"/>
            </w:tcBorders>
            <w:vAlign w:val="center"/>
          </w:tcPr>
          <w:p w14:paraId="15CACAAD">
            <w:pPr>
              <w:widowControl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专业技术人员构成合理、任务分工明确得10分；专业技术人员构成较合理或任务分工较明确得5分；专业技术人员构成不合理、任务分工不明确得2分，不提供不得分。</w:t>
            </w:r>
          </w:p>
        </w:tc>
      </w:tr>
      <w:tr w14:paraId="0C4974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013" w:type="dxa"/>
            <w:vMerge w:val="continue"/>
            <w:tcBorders>
              <w:top w:val="single" w:color="auto" w:sz="4" w:space="0"/>
              <w:left w:val="single" w:color="auto" w:sz="4" w:space="0"/>
              <w:bottom w:val="single" w:color="auto" w:sz="4" w:space="0"/>
              <w:right w:val="single" w:color="auto" w:sz="4" w:space="0"/>
            </w:tcBorders>
            <w:vAlign w:val="center"/>
          </w:tcPr>
          <w:p w14:paraId="5EDEDC2A">
            <w:pPr>
              <w:widowControl w:val="0"/>
              <w:spacing w:line="360" w:lineRule="auto"/>
              <w:jc w:val="both"/>
              <w:rPr>
                <w:rFonts w:hint="eastAsia" w:ascii="仿宋" w:hAnsi="仿宋" w:eastAsia="仿宋" w:cs="仿宋"/>
                <w:sz w:val="24"/>
                <w:szCs w:val="24"/>
                <w:highlight w:val="none"/>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415A1D94">
            <w:pPr>
              <w:widowControl w:val="0"/>
              <w:spacing w:line="360" w:lineRule="auto"/>
              <w:rPr>
                <w:rFonts w:hint="eastAsia" w:ascii="仿宋" w:hAnsi="仿宋" w:eastAsia="仿宋" w:cs="仿宋"/>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vAlign w:val="center"/>
          </w:tcPr>
          <w:p w14:paraId="44FB218F">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技术方案</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tc>
        <w:tc>
          <w:tcPr>
            <w:tcW w:w="5443" w:type="dxa"/>
            <w:tcBorders>
              <w:top w:val="single" w:color="auto" w:sz="4" w:space="0"/>
              <w:left w:val="single" w:color="auto" w:sz="4" w:space="0"/>
              <w:bottom w:val="single" w:color="auto" w:sz="4" w:space="0"/>
              <w:right w:val="single" w:color="auto" w:sz="4" w:space="0"/>
            </w:tcBorders>
            <w:vAlign w:val="center"/>
          </w:tcPr>
          <w:p w14:paraId="481E2DA4">
            <w:pPr>
              <w:widowControl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项目技术方案在保证科学合理的基础上，切实可行完全符合项目需求，得20分；项目技术方案符合项目需求，但方案有欠缺得10分；有技术方案但不明确、不完整得5分；不提供不得分。</w:t>
            </w:r>
          </w:p>
        </w:tc>
      </w:tr>
      <w:tr w14:paraId="001162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4" w:hRule="atLeast"/>
          <w:jc w:val="center"/>
        </w:trPr>
        <w:tc>
          <w:tcPr>
            <w:tcW w:w="1013" w:type="dxa"/>
            <w:vMerge w:val="continue"/>
            <w:tcBorders>
              <w:top w:val="single" w:color="auto" w:sz="4" w:space="0"/>
              <w:left w:val="single" w:color="auto" w:sz="4" w:space="0"/>
              <w:bottom w:val="single" w:color="auto" w:sz="4" w:space="0"/>
              <w:right w:val="single" w:color="auto" w:sz="4" w:space="0"/>
            </w:tcBorders>
            <w:vAlign w:val="center"/>
          </w:tcPr>
          <w:p w14:paraId="7AB65CEC">
            <w:pPr>
              <w:widowControl w:val="0"/>
              <w:spacing w:line="360" w:lineRule="auto"/>
              <w:jc w:val="both"/>
              <w:rPr>
                <w:rFonts w:hint="eastAsia" w:ascii="仿宋" w:hAnsi="仿宋" w:eastAsia="仿宋" w:cs="仿宋"/>
                <w:sz w:val="24"/>
                <w:szCs w:val="24"/>
                <w:highlight w:val="none"/>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17EF523B">
            <w:pPr>
              <w:widowControl w:val="0"/>
              <w:spacing w:line="360" w:lineRule="auto"/>
              <w:rPr>
                <w:rFonts w:hint="eastAsia" w:ascii="仿宋" w:hAnsi="仿宋" w:eastAsia="仿宋" w:cs="仿宋"/>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vAlign w:val="center"/>
          </w:tcPr>
          <w:p w14:paraId="02446EE2">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对本</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的建议（0-</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p w14:paraId="7FC7E3EF">
            <w:pPr>
              <w:widowControl w:val="0"/>
              <w:spacing w:line="360" w:lineRule="auto"/>
              <w:rPr>
                <w:rFonts w:hint="eastAsia" w:ascii="仿宋" w:hAnsi="仿宋" w:eastAsia="仿宋" w:cs="仿宋"/>
                <w:sz w:val="24"/>
                <w:szCs w:val="24"/>
                <w:highlight w:val="none"/>
              </w:rPr>
            </w:pPr>
          </w:p>
        </w:tc>
        <w:tc>
          <w:tcPr>
            <w:tcW w:w="5443" w:type="dxa"/>
            <w:tcBorders>
              <w:top w:val="single" w:color="auto" w:sz="4" w:space="0"/>
              <w:left w:val="single" w:color="auto" w:sz="4" w:space="0"/>
              <w:bottom w:val="single" w:color="auto" w:sz="4" w:space="0"/>
              <w:right w:val="single" w:color="auto" w:sz="4" w:space="0"/>
            </w:tcBorders>
            <w:vAlign w:val="center"/>
          </w:tcPr>
          <w:p w14:paraId="7A9E00E5">
            <w:pPr>
              <w:widowControl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对本</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的建议全面、合理、针对性及可操作性强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得10分；对本项目的建议比较全面、合理、针对性及可操作性一般，得5分；对本项目的建议一般，得3分；不提供不得分。</w:t>
            </w:r>
          </w:p>
        </w:tc>
      </w:tr>
      <w:tr w14:paraId="298DFD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4" w:hRule="atLeast"/>
          <w:jc w:val="center"/>
        </w:trPr>
        <w:tc>
          <w:tcPr>
            <w:tcW w:w="1013" w:type="dxa"/>
            <w:tcBorders>
              <w:top w:val="single" w:color="auto" w:sz="4" w:space="0"/>
              <w:left w:val="single" w:color="auto" w:sz="4" w:space="0"/>
              <w:bottom w:val="single" w:color="auto" w:sz="4" w:space="0"/>
              <w:right w:val="single" w:color="auto" w:sz="4" w:space="0"/>
            </w:tcBorders>
            <w:vAlign w:val="center"/>
          </w:tcPr>
          <w:p w14:paraId="66CC1779">
            <w:pPr>
              <w:widowControl w:val="0"/>
              <w:spacing w:line="360" w:lineRule="auto"/>
              <w:jc w:val="both"/>
              <w:rPr>
                <w:rFonts w:hint="eastAsia" w:ascii="仿宋" w:hAnsi="仿宋" w:eastAsia="仿宋" w:cs="仿宋"/>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44AA240E">
            <w:pPr>
              <w:widowControl w:val="0"/>
              <w:spacing w:line="360" w:lineRule="auto"/>
              <w:rPr>
                <w:rFonts w:hint="eastAsia" w:ascii="仿宋" w:hAnsi="仿宋" w:eastAsia="仿宋" w:cs="仿宋"/>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vAlign w:val="center"/>
          </w:tcPr>
          <w:p w14:paraId="79360016">
            <w:pPr>
              <w:widowControl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质量保证措施、进度保证措施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0-10分</w:t>
            </w:r>
            <w:r>
              <w:rPr>
                <w:rFonts w:hint="eastAsia" w:ascii="仿宋" w:hAnsi="仿宋" w:eastAsia="仿宋" w:cs="仿宋"/>
                <w:sz w:val="24"/>
                <w:szCs w:val="24"/>
                <w:highlight w:val="none"/>
                <w:lang w:eastAsia="zh-CN"/>
              </w:rPr>
              <w:t>）</w:t>
            </w:r>
          </w:p>
          <w:p w14:paraId="6966CB4E">
            <w:pPr>
              <w:widowControl w:val="0"/>
              <w:spacing w:line="360" w:lineRule="auto"/>
              <w:rPr>
                <w:rFonts w:hint="eastAsia" w:ascii="仿宋" w:hAnsi="仿宋" w:eastAsia="仿宋" w:cs="仿宋"/>
                <w:sz w:val="24"/>
                <w:szCs w:val="24"/>
                <w:highlight w:val="none"/>
              </w:rPr>
            </w:pPr>
          </w:p>
        </w:tc>
        <w:tc>
          <w:tcPr>
            <w:tcW w:w="5443" w:type="dxa"/>
            <w:tcBorders>
              <w:top w:val="single" w:color="auto" w:sz="4" w:space="0"/>
              <w:left w:val="single" w:color="auto" w:sz="4" w:space="0"/>
              <w:bottom w:val="single" w:color="auto" w:sz="4" w:space="0"/>
              <w:right w:val="single" w:color="auto" w:sz="4" w:space="0"/>
            </w:tcBorders>
            <w:vAlign w:val="center"/>
          </w:tcPr>
          <w:p w14:paraId="7FF064C9">
            <w:pPr>
              <w:widowControl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质量保证措施、进度保证措施全面、合理、针对性及可操 作性强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得10分；质量保证措施、进度保证措施比较全面、合理、针对性及 可操作性比较强，得5分；质量保证措施、进度保证措施一般、针对性及可操作性一 般，得3分；不提供不得分。</w:t>
            </w:r>
          </w:p>
        </w:tc>
      </w:tr>
      <w:tr w14:paraId="6D343E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2" w:hRule="atLeast"/>
          <w:jc w:val="center"/>
        </w:trPr>
        <w:tc>
          <w:tcPr>
            <w:tcW w:w="1013" w:type="dxa"/>
            <w:vMerge w:val="restart"/>
            <w:tcBorders>
              <w:top w:val="single" w:color="auto" w:sz="4" w:space="0"/>
              <w:left w:val="single" w:color="auto" w:sz="4" w:space="0"/>
              <w:bottom w:val="single" w:color="auto" w:sz="4" w:space="0"/>
              <w:right w:val="single" w:color="auto" w:sz="4" w:space="0"/>
            </w:tcBorders>
            <w:vAlign w:val="center"/>
          </w:tcPr>
          <w:p w14:paraId="29795B79">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1.1.4</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14:paraId="76D189F6">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商务部分评分标准</w:t>
            </w:r>
          </w:p>
          <w:p w14:paraId="0C97A946">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（20分）</w:t>
            </w:r>
          </w:p>
        </w:tc>
        <w:tc>
          <w:tcPr>
            <w:tcW w:w="1507" w:type="dxa"/>
            <w:tcBorders>
              <w:top w:val="single" w:color="auto" w:sz="4" w:space="0"/>
              <w:left w:val="single" w:color="auto" w:sz="4" w:space="0"/>
              <w:bottom w:val="single" w:color="auto" w:sz="4" w:space="0"/>
              <w:right w:val="single" w:color="auto" w:sz="4" w:space="0"/>
            </w:tcBorders>
            <w:vAlign w:val="center"/>
          </w:tcPr>
          <w:p w14:paraId="1B5484A7">
            <w:pPr>
              <w:widowControl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企业业绩（0-</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分）</w:t>
            </w:r>
          </w:p>
        </w:tc>
        <w:tc>
          <w:tcPr>
            <w:tcW w:w="5443" w:type="dxa"/>
            <w:tcBorders>
              <w:top w:val="single" w:color="auto" w:sz="4" w:space="0"/>
              <w:left w:val="single" w:color="auto" w:sz="4" w:space="0"/>
              <w:bottom w:val="single" w:color="auto" w:sz="4" w:space="0"/>
              <w:right w:val="single" w:color="auto" w:sz="4" w:space="0"/>
            </w:tcBorders>
            <w:vAlign w:val="center"/>
          </w:tcPr>
          <w:p w14:paraId="0E93A750">
            <w:pPr>
              <w:widowControl w:val="0"/>
              <w:spacing w:line="360" w:lineRule="auto"/>
              <w:jc w:val="both"/>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供应商承担过类似业绩的（</w:t>
            </w:r>
            <w:r>
              <w:rPr>
                <w:rFonts w:hint="eastAsia" w:ascii="仿宋" w:hAnsi="仿宋" w:eastAsia="仿宋" w:cs="仿宋"/>
                <w:sz w:val="24"/>
                <w:szCs w:val="24"/>
                <w:highlight w:val="none"/>
                <w:lang w:val="en-US" w:eastAsia="zh-CN"/>
              </w:rPr>
              <w:t>饮用水水源保护区相关项目</w:t>
            </w:r>
            <w:r>
              <w:rPr>
                <w:rFonts w:hint="eastAsia" w:ascii="仿宋" w:hAnsi="仿宋" w:eastAsia="仿宋" w:cs="仿宋"/>
                <w:sz w:val="24"/>
                <w:szCs w:val="24"/>
                <w:highlight w:val="none"/>
                <w:lang w:val="zh-CN"/>
              </w:rPr>
              <w:t>），每提供一个得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zh-CN"/>
              </w:rPr>
              <w:t>分，最多得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分（须提供合同协议书或中标通知书原件扫描件）；</w:t>
            </w:r>
          </w:p>
          <w:p w14:paraId="664D658C">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注：业绩时间为20</w:t>
            </w: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年01月01日以来，时间以合同签订时间为准。</w:t>
            </w:r>
            <w:r>
              <w:rPr>
                <w:rFonts w:hint="eastAsia" w:ascii="仿宋" w:hAnsi="仿宋" w:eastAsia="仿宋" w:cs="仿宋"/>
                <w:sz w:val="24"/>
                <w:szCs w:val="24"/>
                <w:highlight w:val="none"/>
              </w:rPr>
              <w:t>不提供不得分</w:t>
            </w:r>
          </w:p>
        </w:tc>
      </w:tr>
      <w:tr w14:paraId="34ECDF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2" w:hRule="atLeast"/>
          <w:jc w:val="center"/>
        </w:trPr>
        <w:tc>
          <w:tcPr>
            <w:tcW w:w="1013" w:type="dxa"/>
            <w:vMerge w:val="continue"/>
            <w:tcBorders>
              <w:top w:val="single" w:color="auto" w:sz="4" w:space="0"/>
              <w:left w:val="single" w:color="auto" w:sz="4" w:space="0"/>
              <w:bottom w:val="single" w:color="auto" w:sz="4" w:space="0"/>
              <w:right w:val="single" w:color="auto" w:sz="4" w:space="0"/>
            </w:tcBorders>
            <w:vAlign w:val="center"/>
          </w:tcPr>
          <w:p w14:paraId="68DDD515">
            <w:pPr>
              <w:widowControl w:val="0"/>
              <w:spacing w:line="360" w:lineRule="auto"/>
              <w:jc w:val="both"/>
              <w:rPr>
                <w:rFonts w:hint="eastAsia" w:ascii="仿宋" w:hAnsi="仿宋" w:eastAsia="仿宋" w:cs="仿宋"/>
                <w:sz w:val="24"/>
                <w:szCs w:val="24"/>
                <w:highlight w:val="none"/>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7CF9B997">
            <w:pPr>
              <w:widowControl w:val="0"/>
              <w:spacing w:line="360" w:lineRule="auto"/>
              <w:jc w:val="both"/>
              <w:rPr>
                <w:rFonts w:hint="eastAsia" w:ascii="仿宋" w:hAnsi="仿宋" w:eastAsia="仿宋" w:cs="仿宋"/>
                <w:sz w:val="24"/>
                <w:szCs w:val="24"/>
                <w:highlight w:val="none"/>
              </w:rPr>
            </w:pPr>
          </w:p>
        </w:tc>
        <w:tc>
          <w:tcPr>
            <w:tcW w:w="1507" w:type="dxa"/>
            <w:tcBorders>
              <w:top w:val="single" w:color="auto" w:sz="4" w:space="0"/>
              <w:left w:val="single" w:color="auto" w:sz="4" w:space="0"/>
              <w:bottom w:val="single" w:color="auto" w:sz="4" w:space="0"/>
              <w:right w:val="single" w:color="auto" w:sz="4" w:space="0"/>
            </w:tcBorders>
            <w:vAlign w:val="center"/>
          </w:tcPr>
          <w:p w14:paraId="496E9E48">
            <w:pPr>
              <w:widowControl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服务能力和优惠承诺（</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val="zh-CN"/>
              </w:rPr>
              <w:t>分）</w:t>
            </w:r>
          </w:p>
        </w:tc>
        <w:tc>
          <w:tcPr>
            <w:tcW w:w="5443" w:type="dxa"/>
            <w:tcBorders>
              <w:top w:val="single" w:color="auto" w:sz="4" w:space="0"/>
              <w:left w:val="single" w:color="auto" w:sz="4" w:space="0"/>
              <w:bottom w:val="single" w:color="auto" w:sz="4" w:space="0"/>
              <w:right w:val="single" w:color="auto" w:sz="4" w:space="0"/>
            </w:tcBorders>
            <w:vAlign w:val="center"/>
          </w:tcPr>
          <w:p w14:paraId="3EEE31FA">
            <w:pPr>
              <w:widowControl w:val="0"/>
              <w:spacing w:line="360" w:lineRule="auto"/>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1.有完善的服务计划、稳定的服务队伍、良好的服务信誉承诺；根据承诺内容</w:t>
            </w:r>
            <w:r>
              <w:rPr>
                <w:rFonts w:hint="eastAsia" w:ascii="仿宋" w:hAnsi="仿宋" w:eastAsia="仿宋" w:cs="仿宋"/>
                <w:kern w:val="2"/>
                <w:sz w:val="24"/>
                <w:szCs w:val="24"/>
                <w:highlight w:val="none"/>
              </w:rPr>
              <w:t>全面、可实施性、适用性等方面</w:t>
            </w:r>
            <w:r>
              <w:rPr>
                <w:rFonts w:hint="eastAsia" w:ascii="仿宋" w:hAnsi="仿宋" w:eastAsia="仿宋" w:cs="仿宋"/>
                <w:sz w:val="24"/>
                <w:szCs w:val="24"/>
                <w:highlight w:val="none"/>
                <w:lang w:val="zh-CN"/>
              </w:rPr>
              <w:t>进行打分，优得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rPr>
              <w:t>分、</w:t>
            </w:r>
            <w:r>
              <w:rPr>
                <w:rFonts w:hint="eastAsia" w:ascii="仿宋" w:hAnsi="仿宋" w:eastAsia="仿宋" w:cs="仿宋"/>
                <w:kern w:val="2"/>
                <w:sz w:val="24"/>
                <w:szCs w:val="24"/>
                <w:highlight w:val="none"/>
              </w:rPr>
              <w:t>良得</w:t>
            </w:r>
            <w:r>
              <w:rPr>
                <w:rFonts w:hint="eastAsia" w:ascii="仿宋" w:hAnsi="仿宋" w:eastAsia="仿宋" w:cs="仿宋"/>
                <w:sz w:val="24"/>
                <w:szCs w:val="24"/>
                <w:highlight w:val="none"/>
                <w:lang w:val="zh-CN"/>
              </w:rPr>
              <w:t>3分、一般1分；</w:t>
            </w:r>
            <w:r>
              <w:rPr>
                <w:rFonts w:hint="eastAsia" w:ascii="仿宋" w:hAnsi="仿宋" w:eastAsia="仿宋" w:cs="仿宋"/>
                <w:sz w:val="24"/>
                <w:szCs w:val="24"/>
                <w:highlight w:val="none"/>
                <w:lang w:val="en-US" w:eastAsia="zh-CN"/>
              </w:rPr>
              <w:t>不提供不得分。</w:t>
            </w:r>
          </w:p>
          <w:p w14:paraId="40AF1638">
            <w:pPr>
              <w:widowControl w:val="0"/>
              <w:spacing w:line="360" w:lineRule="auto"/>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2.服务期内，出现任何问题，供应商无条件负责承诺情况进行打分；根据承诺内容</w:t>
            </w:r>
            <w:r>
              <w:rPr>
                <w:rFonts w:hint="eastAsia" w:ascii="仿宋" w:hAnsi="仿宋" w:eastAsia="仿宋" w:cs="仿宋"/>
                <w:kern w:val="2"/>
                <w:sz w:val="24"/>
                <w:szCs w:val="24"/>
                <w:highlight w:val="none"/>
              </w:rPr>
              <w:t>全面、可实施性、合理性等方面</w:t>
            </w:r>
            <w:r>
              <w:rPr>
                <w:rFonts w:hint="eastAsia" w:ascii="仿宋" w:hAnsi="仿宋" w:eastAsia="仿宋" w:cs="仿宋"/>
                <w:sz w:val="24"/>
                <w:szCs w:val="24"/>
                <w:highlight w:val="none"/>
                <w:lang w:val="zh-CN"/>
              </w:rPr>
              <w:t>进行打分，优</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rPr>
              <w:t>分、良3分、一般1分；</w:t>
            </w:r>
            <w:r>
              <w:rPr>
                <w:rFonts w:hint="eastAsia" w:ascii="仿宋" w:hAnsi="仿宋" w:eastAsia="仿宋" w:cs="仿宋"/>
                <w:sz w:val="24"/>
                <w:szCs w:val="24"/>
                <w:highlight w:val="none"/>
                <w:lang w:val="en-US" w:eastAsia="zh-CN"/>
              </w:rPr>
              <w:t>不提供不得分。</w:t>
            </w:r>
          </w:p>
          <w:p w14:paraId="49BEF8BD">
            <w:pPr>
              <w:widowControl w:val="0"/>
              <w:spacing w:line="360" w:lineRule="auto"/>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zh-CN"/>
              </w:rPr>
              <w:t>3.对后期指导服务方案优劣进行评分；根据方案内容</w:t>
            </w:r>
            <w:r>
              <w:rPr>
                <w:rFonts w:hint="eastAsia" w:ascii="仿宋" w:hAnsi="仿宋" w:eastAsia="仿宋" w:cs="仿宋"/>
                <w:kern w:val="2"/>
                <w:sz w:val="24"/>
                <w:szCs w:val="24"/>
                <w:highlight w:val="none"/>
              </w:rPr>
              <w:t>全面、可实施性等方面</w:t>
            </w:r>
            <w:r>
              <w:rPr>
                <w:rFonts w:hint="eastAsia" w:ascii="仿宋" w:hAnsi="仿宋" w:eastAsia="仿宋" w:cs="仿宋"/>
                <w:sz w:val="24"/>
                <w:szCs w:val="24"/>
                <w:highlight w:val="none"/>
                <w:lang w:val="zh-CN"/>
              </w:rPr>
              <w:t>进行打分，优</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zh-CN"/>
              </w:rPr>
              <w:t>分、良</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分、一般1分；</w:t>
            </w:r>
            <w:r>
              <w:rPr>
                <w:rFonts w:hint="eastAsia" w:ascii="仿宋" w:hAnsi="仿宋" w:eastAsia="仿宋" w:cs="仿宋"/>
                <w:sz w:val="24"/>
                <w:szCs w:val="24"/>
                <w:highlight w:val="none"/>
                <w:lang w:val="en-US" w:eastAsia="zh-CN"/>
              </w:rPr>
              <w:t>不提供不得分。</w:t>
            </w:r>
          </w:p>
        </w:tc>
      </w:tr>
      <w:tr w14:paraId="5620AB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3" w:hRule="atLeast"/>
          <w:jc w:val="center"/>
        </w:trPr>
        <w:tc>
          <w:tcPr>
            <w:tcW w:w="9193" w:type="dxa"/>
            <w:gridSpan w:val="4"/>
            <w:tcBorders>
              <w:top w:val="single" w:color="auto" w:sz="4" w:space="0"/>
              <w:left w:val="single" w:color="auto" w:sz="4" w:space="0"/>
              <w:bottom w:val="single" w:color="auto" w:sz="4" w:space="0"/>
              <w:right w:val="single" w:color="auto" w:sz="4" w:space="0"/>
            </w:tcBorders>
            <w:vAlign w:val="center"/>
          </w:tcPr>
          <w:p w14:paraId="73333B8B">
            <w:pPr>
              <w:widowControl w:val="0"/>
              <w:adjustRightInd w:val="0"/>
              <w:snapToGrid w:val="0"/>
              <w:spacing w:line="360" w:lineRule="auto"/>
              <w:jc w:val="both"/>
              <w:rPr>
                <w:rFonts w:hint="eastAsia" w:ascii="仿宋" w:hAnsi="仿宋" w:eastAsia="仿宋" w:cs="仿宋"/>
                <w:bCs/>
                <w:kern w:val="2"/>
                <w:sz w:val="24"/>
                <w:szCs w:val="24"/>
                <w:highlight w:val="none"/>
              </w:rPr>
            </w:pPr>
            <w:r>
              <w:rPr>
                <w:rFonts w:hint="eastAsia" w:ascii="仿宋" w:hAnsi="仿宋" w:eastAsia="仿宋" w:cs="仿宋"/>
                <w:bCs/>
                <w:kern w:val="2"/>
                <w:sz w:val="24"/>
                <w:szCs w:val="24"/>
                <w:highlight w:val="none"/>
              </w:rPr>
              <w:t>注：评审中资格审查、评审打分以响应文件中原件扫描件为准且必须内容齐全、真实有效、清晰可辨。响应性文件的内容真实性由供应商自行承担。</w:t>
            </w:r>
          </w:p>
          <w:p w14:paraId="56E9F55D">
            <w:pPr>
              <w:widowControl w:val="0"/>
              <w:adjustRightInd w:val="0"/>
              <w:snapToGrid w:val="0"/>
              <w:spacing w:line="360" w:lineRule="auto"/>
              <w:jc w:val="both"/>
              <w:rPr>
                <w:rFonts w:hint="eastAsia" w:ascii="仿宋" w:hAnsi="仿宋" w:eastAsia="仿宋" w:cs="仿宋"/>
                <w:bCs/>
                <w:kern w:val="2"/>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kern w:val="2"/>
                <w:sz w:val="24"/>
                <w:szCs w:val="24"/>
                <w:highlight w:val="none"/>
              </w:rPr>
              <w:t>.如磋商小组会一致认为磋商报价明显低于成本价，磋商小组有权通知磋商供应商进行解释。如磋商供应商未能在规定期限内作出解释，或所作解释不合理，经磋商小组取得一致意见后，其报价不作为评分依据。</w:t>
            </w:r>
          </w:p>
          <w:p w14:paraId="4851A4E7">
            <w:pPr>
              <w:widowControl w:val="0"/>
              <w:spacing w:line="360" w:lineRule="auto"/>
              <w:rPr>
                <w:rFonts w:hint="eastAsia" w:ascii="仿宋" w:hAnsi="仿宋" w:eastAsia="仿宋" w:cs="仿宋"/>
                <w:sz w:val="24"/>
                <w:szCs w:val="24"/>
                <w:highlight w:val="none"/>
              </w:rPr>
            </w:pPr>
            <w:r>
              <w:rPr>
                <w:rFonts w:hint="eastAsia" w:ascii="仿宋" w:hAnsi="仿宋" w:eastAsia="仿宋" w:cs="仿宋"/>
                <w:bCs/>
                <w:kern w:val="2"/>
                <w:sz w:val="24"/>
                <w:szCs w:val="24"/>
                <w:highlight w:val="none"/>
              </w:rPr>
              <w:t>2、评标开始后，不再接受任何补充材料。</w:t>
            </w:r>
          </w:p>
        </w:tc>
      </w:tr>
    </w:tbl>
    <w:p w14:paraId="6237C6B7">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15F5F0FB">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注：评标过程中涉及到资格审查、企业荣誉、人员业绩、企业业绩等计分部分时，以投标单位自行上传到响应文件中的相应内容为准。</w:t>
      </w:r>
    </w:p>
    <w:p w14:paraId="1E9B297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47B7CB68">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5461091A">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sectPr>
          <w:footerReference r:id="rId5" w:type="default"/>
          <w:pgSz w:w="11906" w:h="16838"/>
          <w:pgMar w:top="1361" w:right="1361" w:bottom="1361" w:left="1361" w:header="720" w:footer="720" w:gutter="0"/>
          <w:pgNumType w:fmt="decimal"/>
          <w:cols w:space="720" w:num="1"/>
          <w:docGrid w:type="lines" w:linePitch="319" w:charSpace="0"/>
        </w:sectPr>
      </w:pPr>
    </w:p>
    <w:p w14:paraId="48E9063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第六章</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磋商文件格式</w:t>
      </w:r>
    </w:p>
    <w:p w14:paraId="2A51170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封面</w:t>
      </w:r>
    </w:p>
    <w:p w14:paraId="779426C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14C274D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（项目名称）</w:t>
      </w:r>
    </w:p>
    <w:p w14:paraId="09CE617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743BD7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响 应 文 件</w:t>
      </w:r>
      <w:bookmarkStart w:id="20" w:name="_Toc171073207"/>
      <w:bookmarkEnd w:id="20"/>
      <w:bookmarkStart w:id="21" w:name="_Toc169921407"/>
      <w:bookmarkEnd w:id="21"/>
      <w:bookmarkStart w:id="22" w:name="_Toc223432387"/>
      <w:bookmarkEnd w:id="22"/>
      <w:bookmarkStart w:id="23" w:name="_Toc171073042"/>
      <w:bookmarkEnd w:id="23"/>
    </w:p>
    <w:p w14:paraId="74A004C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7BC633D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8549F7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45B6DF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7EEB439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项目编号：</w:t>
      </w:r>
    </w:p>
    <w:p w14:paraId="51731DE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29224A2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57DF3E6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0CA96CA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2A4AC18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5660B5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磋商供应商名称（盖章）</w:t>
      </w:r>
    </w:p>
    <w:p w14:paraId="2E353C6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法定代表人：（电子签章）</w:t>
      </w:r>
    </w:p>
    <w:p w14:paraId="4B425B7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14:paraId="18B5FDB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0AF9CA9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284DD4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p>
    <w:p w14:paraId="7904359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目录</w:t>
      </w:r>
    </w:p>
    <w:p w14:paraId="5AE0F95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自拟</w:t>
      </w:r>
    </w:p>
    <w:p w14:paraId="14F3D67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p>
    <w:p w14:paraId="5F8D466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一、法定代表人身份证明书</w:t>
      </w:r>
    </w:p>
    <w:p w14:paraId="26BF58A1">
      <w:pPr>
        <w:spacing w:line="360" w:lineRule="auto"/>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单位名称：</w:t>
      </w:r>
    </w:p>
    <w:p w14:paraId="249EEB7A">
      <w:pPr>
        <w:spacing w:line="360" w:lineRule="auto"/>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单位性质：</w:t>
      </w:r>
    </w:p>
    <w:p w14:paraId="57097F3D">
      <w:pPr>
        <w:spacing w:line="360" w:lineRule="auto"/>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地    址：</w:t>
      </w:r>
    </w:p>
    <w:p w14:paraId="4C27B07B">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成立时间：年 月日</w:t>
      </w:r>
    </w:p>
    <w:p w14:paraId="196C6A97">
      <w:pPr>
        <w:spacing w:line="360" w:lineRule="auto"/>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经营期限：</w:t>
      </w:r>
    </w:p>
    <w:p w14:paraId="042F7D98">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姓    名：</w:t>
      </w:r>
    </w:p>
    <w:p w14:paraId="7B5EF7C8">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性    别：</w:t>
      </w:r>
    </w:p>
    <w:p w14:paraId="420410F8">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年    龄：</w:t>
      </w:r>
    </w:p>
    <w:p w14:paraId="3AA5DBF1">
      <w:pPr>
        <w:spacing w:line="360" w:lineRule="auto"/>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职    务：</w:t>
      </w:r>
    </w:p>
    <w:p w14:paraId="29A94D15">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系（</w:t>
      </w:r>
      <w:r>
        <w:rPr>
          <w:rFonts w:hint="eastAsia" w:ascii="仿宋" w:hAnsi="仿宋" w:eastAsia="仿宋" w:cs="仿宋"/>
          <w:bCs/>
          <w:color w:val="000000" w:themeColor="text1"/>
          <w:sz w:val="24"/>
          <w:szCs w:val="24"/>
          <w:highlight w:val="none"/>
          <w:u w:val="single"/>
          <w14:textFill>
            <w14:solidFill>
              <w14:schemeClr w14:val="tx1"/>
            </w14:solidFill>
          </w14:textFill>
        </w:rPr>
        <w:t>供应商单位名称</w:t>
      </w:r>
      <w:r>
        <w:rPr>
          <w:rFonts w:hint="eastAsia" w:ascii="仿宋" w:hAnsi="仿宋" w:eastAsia="仿宋" w:cs="仿宋"/>
          <w:bCs/>
          <w:color w:val="000000" w:themeColor="text1"/>
          <w:sz w:val="24"/>
          <w:szCs w:val="24"/>
          <w:highlight w:val="none"/>
          <w14:textFill>
            <w14:solidFill>
              <w14:schemeClr w14:val="tx1"/>
            </w14:solidFill>
          </w14:textFill>
        </w:rPr>
        <w:t>）的法定代表人。</w:t>
      </w:r>
    </w:p>
    <w:p w14:paraId="1DB4B6F6">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335A2409">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特此证明。</w:t>
      </w:r>
    </w:p>
    <w:p w14:paraId="25E8D75F">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磋商供应商：(盖章)</w:t>
      </w:r>
    </w:p>
    <w:p w14:paraId="7A82ED46">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   年月日</w:t>
      </w:r>
    </w:p>
    <w:p w14:paraId="2804FDD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47AAF218">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4B79CB29">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1CAF2E42">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0792022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bookmarkStart w:id="24" w:name="_Toc109675041"/>
      <w:r>
        <w:rPr>
          <w:rFonts w:hint="eastAsia" w:ascii="仿宋" w:hAnsi="仿宋" w:eastAsia="仿宋" w:cs="仿宋"/>
          <w:bCs/>
          <w:color w:val="000000" w:themeColor="text1"/>
          <w:sz w:val="24"/>
          <w:szCs w:val="24"/>
          <w:highlight w:val="none"/>
          <w14:textFill>
            <w14:solidFill>
              <w14:schemeClr w14:val="tx1"/>
            </w14:solidFill>
          </w14:textFill>
        </w:rPr>
        <w:t>（后附法定代表人身份证正反面原件扫描件）</w:t>
      </w:r>
      <w:bookmarkEnd w:id="24"/>
    </w:p>
    <w:p w14:paraId="5B64510E">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66F243D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r>
        <w:rPr>
          <w:rFonts w:hint="eastAsia" w:ascii="仿宋" w:hAnsi="仿宋" w:eastAsia="仿宋" w:cs="仿宋"/>
          <w:bCs/>
          <w:color w:val="000000" w:themeColor="text1"/>
          <w:sz w:val="24"/>
          <w:szCs w:val="24"/>
          <w:highlight w:val="none"/>
          <w14:textFill>
            <w14:solidFill>
              <w14:schemeClr w14:val="tx1"/>
            </w14:solidFill>
          </w14:textFill>
        </w:rPr>
        <w:t>二、授权委托书</w:t>
      </w:r>
    </w:p>
    <w:p w14:paraId="05861F10">
      <w:pPr>
        <w:spacing w:line="360" w:lineRule="auto"/>
        <w:ind w:firstLine="720" w:firstLineChars="300"/>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本授权委托书声明：</w:t>
      </w:r>
    </w:p>
    <w:p w14:paraId="13060925">
      <w:pPr>
        <w:spacing w:line="360" w:lineRule="auto"/>
        <w:ind w:firstLine="720" w:firstLineChars="300"/>
        <w:jc w:val="left"/>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我</w:t>
      </w:r>
      <w:r>
        <w:rPr>
          <w:rFonts w:hint="eastAsia" w:ascii="仿宋" w:hAnsi="仿宋" w:eastAsia="仿宋" w:cs="仿宋"/>
          <w:bCs/>
          <w:color w:val="000000" w:themeColor="text1"/>
          <w:sz w:val="24"/>
          <w:szCs w:val="24"/>
          <w:highlight w:val="none"/>
          <w:u w:val="single"/>
          <w14:textFill>
            <w14:solidFill>
              <w14:schemeClr w14:val="tx1"/>
            </w14:solidFill>
          </w14:textFill>
        </w:rPr>
        <w:t>（法定代表人）</w:t>
      </w:r>
      <w:r>
        <w:rPr>
          <w:rFonts w:hint="eastAsia" w:ascii="仿宋" w:hAnsi="仿宋" w:eastAsia="仿宋" w:cs="仿宋"/>
          <w:bCs/>
          <w:color w:val="000000" w:themeColor="text1"/>
          <w:sz w:val="24"/>
          <w:szCs w:val="24"/>
          <w:highlight w:val="none"/>
          <w14:textFill>
            <w14:solidFill>
              <w14:schemeClr w14:val="tx1"/>
            </w14:solidFill>
          </w14:textFill>
        </w:rPr>
        <w:t>（姓名）系</w:t>
      </w:r>
      <w:r>
        <w:rPr>
          <w:rFonts w:hint="eastAsia" w:ascii="仿宋" w:hAnsi="仿宋" w:eastAsia="仿宋" w:cs="仿宋"/>
          <w:bCs/>
          <w:color w:val="000000" w:themeColor="text1"/>
          <w:sz w:val="24"/>
          <w:szCs w:val="24"/>
          <w:highlight w:val="none"/>
          <w:u w:val="single"/>
          <w14:textFill>
            <w14:solidFill>
              <w14:schemeClr w14:val="tx1"/>
            </w14:solidFill>
          </w14:textFill>
        </w:rPr>
        <w:t>（投 标 人 名 称）</w:t>
      </w:r>
      <w:r>
        <w:rPr>
          <w:rFonts w:hint="eastAsia" w:ascii="仿宋" w:hAnsi="仿宋" w:eastAsia="仿宋" w:cs="仿宋"/>
          <w:bCs/>
          <w:color w:val="000000" w:themeColor="text1"/>
          <w:sz w:val="24"/>
          <w:szCs w:val="24"/>
          <w:highlight w:val="none"/>
          <w14:textFill>
            <w14:solidFill>
              <w14:schemeClr w14:val="tx1"/>
            </w14:solidFill>
          </w14:textFill>
        </w:rPr>
        <w:t>的法定代表人，现授权委托</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（单 位 名 称） </w:t>
      </w:r>
      <w:r>
        <w:rPr>
          <w:rFonts w:hint="eastAsia" w:ascii="仿宋" w:hAnsi="仿宋" w:eastAsia="仿宋" w:cs="仿宋"/>
          <w:bCs/>
          <w:color w:val="000000" w:themeColor="text1"/>
          <w:sz w:val="24"/>
          <w:szCs w:val="24"/>
          <w:highlight w:val="none"/>
          <w14:textFill>
            <w14:solidFill>
              <w14:schemeClr w14:val="tx1"/>
            </w14:solidFill>
          </w14:textFill>
        </w:rPr>
        <w:t>的</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（姓名） </w:t>
      </w:r>
      <w:r>
        <w:rPr>
          <w:rFonts w:hint="eastAsia" w:ascii="仿宋" w:hAnsi="仿宋" w:eastAsia="仿宋" w:cs="仿宋"/>
          <w:bCs/>
          <w:color w:val="000000" w:themeColor="text1"/>
          <w:sz w:val="24"/>
          <w:szCs w:val="24"/>
          <w:highlight w:val="none"/>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14:paraId="23132E86">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4072A664">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代理人无转委托权，特此委托。</w:t>
      </w:r>
    </w:p>
    <w:p w14:paraId="5D394A1F">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22F1856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6E30E1DB">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磋商供应商：</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（盖章）</w:t>
      </w:r>
    </w:p>
    <w:p w14:paraId="67574BC9">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00ADF705">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（电子签章）</w:t>
      </w:r>
    </w:p>
    <w:p w14:paraId="79878A85">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0A168793">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授权委托日期：年  月  日</w:t>
      </w:r>
    </w:p>
    <w:p w14:paraId="68B17C19">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bookmarkStart w:id="25" w:name="_Toc223432391"/>
      <w:bookmarkEnd w:id="25"/>
      <w:bookmarkStart w:id="26" w:name="_Toc169921411"/>
      <w:bookmarkEnd w:id="26"/>
      <w:bookmarkStart w:id="27" w:name="_Toc171073211"/>
      <w:bookmarkEnd w:id="27"/>
      <w:bookmarkStart w:id="28" w:name="_Toc171073046"/>
      <w:bookmarkEnd w:id="28"/>
    </w:p>
    <w:p w14:paraId="5391013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p>
    <w:p w14:paraId="14B5C21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附：法人和被授权人身份证复印件正反面</w:t>
      </w:r>
      <w:r>
        <w:rPr>
          <w:rFonts w:hint="eastAsia" w:ascii="仿宋" w:hAnsi="仿宋" w:eastAsia="仿宋" w:cs="仿宋"/>
          <w:bCs/>
          <w:color w:val="000000" w:themeColor="text1"/>
          <w:sz w:val="24"/>
          <w:szCs w:val="24"/>
          <w:highlight w:val="none"/>
          <w14:textFill>
            <w14:solidFill>
              <w14:schemeClr w14:val="tx1"/>
            </w14:solidFill>
          </w14:textFill>
        </w:rPr>
        <w:br w:type="page"/>
      </w:r>
      <w:bookmarkStart w:id="29" w:name="_Toc438305223"/>
      <w:r>
        <w:rPr>
          <w:rFonts w:hint="eastAsia" w:ascii="仿宋" w:hAnsi="仿宋" w:eastAsia="仿宋" w:cs="仿宋"/>
          <w:bCs/>
          <w:color w:val="000000" w:themeColor="text1"/>
          <w:sz w:val="24"/>
          <w:szCs w:val="24"/>
          <w:highlight w:val="none"/>
          <w14:textFill>
            <w14:solidFill>
              <w14:schemeClr w14:val="tx1"/>
            </w14:solidFill>
          </w14:textFill>
        </w:rPr>
        <w:t>三、磋 商 函</w:t>
      </w:r>
    </w:p>
    <w:p w14:paraId="2177374E">
      <w:pPr>
        <w:widowControl/>
        <w:spacing w:line="480" w:lineRule="auto"/>
        <w:jc w:val="left"/>
        <w:rPr>
          <w:rFonts w:hint="eastAsia" w:ascii="仿宋" w:hAnsi="仿宋" w:eastAsia="仿宋" w:cs="仿宋"/>
          <w:color w:val="000000" w:themeColor="text1"/>
          <w:kern w:val="0"/>
          <w:sz w:val="24"/>
          <w:szCs w:val="24"/>
          <w:highlight w:val="none"/>
          <w14:textFill>
            <w14:solidFill>
              <w14:schemeClr w14:val="tx1"/>
            </w14:solidFill>
          </w14:textFill>
        </w:rPr>
      </w:pPr>
      <w:bookmarkStart w:id="30" w:name="OLE_LINK11"/>
      <w:bookmarkEnd w:id="30"/>
      <w:bookmarkStart w:id="31" w:name="OLE_LINK7"/>
      <w:r>
        <w:rPr>
          <w:rFonts w:hint="eastAsia" w:ascii="仿宋" w:hAnsi="仿宋" w:eastAsia="仿宋" w:cs="仿宋"/>
          <w:color w:val="000000" w:themeColor="text1"/>
          <w:spacing w:val="46"/>
          <w:kern w:val="0"/>
          <w:sz w:val="24"/>
          <w:szCs w:val="24"/>
          <w:highlight w:val="none"/>
          <w14:textFill>
            <w14:solidFill>
              <w14:schemeClr w14:val="tx1"/>
            </w14:solidFill>
          </w14:textFill>
        </w:rPr>
        <w:t>致</w:t>
      </w:r>
      <w:bookmarkEnd w:id="31"/>
      <w:r>
        <w:rPr>
          <w:rFonts w:hint="eastAsia" w:ascii="仿宋" w:hAnsi="仿宋" w:eastAsia="仿宋" w:cs="仿宋"/>
          <w:color w:val="000000" w:themeColor="text1"/>
          <w:spacing w:val="46"/>
          <w:kern w:val="0"/>
          <w:sz w:val="24"/>
          <w:szCs w:val="24"/>
          <w:highlight w:val="none"/>
          <w:u w:val="single"/>
          <w14:textFill>
            <w14:solidFill>
              <w14:schemeClr w14:val="tx1"/>
            </w14:solidFill>
          </w14:textFill>
        </w:rPr>
        <w:t xml:space="preserve"> （采购人） </w:t>
      </w:r>
      <w:r>
        <w:rPr>
          <w:rFonts w:hint="eastAsia" w:ascii="仿宋" w:hAnsi="仿宋" w:eastAsia="仿宋" w:cs="仿宋"/>
          <w:color w:val="000000" w:themeColor="text1"/>
          <w:spacing w:val="46"/>
          <w:kern w:val="0"/>
          <w:sz w:val="24"/>
          <w:szCs w:val="24"/>
          <w:highlight w:val="none"/>
          <w14:textFill>
            <w14:solidFill>
              <w14:schemeClr w14:val="tx1"/>
            </w14:solidFill>
          </w14:textFill>
        </w:rPr>
        <w:t>：</w:t>
      </w:r>
    </w:p>
    <w:p w14:paraId="60F97AA8">
      <w:pPr>
        <w:widowControl/>
        <w:spacing w:line="48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我方已仔细研究了</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（项目名称）竞争性磋商文件的全部内容，愿意以人民币（大写）</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（小写：</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元）的投标总报价， 按合同约定完成本项目服务内容，</w:t>
      </w:r>
    </w:p>
    <w:p w14:paraId="3349C19F">
      <w:pPr>
        <w:widowControl/>
        <w:spacing w:line="48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1、我方已详细审阅全部竞争性磋商文件，包括修改文件（如果有的话），及有关附件，我方完全知道必须放弃提出含糊不清或误解的权力。</w:t>
      </w:r>
    </w:p>
    <w:p w14:paraId="45E15473">
      <w:pPr>
        <w:widowControl/>
        <w:spacing w:line="48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2、一旦我方成交，我们将按照</w:t>
      </w:r>
      <w:r>
        <w:rPr>
          <w:rFonts w:hint="eastAsia" w:ascii="仿宋" w:hAnsi="仿宋" w:eastAsia="仿宋" w:cs="仿宋"/>
          <w:color w:val="000000" w:themeColor="text1"/>
          <w:sz w:val="24"/>
          <w:szCs w:val="24"/>
          <w:highlight w:val="none"/>
          <w14:textFill>
            <w14:solidFill>
              <w14:schemeClr w14:val="tx1"/>
            </w14:solidFill>
          </w14:textFill>
        </w:rPr>
        <w:t>竞争性磋商文件</w:t>
      </w:r>
      <w:r>
        <w:rPr>
          <w:rFonts w:hint="eastAsia" w:ascii="仿宋" w:hAnsi="仿宋" w:eastAsia="仿宋" w:cs="仿宋"/>
          <w:color w:val="000000" w:themeColor="text1"/>
          <w:kern w:val="0"/>
          <w:sz w:val="24"/>
          <w:szCs w:val="24"/>
          <w:highlight w:val="none"/>
          <w14:textFill>
            <w14:solidFill>
              <w14:schemeClr w14:val="tx1"/>
            </w14:solidFill>
          </w14:textFill>
        </w:rPr>
        <w:t>中规定的各项要求和我们的响应文件中的表述和承诺，按期、按质、按量完成成交、安装、验收、培训等义务。</w:t>
      </w:r>
    </w:p>
    <w:p w14:paraId="102A5DEA">
      <w:pPr>
        <w:widowControl/>
        <w:spacing w:line="48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5、我方同意所递交的响应文件在</w:t>
      </w:r>
      <w:r>
        <w:rPr>
          <w:rFonts w:hint="eastAsia" w:ascii="仿宋" w:hAnsi="仿宋" w:eastAsia="仿宋" w:cs="仿宋"/>
          <w:color w:val="000000" w:themeColor="text1"/>
          <w:sz w:val="24"/>
          <w:szCs w:val="24"/>
          <w:highlight w:val="none"/>
          <w14:textFill>
            <w14:solidFill>
              <w14:schemeClr w14:val="tx1"/>
            </w14:solidFill>
          </w14:textFill>
        </w:rPr>
        <w:t>竞争性磋商文件</w:t>
      </w:r>
      <w:r>
        <w:rPr>
          <w:rFonts w:hint="eastAsia" w:ascii="仿宋" w:hAnsi="仿宋" w:eastAsia="仿宋" w:cs="仿宋"/>
          <w:color w:val="000000" w:themeColor="text1"/>
          <w:kern w:val="0"/>
          <w:sz w:val="24"/>
          <w:szCs w:val="24"/>
          <w:highlight w:val="none"/>
          <w14:textFill>
            <w14:solidFill>
              <w14:schemeClr w14:val="tx1"/>
            </w14:solidFill>
          </w14:textFill>
        </w:rPr>
        <w:t>规定的磋商有效期</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14:textFill>
            <w14:solidFill>
              <w14:schemeClr w14:val="tx1"/>
            </w14:solidFill>
          </w14:textFill>
        </w:rPr>
        <w:t>日历天</w:t>
      </w:r>
      <w:r>
        <w:rPr>
          <w:rFonts w:hint="eastAsia" w:ascii="仿宋" w:hAnsi="仿宋" w:eastAsia="仿宋" w:cs="仿宋"/>
          <w:color w:val="000000" w:themeColor="text1"/>
          <w:kern w:val="0"/>
          <w:sz w:val="24"/>
          <w:szCs w:val="24"/>
          <w:highlight w:val="none"/>
          <w14:textFill>
            <w14:solidFill>
              <w14:schemeClr w14:val="tx1"/>
            </w14:solidFill>
          </w14:textFill>
        </w:rPr>
        <w:t>内有效，在此期间我方有可能成交，我方将受此约束。</w:t>
      </w:r>
    </w:p>
    <w:p w14:paraId="6FDAE3B6">
      <w:pPr>
        <w:widowControl/>
        <w:spacing w:line="480" w:lineRule="auto"/>
        <w:ind w:firstLine="480" w:firstLineChars="20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6、除非另外达成协议并生效，贵方的成交通知书和本响应文件将构成约束我们双方的合同。</w:t>
      </w:r>
    </w:p>
    <w:p w14:paraId="47C2B457">
      <w:pPr>
        <w:widowControl/>
        <w:spacing w:line="480" w:lineRule="auto"/>
        <w:jc w:val="left"/>
        <w:rPr>
          <w:rFonts w:hint="eastAsia" w:ascii="仿宋" w:hAnsi="仿宋" w:eastAsia="仿宋" w:cs="仿宋"/>
          <w:color w:val="000000" w:themeColor="text1"/>
          <w:spacing w:val="46"/>
          <w:kern w:val="0"/>
          <w:sz w:val="24"/>
          <w:szCs w:val="24"/>
          <w:highlight w:val="none"/>
          <w14:textFill>
            <w14:solidFill>
              <w14:schemeClr w14:val="tx1"/>
            </w14:solidFill>
          </w14:textFill>
        </w:rPr>
      </w:pPr>
    </w:p>
    <w:p w14:paraId="1C3CA608">
      <w:pPr>
        <w:widowControl/>
        <w:spacing w:line="480" w:lineRule="auto"/>
        <w:jc w:val="left"/>
        <w:rPr>
          <w:rFonts w:hint="eastAsia" w:ascii="仿宋" w:hAnsi="仿宋" w:eastAsia="仿宋" w:cs="仿宋"/>
          <w:color w:val="000000" w:themeColor="text1"/>
          <w:spacing w:val="46"/>
          <w:kern w:val="0"/>
          <w:sz w:val="24"/>
          <w:szCs w:val="24"/>
          <w:highlight w:val="none"/>
          <w14:textFill>
            <w14:solidFill>
              <w14:schemeClr w14:val="tx1"/>
            </w14:solidFill>
          </w14:textFill>
        </w:rPr>
      </w:pPr>
      <w:r>
        <w:rPr>
          <w:rFonts w:hint="eastAsia" w:ascii="仿宋" w:hAnsi="仿宋" w:eastAsia="仿宋" w:cs="仿宋"/>
          <w:color w:val="000000" w:themeColor="text1"/>
          <w:spacing w:val="46"/>
          <w:kern w:val="0"/>
          <w:sz w:val="24"/>
          <w:szCs w:val="24"/>
          <w:highlight w:val="none"/>
          <w14:textFill>
            <w14:solidFill>
              <w14:schemeClr w14:val="tx1"/>
            </w14:solidFill>
          </w14:textFill>
        </w:rPr>
        <w:t xml:space="preserve">磋商供应商：（盖章） </w:t>
      </w:r>
    </w:p>
    <w:p w14:paraId="3000DA91">
      <w:pPr>
        <w:widowControl/>
        <w:spacing w:line="480" w:lineRule="auto"/>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pacing w:val="46"/>
          <w:kern w:val="0"/>
          <w:sz w:val="24"/>
          <w:szCs w:val="24"/>
          <w:highlight w:val="none"/>
          <w14:textFill>
            <w14:solidFill>
              <w14:schemeClr w14:val="tx1"/>
            </w14:solidFill>
          </w14:textFill>
        </w:rPr>
        <w:t>法定代表人：（签字或盖章）</w:t>
      </w:r>
    </w:p>
    <w:p w14:paraId="212CEDB2">
      <w:pPr>
        <w:widowControl/>
        <w:spacing w:line="480" w:lineRule="auto"/>
        <w:ind w:right="1488"/>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pacing w:val="46"/>
          <w:kern w:val="0"/>
          <w:sz w:val="24"/>
          <w:szCs w:val="24"/>
          <w:highlight w:val="none"/>
          <w14:textFill>
            <w14:solidFill>
              <w14:schemeClr w14:val="tx1"/>
            </w14:solidFill>
          </w14:textFill>
        </w:rPr>
        <w:t xml:space="preserve">日 期： 年 月 日 </w:t>
      </w:r>
    </w:p>
    <w:p w14:paraId="4A49D44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bookmarkStart w:id="32" w:name="_Toc109675042"/>
    </w:p>
    <w:p w14:paraId="01800996">
      <w:pPr>
        <w:numPr>
          <w:ilvl w:val="0"/>
          <w:numId w:val="3"/>
        </w:num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磋商函附表</w:t>
      </w:r>
    </w:p>
    <w:tbl>
      <w:tblPr>
        <w:tblStyle w:val="24"/>
        <w:tblpPr w:leftFromText="180" w:rightFromText="180" w:vertAnchor="text" w:horzAnchor="page" w:tblpXSpec="center" w:tblpY="294"/>
        <w:tblOverlap w:val="never"/>
        <w:tblW w:w="8596"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2723"/>
        <w:gridCol w:w="1507"/>
        <w:gridCol w:w="2324"/>
      </w:tblGrid>
      <w:tr w14:paraId="1F48390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E5CDE6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5C2E7F9D">
            <w:pPr>
              <w:spacing w:line="360" w:lineRule="auto"/>
              <w:jc w:val="center"/>
              <w:rPr>
                <w:rFonts w:hint="eastAsia" w:ascii="仿宋" w:hAnsi="仿宋" w:eastAsia="仿宋" w:cs="仿宋"/>
                <w:sz w:val="24"/>
                <w:szCs w:val="24"/>
                <w:highlight w:val="none"/>
              </w:rPr>
            </w:pPr>
          </w:p>
        </w:tc>
      </w:tr>
      <w:tr w14:paraId="2D291B1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669EBD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7C3923E9">
            <w:pPr>
              <w:spacing w:line="440" w:lineRule="exact"/>
              <w:ind w:right="640"/>
              <w:jc w:val="center"/>
              <w:rPr>
                <w:rFonts w:hint="eastAsia" w:ascii="仿宋" w:hAnsi="仿宋" w:eastAsia="仿宋" w:cs="仿宋"/>
                <w:sz w:val="24"/>
                <w:szCs w:val="24"/>
                <w:highlight w:val="none"/>
              </w:rPr>
            </w:pPr>
          </w:p>
        </w:tc>
      </w:tr>
      <w:tr w14:paraId="507703B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1525CDC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投标供应商</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10D393D9">
            <w:pPr>
              <w:spacing w:line="440" w:lineRule="exact"/>
              <w:ind w:right="640"/>
              <w:jc w:val="center"/>
              <w:rPr>
                <w:rFonts w:hint="eastAsia" w:ascii="仿宋" w:hAnsi="仿宋" w:eastAsia="仿宋" w:cs="仿宋"/>
                <w:sz w:val="24"/>
                <w:szCs w:val="24"/>
                <w:highlight w:val="none"/>
              </w:rPr>
            </w:pPr>
          </w:p>
        </w:tc>
      </w:tr>
      <w:tr w14:paraId="2DCF3AF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59C7A44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w:t>
            </w:r>
          </w:p>
        </w:tc>
        <w:tc>
          <w:tcPr>
            <w:tcW w:w="6554" w:type="dxa"/>
            <w:gridSpan w:val="3"/>
            <w:tcBorders>
              <w:top w:val="single" w:color="auto" w:sz="6" w:space="0"/>
              <w:left w:val="single" w:color="auto" w:sz="6" w:space="0"/>
              <w:right w:val="single" w:color="auto" w:sz="6" w:space="0"/>
            </w:tcBorders>
            <w:vAlign w:val="center"/>
          </w:tcPr>
          <w:p w14:paraId="152A5CDF">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p>
          <w:p w14:paraId="479DBBF9">
            <w:pPr>
              <w:spacing w:line="300" w:lineRule="exact"/>
              <w:rPr>
                <w:rFonts w:hint="eastAsia" w:ascii="仿宋" w:hAnsi="仿宋" w:eastAsia="仿宋" w:cs="仿宋"/>
                <w:sz w:val="24"/>
                <w:szCs w:val="24"/>
                <w:highlight w:val="none"/>
              </w:rPr>
            </w:pPr>
          </w:p>
          <w:p w14:paraId="120174B0">
            <w:pPr>
              <w:spacing w:line="3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小写：    元</w:t>
            </w:r>
          </w:p>
        </w:tc>
      </w:tr>
      <w:tr w14:paraId="28BD510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45B115F1">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服务期</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3732031A">
            <w:pPr>
              <w:spacing w:line="440" w:lineRule="exact"/>
              <w:ind w:right="640"/>
              <w:rPr>
                <w:rFonts w:hint="eastAsia" w:ascii="仿宋" w:hAnsi="仿宋" w:eastAsia="仿宋" w:cs="仿宋"/>
                <w:sz w:val="24"/>
                <w:szCs w:val="24"/>
                <w:highlight w:val="none"/>
              </w:rPr>
            </w:pPr>
          </w:p>
        </w:tc>
      </w:tr>
      <w:tr w14:paraId="2EFB7CE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A91A9F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质量要求</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2B2DB534">
            <w:pPr>
              <w:spacing w:line="440" w:lineRule="exact"/>
              <w:ind w:right="640"/>
              <w:rPr>
                <w:rFonts w:hint="eastAsia" w:ascii="仿宋" w:hAnsi="仿宋" w:eastAsia="仿宋" w:cs="仿宋"/>
                <w:sz w:val="24"/>
                <w:szCs w:val="24"/>
                <w:highlight w:val="none"/>
              </w:rPr>
            </w:pPr>
          </w:p>
        </w:tc>
      </w:tr>
      <w:tr w14:paraId="24C3567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2F4DE2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有效期</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4C480067">
            <w:pPr>
              <w:spacing w:line="440" w:lineRule="exact"/>
              <w:ind w:right="640"/>
              <w:rPr>
                <w:rFonts w:hint="eastAsia" w:ascii="仿宋" w:hAnsi="仿宋" w:eastAsia="仿宋" w:cs="仿宋"/>
                <w:sz w:val="24"/>
                <w:szCs w:val="24"/>
                <w:highlight w:val="none"/>
              </w:rPr>
            </w:pPr>
          </w:p>
        </w:tc>
      </w:tr>
      <w:tr w14:paraId="65135BC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40C1C69">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2723" w:type="dxa"/>
            <w:tcBorders>
              <w:top w:val="single" w:color="auto" w:sz="6" w:space="0"/>
              <w:left w:val="single" w:color="auto" w:sz="6" w:space="0"/>
              <w:bottom w:val="single" w:color="auto" w:sz="6" w:space="0"/>
              <w:right w:val="single" w:color="auto" w:sz="6" w:space="0"/>
            </w:tcBorders>
            <w:vAlign w:val="center"/>
          </w:tcPr>
          <w:p w14:paraId="6ABDDDEC">
            <w:pPr>
              <w:spacing w:line="500" w:lineRule="exact"/>
              <w:jc w:val="center"/>
              <w:rPr>
                <w:rFonts w:hint="eastAsia" w:ascii="仿宋" w:hAnsi="仿宋" w:eastAsia="仿宋" w:cs="仿宋"/>
                <w:sz w:val="24"/>
                <w:szCs w:val="24"/>
                <w:highlight w:val="none"/>
              </w:rPr>
            </w:pPr>
          </w:p>
        </w:tc>
        <w:tc>
          <w:tcPr>
            <w:tcW w:w="1507" w:type="dxa"/>
            <w:tcBorders>
              <w:top w:val="single" w:color="auto" w:sz="6" w:space="0"/>
              <w:left w:val="single" w:color="auto" w:sz="6" w:space="0"/>
              <w:bottom w:val="single" w:color="auto" w:sz="6" w:space="0"/>
              <w:right w:val="single" w:color="auto" w:sz="6" w:space="0"/>
            </w:tcBorders>
            <w:vAlign w:val="center"/>
          </w:tcPr>
          <w:p w14:paraId="3E97D39A">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324" w:type="dxa"/>
            <w:tcBorders>
              <w:top w:val="single" w:color="auto" w:sz="6" w:space="0"/>
              <w:left w:val="single" w:color="auto" w:sz="6" w:space="0"/>
              <w:bottom w:val="single" w:color="auto" w:sz="6" w:space="0"/>
              <w:right w:val="single" w:color="auto" w:sz="6" w:space="0"/>
            </w:tcBorders>
            <w:vAlign w:val="center"/>
          </w:tcPr>
          <w:p w14:paraId="00DCFF88">
            <w:pPr>
              <w:spacing w:line="500" w:lineRule="exact"/>
              <w:jc w:val="center"/>
              <w:rPr>
                <w:rFonts w:hint="eastAsia" w:ascii="仿宋" w:hAnsi="仿宋" w:eastAsia="仿宋" w:cs="仿宋"/>
                <w:sz w:val="24"/>
                <w:szCs w:val="24"/>
                <w:highlight w:val="none"/>
              </w:rPr>
            </w:pPr>
          </w:p>
        </w:tc>
      </w:tr>
      <w:tr w14:paraId="6BFFE74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7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371F3AF">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6554" w:type="dxa"/>
            <w:gridSpan w:val="3"/>
            <w:tcBorders>
              <w:top w:val="single" w:color="auto" w:sz="6" w:space="0"/>
              <w:left w:val="single" w:color="auto" w:sz="6" w:space="0"/>
              <w:bottom w:val="single" w:color="auto" w:sz="6" w:space="0"/>
              <w:right w:val="single" w:color="auto" w:sz="6" w:space="0"/>
            </w:tcBorders>
            <w:vAlign w:val="center"/>
          </w:tcPr>
          <w:p w14:paraId="6FD612AA">
            <w:pPr>
              <w:spacing w:line="500" w:lineRule="exact"/>
              <w:jc w:val="center"/>
              <w:rPr>
                <w:rFonts w:hint="eastAsia" w:ascii="仿宋" w:hAnsi="仿宋" w:eastAsia="仿宋" w:cs="仿宋"/>
                <w:sz w:val="24"/>
                <w:szCs w:val="24"/>
                <w:highlight w:val="none"/>
              </w:rPr>
            </w:pPr>
          </w:p>
        </w:tc>
      </w:tr>
    </w:tbl>
    <w:p w14:paraId="02297E8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bookmarkEnd w:id="29"/>
    <w:bookmarkEnd w:id="32"/>
    <w:p w14:paraId="3D2F91F3">
      <w:pPr>
        <w:snapToGrid w:val="0"/>
        <w:spacing w:line="560" w:lineRule="exact"/>
        <w:ind w:firstLine="480" w:firstLineChars="200"/>
        <w:jc w:val="both"/>
        <w:outlineLvl w:val="2"/>
        <w:rPr>
          <w:rFonts w:hint="eastAsia" w:ascii="仿宋" w:hAnsi="仿宋" w:eastAsia="仿宋" w:cs="仿宋"/>
          <w:sz w:val="24"/>
          <w:szCs w:val="24"/>
          <w:highlight w:val="none"/>
        </w:rPr>
      </w:pPr>
      <w:bookmarkStart w:id="33" w:name="_Toc145065060"/>
      <w:bookmarkStart w:id="34" w:name="_Toc145065230"/>
      <w:bookmarkStart w:id="35" w:name="_Toc25552"/>
      <w:r>
        <w:rPr>
          <w:rFonts w:hint="eastAsia" w:ascii="仿宋" w:hAnsi="仿宋" w:eastAsia="仿宋" w:cs="仿宋"/>
          <w:sz w:val="24"/>
          <w:szCs w:val="24"/>
          <w:highlight w:val="none"/>
        </w:rPr>
        <w:t>法定代表人（签字或盖章）：</w:t>
      </w:r>
      <w:bookmarkEnd w:id="33"/>
      <w:bookmarkEnd w:id="34"/>
    </w:p>
    <w:p w14:paraId="1855F77D">
      <w:pPr>
        <w:snapToGrid w:val="0"/>
        <w:spacing w:line="560" w:lineRule="exact"/>
        <w:ind w:firstLine="480" w:firstLineChars="200"/>
        <w:jc w:val="both"/>
        <w:outlineLvl w:val="0"/>
        <w:rPr>
          <w:rFonts w:hint="eastAsia" w:ascii="仿宋" w:hAnsi="仿宋" w:eastAsia="仿宋" w:cs="仿宋"/>
          <w:sz w:val="24"/>
          <w:szCs w:val="24"/>
          <w:highlight w:val="none"/>
        </w:rPr>
      </w:pPr>
      <w:bookmarkStart w:id="36" w:name="_Toc145065231"/>
      <w:bookmarkStart w:id="37" w:name="_Toc145065061"/>
      <w:bookmarkStart w:id="38" w:name="_Toc12482"/>
      <w:r>
        <w:rPr>
          <w:rFonts w:hint="eastAsia" w:ascii="仿宋" w:hAnsi="仿宋" w:eastAsia="仿宋" w:cs="仿宋"/>
          <w:sz w:val="24"/>
          <w:szCs w:val="24"/>
          <w:highlight w:val="none"/>
        </w:rPr>
        <w:t>磋商供应商：（全称并加盖公章）</w:t>
      </w:r>
      <w:bookmarkEnd w:id="36"/>
      <w:bookmarkEnd w:id="37"/>
      <w:bookmarkEnd w:id="38"/>
    </w:p>
    <w:p w14:paraId="3E2870AF">
      <w:pPr>
        <w:snapToGrid w:val="0"/>
        <w:spacing w:line="560" w:lineRule="exact"/>
        <w:ind w:firstLine="720" w:firstLineChars="300"/>
        <w:jc w:val="both"/>
        <w:outlineLvl w:val="0"/>
        <w:rPr>
          <w:rFonts w:hint="eastAsia" w:ascii="仿宋" w:hAnsi="仿宋" w:eastAsia="仿宋" w:cs="仿宋"/>
          <w:b/>
          <w:color w:val="000000" w:themeColor="text1"/>
          <w:kern w:val="0"/>
          <w:sz w:val="24"/>
          <w:szCs w:val="24"/>
          <w:highlight w:val="none"/>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bookmarkStart w:id="39" w:name="_Toc145065232"/>
      <w:bookmarkStart w:id="40" w:name="_Toc145065062"/>
      <w:bookmarkStart w:id="41" w:name="_Toc5651"/>
      <w:r>
        <w:rPr>
          <w:rFonts w:hint="eastAsia" w:ascii="仿宋" w:hAnsi="仿宋" w:eastAsia="仿宋" w:cs="仿宋"/>
          <w:sz w:val="24"/>
          <w:szCs w:val="24"/>
          <w:highlight w:val="none"/>
        </w:rPr>
        <w:t xml:space="preserve">年 月 </w:t>
      </w:r>
      <w:bookmarkEnd w:id="39"/>
      <w:bookmarkEnd w:id="40"/>
      <w:bookmarkEnd w:id="41"/>
      <w:r>
        <w:rPr>
          <w:rFonts w:hint="eastAsia" w:ascii="仿宋" w:hAnsi="仿宋" w:eastAsia="仿宋" w:cs="仿宋"/>
          <w:sz w:val="24"/>
          <w:szCs w:val="24"/>
          <w:highlight w:val="none"/>
          <w:lang w:val="en-US" w:eastAsia="zh-CN"/>
        </w:rPr>
        <w:t xml:space="preserve"> 日</w:t>
      </w:r>
    </w:p>
    <w:p w14:paraId="1930AA3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五、服务方案</w:t>
      </w:r>
    </w:p>
    <w:p w14:paraId="6C65FF2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格式自拟</w:t>
      </w:r>
    </w:p>
    <w:p w14:paraId="4CA46A0C">
      <w:pPr>
        <w:widowControl/>
        <w:jc w:val="left"/>
        <w:rPr>
          <w:rFonts w:hint="eastAsia" w:ascii="仿宋" w:hAnsi="仿宋" w:eastAsia="仿宋" w:cs="仿宋"/>
          <w:bCs/>
          <w:color w:val="000000" w:themeColor="text1"/>
          <w:sz w:val="24"/>
          <w:szCs w:val="24"/>
          <w:highlight w:val="none"/>
          <w14:textFill>
            <w14:solidFill>
              <w14:schemeClr w14:val="tx1"/>
            </w14:solidFill>
          </w14:textFill>
        </w:rPr>
      </w:pPr>
    </w:p>
    <w:p w14:paraId="07F64C8C">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p>
    <w:p w14:paraId="575B1F4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六、资格审查资料</w:t>
      </w:r>
    </w:p>
    <w:p w14:paraId="609962F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（一）投标人基本情况表</w:t>
      </w:r>
    </w:p>
    <w:tbl>
      <w:tblPr>
        <w:tblStyle w:val="24"/>
        <w:tblW w:w="9705"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20"/>
        <w:gridCol w:w="1095"/>
        <w:gridCol w:w="1834"/>
        <w:gridCol w:w="728"/>
        <w:gridCol w:w="547"/>
        <w:gridCol w:w="1107"/>
        <w:gridCol w:w="180"/>
        <w:gridCol w:w="735"/>
        <w:gridCol w:w="1459"/>
      </w:tblGrid>
      <w:tr w14:paraId="02B82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6" w:hRule="atLeast"/>
        </w:trPr>
        <w:tc>
          <w:tcPr>
            <w:tcW w:w="2020" w:type="dxa"/>
            <w:tcBorders>
              <w:top w:val="single" w:color="000000" w:sz="2" w:space="0"/>
              <w:left w:val="single" w:color="000000" w:sz="2" w:space="0"/>
              <w:bottom w:val="single" w:color="000000" w:sz="2" w:space="0"/>
              <w:right w:val="single" w:color="000000" w:sz="2" w:space="0"/>
            </w:tcBorders>
          </w:tcPr>
          <w:p w14:paraId="4744462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投标人名称</w:t>
            </w:r>
          </w:p>
        </w:tc>
        <w:tc>
          <w:tcPr>
            <w:tcW w:w="7685" w:type="dxa"/>
            <w:gridSpan w:val="8"/>
            <w:tcBorders>
              <w:top w:val="single" w:color="000000" w:sz="2" w:space="0"/>
              <w:left w:val="single" w:color="000000" w:sz="2" w:space="0"/>
              <w:bottom w:val="single" w:color="000000" w:sz="2" w:space="0"/>
              <w:right w:val="single" w:color="000000" w:sz="2" w:space="0"/>
            </w:tcBorders>
          </w:tcPr>
          <w:p w14:paraId="0ED1A40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7D1FB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1" w:hRule="atLeast"/>
        </w:trPr>
        <w:tc>
          <w:tcPr>
            <w:tcW w:w="2020" w:type="dxa"/>
            <w:tcBorders>
              <w:top w:val="single" w:color="000000" w:sz="2" w:space="0"/>
              <w:left w:val="single" w:color="000000" w:sz="2" w:space="0"/>
              <w:bottom w:val="single" w:color="000000" w:sz="2" w:space="0"/>
              <w:right w:val="single" w:color="000000" w:sz="2" w:space="0"/>
            </w:tcBorders>
          </w:tcPr>
          <w:p w14:paraId="61B9C4E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注册地址</w:t>
            </w:r>
          </w:p>
        </w:tc>
        <w:tc>
          <w:tcPr>
            <w:tcW w:w="4204" w:type="dxa"/>
            <w:gridSpan w:val="4"/>
            <w:tcBorders>
              <w:top w:val="single" w:color="000000" w:sz="2" w:space="0"/>
              <w:left w:val="single" w:color="000000" w:sz="2" w:space="0"/>
              <w:bottom w:val="single" w:color="000000" w:sz="2" w:space="0"/>
              <w:right w:val="single" w:color="000000" w:sz="2" w:space="0"/>
            </w:tcBorders>
          </w:tcPr>
          <w:p w14:paraId="65C08EB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07" w:type="dxa"/>
            <w:tcBorders>
              <w:top w:val="single" w:color="000000" w:sz="2" w:space="0"/>
              <w:left w:val="single" w:color="000000" w:sz="2" w:space="0"/>
              <w:bottom w:val="single" w:color="000000" w:sz="2" w:space="0"/>
              <w:right w:val="single" w:color="000000" w:sz="2" w:space="0"/>
            </w:tcBorders>
          </w:tcPr>
          <w:p w14:paraId="0DBF7DC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邮政编码</w:t>
            </w:r>
          </w:p>
        </w:tc>
        <w:tc>
          <w:tcPr>
            <w:tcW w:w="2374" w:type="dxa"/>
            <w:gridSpan w:val="3"/>
            <w:tcBorders>
              <w:top w:val="single" w:color="000000" w:sz="2" w:space="0"/>
              <w:left w:val="single" w:color="000000" w:sz="2" w:space="0"/>
              <w:bottom w:val="single" w:color="000000" w:sz="2" w:space="0"/>
              <w:right w:val="single" w:color="000000" w:sz="2" w:space="0"/>
            </w:tcBorders>
          </w:tcPr>
          <w:p w14:paraId="7A1F4EE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1C411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1" w:hRule="atLeast"/>
        </w:trPr>
        <w:tc>
          <w:tcPr>
            <w:tcW w:w="2020" w:type="dxa"/>
            <w:vMerge w:val="restart"/>
            <w:tcBorders>
              <w:top w:val="single" w:color="000000" w:sz="2" w:space="0"/>
              <w:left w:val="single" w:color="000000" w:sz="2" w:space="0"/>
              <w:bottom w:val="single" w:color="000000" w:sz="2" w:space="0"/>
              <w:right w:val="single" w:color="000000" w:sz="2" w:space="0"/>
            </w:tcBorders>
          </w:tcPr>
          <w:p w14:paraId="5EE89809">
            <w:pPr>
              <w:spacing w:line="360" w:lineRule="auto"/>
              <w:jc w:val="both"/>
              <w:rPr>
                <w:rFonts w:hint="eastAsia" w:ascii="仿宋" w:hAnsi="仿宋" w:eastAsia="仿宋" w:cs="仿宋"/>
                <w:bCs/>
                <w:color w:val="000000" w:themeColor="text1"/>
                <w:sz w:val="24"/>
                <w:szCs w:val="24"/>
                <w:highlight w:val="none"/>
                <w14:textFill>
                  <w14:solidFill>
                    <w14:schemeClr w14:val="tx1"/>
                  </w14:solidFill>
                </w14:textFill>
              </w:rPr>
            </w:pPr>
          </w:p>
          <w:p w14:paraId="5733704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联系方式</w:t>
            </w:r>
          </w:p>
        </w:tc>
        <w:tc>
          <w:tcPr>
            <w:tcW w:w="1095" w:type="dxa"/>
            <w:tcBorders>
              <w:top w:val="single" w:color="000000" w:sz="2" w:space="0"/>
              <w:left w:val="single" w:color="000000" w:sz="2" w:space="0"/>
              <w:bottom w:val="single" w:color="000000" w:sz="2" w:space="0"/>
              <w:right w:val="single" w:color="000000" w:sz="2" w:space="0"/>
            </w:tcBorders>
          </w:tcPr>
          <w:p w14:paraId="69720C5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联系人</w:t>
            </w:r>
          </w:p>
        </w:tc>
        <w:tc>
          <w:tcPr>
            <w:tcW w:w="3109" w:type="dxa"/>
            <w:gridSpan w:val="3"/>
            <w:tcBorders>
              <w:top w:val="single" w:color="000000" w:sz="2" w:space="0"/>
              <w:left w:val="single" w:color="000000" w:sz="2" w:space="0"/>
              <w:bottom w:val="single" w:color="000000" w:sz="2" w:space="0"/>
              <w:right w:val="single" w:color="000000" w:sz="2" w:space="0"/>
            </w:tcBorders>
          </w:tcPr>
          <w:p w14:paraId="338FADF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07" w:type="dxa"/>
            <w:tcBorders>
              <w:top w:val="single" w:color="000000" w:sz="2" w:space="0"/>
              <w:left w:val="single" w:color="000000" w:sz="2" w:space="0"/>
              <w:bottom w:val="single" w:color="000000" w:sz="2" w:space="0"/>
              <w:right w:val="single" w:color="000000" w:sz="2" w:space="0"/>
            </w:tcBorders>
          </w:tcPr>
          <w:p w14:paraId="20E6616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电话</w:t>
            </w:r>
          </w:p>
        </w:tc>
        <w:tc>
          <w:tcPr>
            <w:tcW w:w="2374" w:type="dxa"/>
            <w:gridSpan w:val="3"/>
            <w:tcBorders>
              <w:top w:val="single" w:color="000000" w:sz="2" w:space="0"/>
              <w:left w:val="single" w:color="000000" w:sz="2" w:space="0"/>
              <w:bottom w:val="single" w:color="000000" w:sz="2" w:space="0"/>
              <w:right w:val="single" w:color="000000" w:sz="2" w:space="0"/>
            </w:tcBorders>
          </w:tcPr>
          <w:p w14:paraId="088908A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279EE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88" w:hRule="atLeast"/>
        </w:trPr>
        <w:tc>
          <w:tcPr>
            <w:tcW w:w="2020" w:type="dxa"/>
            <w:vMerge w:val="continue"/>
            <w:tcBorders>
              <w:top w:val="single" w:color="000000" w:sz="2" w:space="0"/>
              <w:left w:val="single" w:color="000000" w:sz="2" w:space="0"/>
              <w:bottom w:val="single" w:color="000000" w:sz="2" w:space="0"/>
              <w:right w:val="single" w:color="000000" w:sz="2" w:space="0"/>
            </w:tcBorders>
            <w:vAlign w:val="center"/>
          </w:tcPr>
          <w:p w14:paraId="5C65CCD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095" w:type="dxa"/>
            <w:tcBorders>
              <w:top w:val="single" w:color="000000" w:sz="2" w:space="0"/>
              <w:left w:val="single" w:color="000000" w:sz="2" w:space="0"/>
              <w:bottom w:val="single" w:color="000000" w:sz="2" w:space="0"/>
              <w:right w:val="single" w:color="000000" w:sz="2" w:space="0"/>
            </w:tcBorders>
          </w:tcPr>
          <w:p w14:paraId="5E5D1A1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传真</w:t>
            </w:r>
          </w:p>
        </w:tc>
        <w:tc>
          <w:tcPr>
            <w:tcW w:w="3109" w:type="dxa"/>
            <w:gridSpan w:val="3"/>
            <w:tcBorders>
              <w:top w:val="single" w:color="000000" w:sz="2" w:space="0"/>
              <w:left w:val="single" w:color="000000" w:sz="2" w:space="0"/>
              <w:bottom w:val="single" w:color="000000" w:sz="2" w:space="0"/>
              <w:right w:val="single" w:color="000000" w:sz="2" w:space="0"/>
            </w:tcBorders>
          </w:tcPr>
          <w:p w14:paraId="389DC6C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107" w:type="dxa"/>
            <w:tcBorders>
              <w:top w:val="single" w:color="000000" w:sz="2" w:space="0"/>
              <w:left w:val="single" w:color="000000" w:sz="2" w:space="0"/>
              <w:bottom w:val="single" w:color="000000" w:sz="2" w:space="0"/>
              <w:right w:val="single" w:color="000000" w:sz="2" w:space="0"/>
            </w:tcBorders>
          </w:tcPr>
          <w:p w14:paraId="6E52CE6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网址</w:t>
            </w:r>
          </w:p>
        </w:tc>
        <w:tc>
          <w:tcPr>
            <w:tcW w:w="2374" w:type="dxa"/>
            <w:gridSpan w:val="3"/>
            <w:tcBorders>
              <w:top w:val="single" w:color="000000" w:sz="2" w:space="0"/>
              <w:left w:val="single" w:color="000000" w:sz="2" w:space="0"/>
              <w:bottom w:val="single" w:color="000000" w:sz="2" w:space="0"/>
              <w:right w:val="single" w:color="000000" w:sz="2" w:space="0"/>
            </w:tcBorders>
          </w:tcPr>
          <w:p w14:paraId="346406D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6E15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39D095A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w:t>
            </w:r>
          </w:p>
        </w:tc>
        <w:tc>
          <w:tcPr>
            <w:tcW w:w="1095" w:type="dxa"/>
            <w:tcBorders>
              <w:top w:val="single" w:color="000000" w:sz="2" w:space="0"/>
              <w:left w:val="single" w:color="000000" w:sz="2" w:space="0"/>
              <w:bottom w:val="single" w:color="000000" w:sz="2" w:space="0"/>
              <w:right w:val="single" w:color="000000" w:sz="2" w:space="0"/>
            </w:tcBorders>
          </w:tcPr>
          <w:p w14:paraId="319A4A3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姓名</w:t>
            </w:r>
          </w:p>
        </w:tc>
        <w:tc>
          <w:tcPr>
            <w:tcW w:w="1834" w:type="dxa"/>
            <w:tcBorders>
              <w:top w:val="single" w:color="000000" w:sz="2" w:space="0"/>
              <w:left w:val="single" w:color="000000" w:sz="2" w:space="0"/>
              <w:bottom w:val="single" w:color="000000" w:sz="2" w:space="0"/>
              <w:right w:val="single" w:color="000000" w:sz="2" w:space="0"/>
            </w:tcBorders>
          </w:tcPr>
          <w:p w14:paraId="1502B20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275" w:type="dxa"/>
            <w:gridSpan w:val="2"/>
            <w:tcBorders>
              <w:top w:val="single" w:color="000000" w:sz="2" w:space="0"/>
              <w:left w:val="single" w:color="000000" w:sz="2" w:space="0"/>
              <w:bottom w:val="single" w:color="000000" w:sz="2" w:space="0"/>
              <w:right w:val="single" w:color="000000" w:sz="2" w:space="0"/>
            </w:tcBorders>
          </w:tcPr>
          <w:p w14:paraId="2E35E1A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技术职称</w:t>
            </w:r>
          </w:p>
        </w:tc>
        <w:tc>
          <w:tcPr>
            <w:tcW w:w="1287" w:type="dxa"/>
            <w:gridSpan w:val="2"/>
            <w:tcBorders>
              <w:top w:val="single" w:color="000000" w:sz="2" w:space="0"/>
              <w:left w:val="single" w:color="000000" w:sz="2" w:space="0"/>
              <w:bottom w:val="single" w:color="000000" w:sz="2" w:space="0"/>
              <w:right w:val="single" w:color="000000" w:sz="2" w:space="0"/>
            </w:tcBorders>
          </w:tcPr>
          <w:p w14:paraId="11F2341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735" w:type="dxa"/>
            <w:tcBorders>
              <w:top w:val="single" w:color="000000" w:sz="2" w:space="0"/>
              <w:left w:val="single" w:color="000000" w:sz="2" w:space="0"/>
              <w:bottom w:val="single" w:color="000000" w:sz="2" w:space="0"/>
              <w:right w:val="single" w:color="000000" w:sz="2" w:space="0"/>
            </w:tcBorders>
          </w:tcPr>
          <w:p w14:paraId="2C6A01E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电话</w:t>
            </w:r>
          </w:p>
        </w:tc>
        <w:tc>
          <w:tcPr>
            <w:tcW w:w="1459" w:type="dxa"/>
            <w:tcBorders>
              <w:top w:val="single" w:color="000000" w:sz="2" w:space="0"/>
              <w:left w:val="single" w:color="000000" w:sz="2" w:space="0"/>
              <w:bottom w:val="single" w:color="000000" w:sz="2" w:space="0"/>
              <w:right w:val="single" w:color="000000" w:sz="2" w:space="0"/>
            </w:tcBorders>
          </w:tcPr>
          <w:p w14:paraId="0DF1B78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399DA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525AB93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技术负责人</w:t>
            </w:r>
          </w:p>
        </w:tc>
        <w:tc>
          <w:tcPr>
            <w:tcW w:w="1095" w:type="dxa"/>
            <w:tcBorders>
              <w:top w:val="single" w:color="000000" w:sz="2" w:space="0"/>
              <w:left w:val="single" w:color="000000" w:sz="2" w:space="0"/>
              <w:bottom w:val="single" w:color="000000" w:sz="2" w:space="0"/>
              <w:right w:val="single" w:color="000000" w:sz="2" w:space="0"/>
            </w:tcBorders>
          </w:tcPr>
          <w:p w14:paraId="2F5B1FE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姓名</w:t>
            </w:r>
          </w:p>
        </w:tc>
        <w:tc>
          <w:tcPr>
            <w:tcW w:w="1834" w:type="dxa"/>
            <w:tcBorders>
              <w:top w:val="single" w:color="000000" w:sz="2" w:space="0"/>
              <w:left w:val="single" w:color="000000" w:sz="2" w:space="0"/>
              <w:bottom w:val="single" w:color="000000" w:sz="2" w:space="0"/>
              <w:right w:val="single" w:color="000000" w:sz="2" w:space="0"/>
            </w:tcBorders>
          </w:tcPr>
          <w:p w14:paraId="43CAA2F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275" w:type="dxa"/>
            <w:gridSpan w:val="2"/>
            <w:tcBorders>
              <w:top w:val="single" w:color="000000" w:sz="2" w:space="0"/>
              <w:left w:val="single" w:color="000000" w:sz="2" w:space="0"/>
              <w:bottom w:val="single" w:color="000000" w:sz="2" w:space="0"/>
              <w:right w:val="single" w:color="000000" w:sz="2" w:space="0"/>
            </w:tcBorders>
          </w:tcPr>
          <w:p w14:paraId="277330B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技术职称</w:t>
            </w:r>
          </w:p>
        </w:tc>
        <w:tc>
          <w:tcPr>
            <w:tcW w:w="1287" w:type="dxa"/>
            <w:gridSpan w:val="2"/>
            <w:tcBorders>
              <w:top w:val="single" w:color="000000" w:sz="2" w:space="0"/>
              <w:left w:val="single" w:color="000000" w:sz="2" w:space="0"/>
              <w:bottom w:val="single" w:color="000000" w:sz="2" w:space="0"/>
              <w:right w:val="single" w:color="000000" w:sz="2" w:space="0"/>
            </w:tcBorders>
          </w:tcPr>
          <w:p w14:paraId="4DE1D15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735" w:type="dxa"/>
            <w:tcBorders>
              <w:top w:val="single" w:color="000000" w:sz="2" w:space="0"/>
              <w:left w:val="single" w:color="000000" w:sz="2" w:space="0"/>
              <w:bottom w:val="single" w:color="000000" w:sz="2" w:space="0"/>
              <w:right w:val="single" w:color="000000" w:sz="2" w:space="0"/>
            </w:tcBorders>
          </w:tcPr>
          <w:p w14:paraId="086B9D5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电话</w:t>
            </w:r>
          </w:p>
        </w:tc>
        <w:tc>
          <w:tcPr>
            <w:tcW w:w="1459" w:type="dxa"/>
            <w:tcBorders>
              <w:top w:val="single" w:color="000000" w:sz="2" w:space="0"/>
              <w:left w:val="single" w:color="000000" w:sz="2" w:space="0"/>
              <w:bottom w:val="single" w:color="000000" w:sz="2" w:space="0"/>
              <w:right w:val="single" w:color="000000" w:sz="2" w:space="0"/>
            </w:tcBorders>
          </w:tcPr>
          <w:p w14:paraId="4C8EA4B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2AD5E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1B962B6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成立时间</w:t>
            </w:r>
          </w:p>
        </w:tc>
        <w:tc>
          <w:tcPr>
            <w:tcW w:w="2929" w:type="dxa"/>
            <w:gridSpan w:val="2"/>
            <w:tcBorders>
              <w:top w:val="single" w:color="000000" w:sz="2" w:space="0"/>
              <w:left w:val="single" w:color="000000" w:sz="2" w:space="0"/>
              <w:bottom w:val="single" w:color="000000" w:sz="2" w:space="0"/>
              <w:right w:val="single" w:color="000000" w:sz="2" w:space="0"/>
            </w:tcBorders>
          </w:tcPr>
          <w:p w14:paraId="7391F5A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4756" w:type="dxa"/>
            <w:gridSpan w:val="6"/>
            <w:tcBorders>
              <w:top w:val="single" w:color="000000" w:sz="2" w:space="0"/>
              <w:left w:val="single" w:color="000000" w:sz="2" w:space="0"/>
              <w:bottom w:val="single" w:color="000000" w:sz="2" w:space="0"/>
              <w:right w:val="single" w:color="000000" w:sz="2" w:space="0"/>
            </w:tcBorders>
          </w:tcPr>
          <w:p w14:paraId="2289551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员工总人数：</w:t>
            </w:r>
          </w:p>
        </w:tc>
      </w:tr>
      <w:tr w14:paraId="102FF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043618B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营业执照号</w:t>
            </w:r>
          </w:p>
        </w:tc>
        <w:tc>
          <w:tcPr>
            <w:tcW w:w="2929" w:type="dxa"/>
            <w:gridSpan w:val="2"/>
            <w:tcBorders>
              <w:top w:val="single" w:color="000000" w:sz="2" w:space="0"/>
              <w:left w:val="single" w:color="000000" w:sz="2" w:space="0"/>
              <w:bottom w:val="single" w:color="000000" w:sz="2" w:space="0"/>
              <w:right w:val="single" w:color="000000" w:sz="2" w:space="0"/>
            </w:tcBorders>
          </w:tcPr>
          <w:p w14:paraId="33DAAAA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728" w:type="dxa"/>
            <w:vMerge w:val="restart"/>
            <w:tcBorders>
              <w:top w:val="single" w:color="000000" w:sz="2" w:space="0"/>
              <w:left w:val="single" w:color="000000" w:sz="2" w:space="0"/>
              <w:bottom w:val="single" w:color="000000" w:sz="2" w:space="0"/>
              <w:right w:val="single" w:color="000000" w:sz="2" w:space="0"/>
            </w:tcBorders>
          </w:tcPr>
          <w:p w14:paraId="5A5EBC3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5111061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4A82E5E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7E04DB3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5FB7F50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其中</w:t>
            </w:r>
          </w:p>
        </w:tc>
        <w:tc>
          <w:tcPr>
            <w:tcW w:w="1834" w:type="dxa"/>
            <w:gridSpan w:val="3"/>
            <w:tcBorders>
              <w:top w:val="single" w:color="000000" w:sz="2" w:space="0"/>
              <w:left w:val="single" w:color="000000" w:sz="2" w:space="0"/>
              <w:bottom w:val="single" w:color="000000" w:sz="2" w:space="0"/>
              <w:right w:val="single" w:color="000000" w:sz="2" w:space="0"/>
            </w:tcBorders>
          </w:tcPr>
          <w:p w14:paraId="5BAE9EC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高级职称人员</w:t>
            </w:r>
          </w:p>
        </w:tc>
        <w:tc>
          <w:tcPr>
            <w:tcW w:w="2194" w:type="dxa"/>
            <w:gridSpan w:val="2"/>
            <w:tcBorders>
              <w:top w:val="single" w:color="000000" w:sz="2" w:space="0"/>
              <w:left w:val="single" w:color="000000" w:sz="2" w:space="0"/>
              <w:bottom w:val="single" w:color="000000" w:sz="2" w:space="0"/>
              <w:right w:val="single" w:color="000000" w:sz="2" w:space="0"/>
            </w:tcBorders>
          </w:tcPr>
          <w:p w14:paraId="135677C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5BFA1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7D18A06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注册资金</w:t>
            </w:r>
          </w:p>
        </w:tc>
        <w:tc>
          <w:tcPr>
            <w:tcW w:w="2929" w:type="dxa"/>
            <w:gridSpan w:val="2"/>
            <w:tcBorders>
              <w:top w:val="single" w:color="000000" w:sz="2" w:space="0"/>
              <w:left w:val="single" w:color="000000" w:sz="2" w:space="0"/>
              <w:bottom w:val="single" w:color="000000" w:sz="2" w:space="0"/>
              <w:right w:val="single" w:color="000000" w:sz="2" w:space="0"/>
            </w:tcBorders>
          </w:tcPr>
          <w:p w14:paraId="09A18B2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728" w:type="dxa"/>
            <w:vMerge w:val="continue"/>
            <w:tcBorders>
              <w:top w:val="single" w:color="000000" w:sz="2" w:space="0"/>
              <w:left w:val="single" w:color="000000" w:sz="2" w:space="0"/>
              <w:bottom w:val="single" w:color="000000" w:sz="2" w:space="0"/>
              <w:right w:val="single" w:color="000000" w:sz="2" w:space="0"/>
            </w:tcBorders>
            <w:vAlign w:val="center"/>
          </w:tcPr>
          <w:p w14:paraId="693D176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34" w:type="dxa"/>
            <w:gridSpan w:val="3"/>
            <w:tcBorders>
              <w:top w:val="single" w:color="000000" w:sz="2" w:space="0"/>
              <w:left w:val="single" w:color="000000" w:sz="2" w:space="0"/>
              <w:bottom w:val="single" w:color="000000" w:sz="2" w:space="0"/>
              <w:right w:val="single" w:color="000000" w:sz="2" w:space="0"/>
            </w:tcBorders>
          </w:tcPr>
          <w:p w14:paraId="138D57D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中级职称人员</w:t>
            </w:r>
          </w:p>
        </w:tc>
        <w:tc>
          <w:tcPr>
            <w:tcW w:w="2194" w:type="dxa"/>
            <w:gridSpan w:val="2"/>
            <w:tcBorders>
              <w:top w:val="single" w:color="000000" w:sz="2" w:space="0"/>
              <w:left w:val="single" w:color="000000" w:sz="2" w:space="0"/>
              <w:bottom w:val="single" w:color="000000" w:sz="2" w:space="0"/>
              <w:right w:val="single" w:color="000000" w:sz="2" w:space="0"/>
            </w:tcBorders>
          </w:tcPr>
          <w:p w14:paraId="06F2932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18D0A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4AE9F76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开户银行</w:t>
            </w:r>
          </w:p>
        </w:tc>
        <w:tc>
          <w:tcPr>
            <w:tcW w:w="2929" w:type="dxa"/>
            <w:gridSpan w:val="2"/>
            <w:tcBorders>
              <w:top w:val="single" w:color="000000" w:sz="2" w:space="0"/>
              <w:left w:val="single" w:color="000000" w:sz="2" w:space="0"/>
              <w:bottom w:val="single" w:color="000000" w:sz="2" w:space="0"/>
              <w:right w:val="single" w:color="000000" w:sz="2" w:space="0"/>
            </w:tcBorders>
          </w:tcPr>
          <w:p w14:paraId="12342AE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728" w:type="dxa"/>
            <w:vMerge w:val="continue"/>
            <w:tcBorders>
              <w:top w:val="single" w:color="000000" w:sz="2" w:space="0"/>
              <w:left w:val="single" w:color="000000" w:sz="2" w:space="0"/>
              <w:bottom w:val="single" w:color="000000" w:sz="2" w:space="0"/>
              <w:right w:val="single" w:color="000000" w:sz="2" w:space="0"/>
            </w:tcBorders>
            <w:vAlign w:val="center"/>
          </w:tcPr>
          <w:p w14:paraId="5BEE016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34" w:type="dxa"/>
            <w:gridSpan w:val="3"/>
            <w:tcBorders>
              <w:top w:val="single" w:color="000000" w:sz="2" w:space="0"/>
              <w:left w:val="single" w:color="000000" w:sz="2" w:space="0"/>
              <w:bottom w:val="single" w:color="000000" w:sz="2" w:space="0"/>
              <w:right w:val="single" w:color="000000" w:sz="2" w:space="0"/>
            </w:tcBorders>
          </w:tcPr>
          <w:p w14:paraId="6CBCF55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初级职称人员</w:t>
            </w:r>
          </w:p>
        </w:tc>
        <w:tc>
          <w:tcPr>
            <w:tcW w:w="2194" w:type="dxa"/>
            <w:gridSpan w:val="2"/>
            <w:tcBorders>
              <w:top w:val="single" w:color="000000" w:sz="2" w:space="0"/>
              <w:left w:val="single" w:color="000000" w:sz="2" w:space="0"/>
              <w:bottom w:val="single" w:color="000000" w:sz="2" w:space="0"/>
              <w:right w:val="single" w:color="000000" w:sz="2" w:space="0"/>
            </w:tcBorders>
          </w:tcPr>
          <w:p w14:paraId="12867CF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11EED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2" w:hRule="atLeast"/>
        </w:trPr>
        <w:tc>
          <w:tcPr>
            <w:tcW w:w="2020" w:type="dxa"/>
            <w:tcBorders>
              <w:top w:val="single" w:color="000000" w:sz="2" w:space="0"/>
              <w:left w:val="single" w:color="000000" w:sz="2" w:space="0"/>
              <w:bottom w:val="single" w:color="000000" w:sz="2" w:space="0"/>
              <w:right w:val="single" w:color="000000" w:sz="2" w:space="0"/>
            </w:tcBorders>
          </w:tcPr>
          <w:p w14:paraId="09AF29E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账号</w:t>
            </w:r>
          </w:p>
        </w:tc>
        <w:tc>
          <w:tcPr>
            <w:tcW w:w="2929" w:type="dxa"/>
            <w:gridSpan w:val="2"/>
            <w:tcBorders>
              <w:top w:val="single" w:color="000000" w:sz="2" w:space="0"/>
              <w:left w:val="single" w:color="000000" w:sz="2" w:space="0"/>
              <w:bottom w:val="single" w:color="000000" w:sz="2" w:space="0"/>
              <w:right w:val="single" w:color="000000" w:sz="2" w:space="0"/>
            </w:tcBorders>
          </w:tcPr>
          <w:p w14:paraId="407ADF4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728" w:type="dxa"/>
            <w:vMerge w:val="continue"/>
            <w:tcBorders>
              <w:top w:val="single" w:color="000000" w:sz="2" w:space="0"/>
              <w:left w:val="single" w:color="000000" w:sz="2" w:space="0"/>
              <w:bottom w:val="single" w:color="000000" w:sz="2" w:space="0"/>
              <w:right w:val="single" w:color="000000" w:sz="2" w:space="0"/>
            </w:tcBorders>
            <w:vAlign w:val="center"/>
          </w:tcPr>
          <w:p w14:paraId="1DF3147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34" w:type="dxa"/>
            <w:gridSpan w:val="3"/>
            <w:tcBorders>
              <w:top w:val="single" w:color="000000" w:sz="2" w:space="0"/>
              <w:left w:val="single" w:color="000000" w:sz="2" w:space="0"/>
              <w:bottom w:val="single" w:color="000000" w:sz="2" w:space="0"/>
              <w:right w:val="single" w:color="000000" w:sz="2" w:space="0"/>
            </w:tcBorders>
          </w:tcPr>
          <w:p w14:paraId="2D7DC68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技工</w:t>
            </w:r>
          </w:p>
        </w:tc>
        <w:tc>
          <w:tcPr>
            <w:tcW w:w="2194" w:type="dxa"/>
            <w:gridSpan w:val="2"/>
            <w:tcBorders>
              <w:top w:val="single" w:color="000000" w:sz="2" w:space="0"/>
              <w:left w:val="single" w:color="000000" w:sz="2" w:space="0"/>
              <w:bottom w:val="single" w:color="000000" w:sz="2" w:space="0"/>
              <w:right w:val="single" w:color="000000" w:sz="2" w:space="0"/>
            </w:tcBorders>
          </w:tcPr>
          <w:p w14:paraId="48B1F7F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75C14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78" w:hRule="atLeast"/>
        </w:trPr>
        <w:tc>
          <w:tcPr>
            <w:tcW w:w="2020" w:type="dxa"/>
            <w:tcBorders>
              <w:top w:val="single" w:color="000000" w:sz="2" w:space="0"/>
              <w:left w:val="single" w:color="000000" w:sz="2" w:space="0"/>
              <w:bottom w:val="single" w:color="000000" w:sz="2" w:space="0"/>
              <w:right w:val="single" w:color="000000" w:sz="2" w:space="0"/>
            </w:tcBorders>
          </w:tcPr>
          <w:p w14:paraId="3000E4A7">
            <w:pPr>
              <w:spacing w:line="360" w:lineRule="auto"/>
              <w:jc w:val="both"/>
              <w:rPr>
                <w:rFonts w:hint="eastAsia" w:ascii="仿宋" w:hAnsi="仿宋" w:eastAsia="仿宋" w:cs="仿宋"/>
                <w:bCs/>
                <w:color w:val="000000" w:themeColor="text1"/>
                <w:sz w:val="24"/>
                <w:szCs w:val="24"/>
                <w:highlight w:val="none"/>
                <w14:textFill>
                  <w14:solidFill>
                    <w14:schemeClr w14:val="tx1"/>
                  </w14:solidFill>
                </w14:textFill>
              </w:rPr>
            </w:pPr>
          </w:p>
          <w:p w14:paraId="33DC86C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经营范围</w:t>
            </w:r>
          </w:p>
        </w:tc>
        <w:tc>
          <w:tcPr>
            <w:tcW w:w="7685" w:type="dxa"/>
            <w:gridSpan w:val="8"/>
            <w:tcBorders>
              <w:top w:val="single" w:color="000000" w:sz="2" w:space="0"/>
              <w:left w:val="single" w:color="000000" w:sz="2" w:space="0"/>
              <w:bottom w:val="single" w:color="000000" w:sz="2" w:space="0"/>
              <w:right w:val="single" w:color="000000" w:sz="2" w:space="0"/>
            </w:tcBorders>
          </w:tcPr>
          <w:p w14:paraId="74A1237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bl>
    <w:p w14:paraId="24432196">
      <w:pPr>
        <w:spacing w:line="360" w:lineRule="auto"/>
        <w:jc w:val="both"/>
        <w:rPr>
          <w:rFonts w:hint="eastAsia" w:ascii="仿宋" w:hAnsi="仿宋" w:eastAsia="仿宋" w:cs="仿宋"/>
          <w:bCs/>
          <w:color w:val="000000" w:themeColor="text1"/>
          <w:sz w:val="24"/>
          <w:szCs w:val="24"/>
          <w:highlight w:val="none"/>
          <w14:textFill>
            <w14:solidFill>
              <w14:schemeClr w14:val="tx1"/>
            </w14:solidFill>
          </w14:textFill>
        </w:rPr>
      </w:pPr>
    </w:p>
    <w:p w14:paraId="4B34B100">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投标人(盖章)：</w:t>
      </w:r>
    </w:p>
    <w:p w14:paraId="3EDCC14D">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法定代表人(（签字或盖章）：</w:t>
      </w:r>
    </w:p>
    <w:p w14:paraId="2ECEA472">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  年  月  日</w:t>
      </w:r>
    </w:p>
    <w:p w14:paraId="38FD7D4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sectPr>
          <w:pgSz w:w="11906" w:h="16839"/>
          <w:pgMar w:top="1431" w:right="1101" w:bottom="1102" w:left="1048" w:header="0" w:footer="936" w:gutter="0"/>
          <w:pgNumType w:fmt="decimal"/>
          <w:cols w:space="720" w:num="1"/>
        </w:sectPr>
      </w:pPr>
    </w:p>
    <w:p w14:paraId="4843D8C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（二）近年完成的类似项目情况表</w:t>
      </w:r>
    </w:p>
    <w:p w14:paraId="5AD1AEC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bl>
      <w:tblPr>
        <w:tblStyle w:val="24"/>
        <w:tblW w:w="9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5"/>
        <w:gridCol w:w="1843"/>
        <w:gridCol w:w="1559"/>
        <w:gridCol w:w="1701"/>
        <w:gridCol w:w="1560"/>
        <w:gridCol w:w="1701"/>
        <w:gridCol w:w="691"/>
      </w:tblGrid>
      <w:tr w14:paraId="6067F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trPr>
        <w:tc>
          <w:tcPr>
            <w:tcW w:w="665" w:type="dxa"/>
            <w:tcBorders>
              <w:top w:val="single" w:color="000000" w:sz="2" w:space="0"/>
              <w:left w:val="single" w:color="000000" w:sz="2" w:space="0"/>
              <w:bottom w:val="single" w:color="000000" w:sz="2" w:space="0"/>
              <w:right w:val="single" w:color="000000" w:sz="2" w:space="0"/>
            </w:tcBorders>
          </w:tcPr>
          <w:p w14:paraId="18DA6A1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序号</w:t>
            </w:r>
          </w:p>
        </w:tc>
        <w:tc>
          <w:tcPr>
            <w:tcW w:w="1843" w:type="dxa"/>
            <w:tcBorders>
              <w:top w:val="single" w:color="000000" w:sz="2" w:space="0"/>
              <w:left w:val="single" w:color="000000" w:sz="2" w:space="0"/>
              <w:bottom w:val="single" w:color="000000" w:sz="2" w:space="0"/>
              <w:right w:val="single" w:color="000000" w:sz="2" w:space="0"/>
            </w:tcBorders>
          </w:tcPr>
          <w:p w14:paraId="1AB77EB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项目名称</w:t>
            </w:r>
          </w:p>
        </w:tc>
        <w:tc>
          <w:tcPr>
            <w:tcW w:w="1559" w:type="dxa"/>
            <w:tcBorders>
              <w:top w:val="single" w:color="000000" w:sz="2" w:space="0"/>
              <w:left w:val="single" w:color="000000" w:sz="2" w:space="0"/>
              <w:bottom w:val="single" w:color="000000" w:sz="2" w:space="0"/>
              <w:right w:val="single" w:color="000000" w:sz="2" w:space="0"/>
            </w:tcBorders>
          </w:tcPr>
          <w:p w14:paraId="358CC30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发包人名称</w:t>
            </w:r>
          </w:p>
        </w:tc>
        <w:tc>
          <w:tcPr>
            <w:tcW w:w="1701" w:type="dxa"/>
            <w:tcBorders>
              <w:top w:val="single" w:color="000000" w:sz="2" w:space="0"/>
              <w:left w:val="single" w:color="000000" w:sz="2" w:space="0"/>
              <w:bottom w:val="single" w:color="000000" w:sz="2" w:space="0"/>
              <w:right w:val="single" w:color="000000" w:sz="2" w:space="0"/>
            </w:tcBorders>
          </w:tcPr>
          <w:p w14:paraId="774768F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合同金额</w:t>
            </w:r>
          </w:p>
        </w:tc>
        <w:tc>
          <w:tcPr>
            <w:tcW w:w="1560" w:type="dxa"/>
            <w:tcBorders>
              <w:top w:val="single" w:color="000000" w:sz="2" w:space="0"/>
              <w:left w:val="single" w:color="000000" w:sz="2" w:space="0"/>
              <w:bottom w:val="single" w:color="000000" w:sz="2" w:space="0"/>
              <w:right w:val="single" w:color="000000" w:sz="2" w:space="0"/>
            </w:tcBorders>
          </w:tcPr>
          <w:p w14:paraId="3732EC5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合同日期</w:t>
            </w:r>
          </w:p>
        </w:tc>
        <w:tc>
          <w:tcPr>
            <w:tcW w:w="1701" w:type="dxa"/>
            <w:tcBorders>
              <w:top w:val="single" w:color="000000" w:sz="2" w:space="0"/>
              <w:left w:val="single" w:color="000000" w:sz="2" w:space="0"/>
              <w:bottom w:val="single" w:color="000000" w:sz="2" w:space="0"/>
              <w:right w:val="single" w:color="000000" w:sz="2" w:space="0"/>
            </w:tcBorders>
          </w:tcPr>
          <w:p w14:paraId="5F37282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完成项目质量</w:t>
            </w:r>
          </w:p>
        </w:tc>
        <w:tc>
          <w:tcPr>
            <w:tcW w:w="691" w:type="dxa"/>
            <w:tcBorders>
              <w:top w:val="single" w:color="000000" w:sz="2" w:space="0"/>
              <w:left w:val="single" w:color="000000" w:sz="2" w:space="0"/>
              <w:bottom w:val="single" w:color="000000" w:sz="2" w:space="0"/>
              <w:right w:val="single" w:color="000000" w:sz="2" w:space="0"/>
            </w:tcBorders>
          </w:tcPr>
          <w:p w14:paraId="56AE61B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备注</w:t>
            </w:r>
          </w:p>
        </w:tc>
      </w:tr>
      <w:tr w14:paraId="20FF7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4" w:hRule="atLeast"/>
        </w:trPr>
        <w:tc>
          <w:tcPr>
            <w:tcW w:w="665" w:type="dxa"/>
            <w:tcBorders>
              <w:top w:val="single" w:color="000000" w:sz="2" w:space="0"/>
              <w:left w:val="single" w:color="000000" w:sz="2" w:space="0"/>
              <w:bottom w:val="single" w:color="000000" w:sz="2" w:space="0"/>
              <w:right w:val="single" w:color="000000" w:sz="2" w:space="0"/>
            </w:tcBorders>
          </w:tcPr>
          <w:p w14:paraId="2710542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4D2B899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3822250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7835ED9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0FFD709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2ECBC3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12EF2DA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099DB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4" w:hRule="atLeast"/>
        </w:trPr>
        <w:tc>
          <w:tcPr>
            <w:tcW w:w="665" w:type="dxa"/>
            <w:tcBorders>
              <w:top w:val="single" w:color="000000" w:sz="2" w:space="0"/>
              <w:left w:val="single" w:color="000000" w:sz="2" w:space="0"/>
              <w:bottom w:val="single" w:color="000000" w:sz="2" w:space="0"/>
              <w:right w:val="single" w:color="000000" w:sz="2" w:space="0"/>
            </w:tcBorders>
          </w:tcPr>
          <w:p w14:paraId="1CCCEFC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162BC7B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4E8F640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31BCBB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15EE0CB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6372673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3B8D2C3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0DB15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4" w:hRule="atLeast"/>
        </w:trPr>
        <w:tc>
          <w:tcPr>
            <w:tcW w:w="665" w:type="dxa"/>
            <w:tcBorders>
              <w:top w:val="single" w:color="000000" w:sz="2" w:space="0"/>
              <w:left w:val="single" w:color="000000" w:sz="2" w:space="0"/>
              <w:bottom w:val="single" w:color="000000" w:sz="2" w:space="0"/>
              <w:right w:val="single" w:color="000000" w:sz="2" w:space="0"/>
            </w:tcBorders>
          </w:tcPr>
          <w:p w14:paraId="51C0AEB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5AFCB0D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640564D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7C80D5C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6A03028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B8E646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5516901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58ED2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4" w:hRule="atLeast"/>
        </w:trPr>
        <w:tc>
          <w:tcPr>
            <w:tcW w:w="665" w:type="dxa"/>
            <w:tcBorders>
              <w:top w:val="single" w:color="000000" w:sz="2" w:space="0"/>
              <w:left w:val="single" w:color="000000" w:sz="2" w:space="0"/>
              <w:bottom w:val="single" w:color="000000" w:sz="2" w:space="0"/>
              <w:right w:val="single" w:color="000000" w:sz="2" w:space="0"/>
            </w:tcBorders>
          </w:tcPr>
          <w:p w14:paraId="47CE702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63157AA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36F997F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7195E39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2CEC788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0841C65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0F0DE0B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3F6A7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665" w:type="dxa"/>
            <w:tcBorders>
              <w:top w:val="single" w:color="000000" w:sz="2" w:space="0"/>
              <w:left w:val="single" w:color="000000" w:sz="2" w:space="0"/>
              <w:bottom w:val="single" w:color="000000" w:sz="2" w:space="0"/>
              <w:right w:val="single" w:color="000000" w:sz="2" w:space="0"/>
            </w:tcBorders>
          </w:tcPr>
          <w:p w14:paraId="3C61846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0038C25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6E8E8E2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00DD3CE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291E9E4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0812166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5DFF697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61BD2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665" w:type="dxa"/>
            <w:tcBorders>
              <w:top w:val="single" w:color="000000" w:sz="2" w:space="0"/>
              <w:left w:val="single" w:color="000000" w:sz="2" w:space="0"/>
              <w:bottom w:val="single" w:color="000000" w:sz="2" w:space="0"/>
              <w:right w:val="single" w:color="000000" w:sz="2" w:space="0"/>
            </w:tcBorders>
          </w:tcPr>
          <w:p w14:paraId="5A35D3F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2DF69E1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1CACB31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FBA08E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64C92F2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51E3806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6596233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4C7E9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665" w:type="dxa"/>
            <w:tcBorders>
              <w:top w:val="single" w:color="000000" w:sz="2" w:space="0"/>
              <w:left w:val="single" w:color="000000" w:sz="2" w:space="0"/>
              <w:bottom w:val="single" w:color="000000" w:sz="2" w:space="0"/>
              <w:right w:val="single" w:color="000000" w:sz="2" w:space="0"/>
            </w:tcBorders>
          </w:tcPr>
          <w:p w14:paraId="4EFB44B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679E977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1AB10A2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25E4DC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004D2DF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7C1AB19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56BC36A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4AF3B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665" w:type="dxa"/>
            <w:tcBorders>
              <w:top w:val="single" w:color="000000" w:sz="2" w:space="0"/>
              <w:left w:val="single" w:color="000000" w:sz="2" w:space="0"/>
              <w:bottom w:val="single" w:color="000000" w:sz="2" w:space="0"/>
              <w:right w:val="single" w:color="000000" w:sz="2" w:space="0"/>
            </w:tcBorders>
          </w:tcPr>
          <w:p w14:paraId="7A43D38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3778084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7BCD816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029D3A7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24CD066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8CE5F3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624BCDA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60F2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665" w:type="dxa"/>
            <w:tcBorders>
              <w:top w:val="single" w:color="000000" w:sz="2" w:space="0"/>
              <w:left w:val="single" w:color="000000" w:sz="2" w:space="0"/>
              <w:bottom w:val="single" w:color="000000" w:sz="2" w:space="0"/>
              <w:right w:val="single" w:color="000000" w:sz="2" w:space="0"/>
            </w:tcBorders>
          </w:tcPr>
          <w:p w14:paraId="1AF750C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00DBD2A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43AF887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7E776BD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0282169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012201C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21F4CA6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5EA9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5" w:hRule="atLeast"/>
        </w:trPr>
        <w:tc>
          <w:tcPr>
            <w:tcW w:w="665" w:type="dxa"/>
            <w:tcBorders>
              <w:top w:val="single" w:color="000000" w:sz="2" w:space="0"/>
              <w:left w:val="single" w:color="000000" w:sz="2" w:space="0"/>
              <w:bottom w:val="single" w:color="000000" w:sz="2" w:space="0"/>
              <w:right w:val="single" w:color="000000" w:sz="2" w:space="0"/>
            </w:tcBorders>
          </w:tcPr>
          <w:p w14:paraId="363BCC1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52A278F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3454972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3BAF72D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021D5F9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266FD68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78C0473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122EC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trPr>
        <w:tc>
          <w:tcPr>
            <w:tcW w:w="665" w:type="dxa"/>
            <w:tcBorders>
              <w:top w:val="single" w:color="000000" w:sz="2" w:space="0"/>
              <w:left w:val="single" w:color="000000" w:sz="2" w:space="0"/>
              <w:bottom w:val="single" w:color="000000" w:sz="2" w:space="0"/>
              <w:right w:val="single" w:color="000000" w:sz="2" w:space="0"/>
            </w:tcBorders>
          </w:tcPr>
          <w:p w14:paraId="20A6C51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843" w:type="dxa"/>
            <w:tcBorders>
              <w:top w:val="single" w:color="000000" w:sz="2" w:space="0"/>
              <w:left w:val="single" w:color="000000" w:sz="2" w:space="0"/>
              <w:bottom w:val="single" w:color="000000" w:sz="2" w:space="0"/>
              <w:right w:val="single" w:color="000000" w:sz="2" w:space="0"/>
            </w:tcBorders>
          </w:tcPr>
          <w:p w14:paraId="56788C0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59" w:type="dxa"/>
            <w:tcBorders>
              <w:top w:val="single" w:color="000000" w:sz="2" w:space="0"/>
              <w:left w:val="single" w:color="000000" w:sz="2" w:space="0"/>
              <w:bottom w:val="single" w:color="000000" w:sz="2" w:space="0"/>
              <w:right w:val="single" w:color="000000" w:sz="2" w:space="0"/>
            </w:tcBorders>
          </w:tcPr>
          <w:p w14:paraId="7F17E26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4690B24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560" w:type="dxa"/>
            <w:tcBorders>
              <w:top w:val="single" w:color="000000" w:sz="2" w:space="0"/>
              <w:left w:val="single" w:color="000000" w:sz="2" w:space="0"/>
              <w:bottom w:val="single" w:color="000000" w:sz="2" w:space="0"/>
              <w:right w:val="single" w:color="000000" w:sz="2" w:space="0"/>
            </w:tcBorders>
          </w:tcPr>
          <w:p w14:paraId="55985F1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1701" w:type="dxa"/>
            <w:tcBorders>
              <w:top w:val="single" w:color="000000" w:sz="2" w:space="0"/>
              <w:left w:val="single" w:color="000000" w:sz="2" w:space="0"/>
              <w:bottom w:val="single" w:color="000000" w:sz="2" w:space="0"/>
              <w:right w:val="single" w:color="000000" w:sz="2" w:space="0"/>
            </w:tcBorders>
          </w:tcPr>
          <w:p w14:paraId="1D31F58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91" w:type="dxa"/>
            <w:tcBorders>
              <w:top w:val="single" w:color="000000" w:sz="2" w:space="0"/>
              <w:left w:val="single" w:color="000000" w:sz="2" w:space="0"/>
              <w:bottom w:val="single" w:color="000000" w:sz="2" w:space="0"/>
              <w:right w:val="single" w:color="000000" w:sz="2" w:space="0"/>
            </w:tcBorders>
          </w:tcPr>
          <w:p w14:paraId="430C0AA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bl>
    <w:p w14:paraId="0B8A601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4C834E3B">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备注：后附合同协议书及中标通知书扫描件。</w:t>
      </w:r>
    </w:p>
    <w:p w14:paraId="3401A2C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5822339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47C1A8A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04C5655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030C7DE5">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投标人(盖章)：</w:t>
      </w:r>
    </w:p>
    <w:p w14:paraId="78B5E87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18A258DE">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法定代表人(（签字或盖章）：</w:t>
      </w:r>
    </w:p>
    <w:p w14:paraId="68A0DB5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974FC12">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日期：  年  月  日</w:t>
      </w:r>
    </w:p>
    <w:p w14:paraId="658DA317">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sectPr>
          <w:pgSz w:w="11906" w:h="16839"/>
          <w:pgMar w:top="1431" w:right="1092" w:bottom="1102" w:left="1092" w:header="0" w:footer="936" w:gutter="0"/>
          <w:pgNumType w:fmt="decimal"/>
          <w:cols w:space="720" w:num="1"/>
        </w:sectPr>
      </w:pPr>
    </w:p>
    <w:p w14:paraId="410EC8AD">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14:paraId="4E45849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七、供应商承诺书</w:t>
      </w:r>
    </w:p>
    <w:p w14:paraId="5235D10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436D2136">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致：</w:t>
      </w:r>
      <w:r>
        <w:rPr>
          <w:rFonts w:hint="eastAsia" w:ascii="仿宋" w:hAnsi="仿宋" w:eastAsia="仿宋" w:cs="仿宋"/>
          <w:bCs/>
          <w:color w:val="000000" w:themeColor="text1"/>
          <w:sz w:val="24"/>
          <w:szCs w:val="24"/>
          <w:highlight w:val="none"/>
          <w:u w:val="single"/>
          <w14:textFill>
            <w14:solidFill>
              <w14:schemeClr w14:val="tx1"/>
            </w14:solidFill>
          </w14:textFill>
        </w:rPr>
        <w:t>（采购人名称/代理机构名称）：</w:t>
      </w:r>
    </w:p>
    <w:p w14:paraId="30DDB71F">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我方承诺，我方满足 《中华人民共和国政府采购法》第二十二条的所有规定。</w:t>
      </w:r>
    </w:p>
    <w:p w14:paraId="503C5F4A">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(一)具有独立承担民事责任的能力；</w:t>
      </w:r>
    </w:p>
    <w:p w14:paraId="0FB5598C">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(二)具有良好的商业信誉和健全的财务会计制度；</w:t>
      </w:r>
    </w:p>
    <w:p w14:paraId="650BE998">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(三)具有履行合同所必需的设备和专业技术能力；</w:t>
      </w:r>
    </w:p>
    <w:p w14:paraId="32F96316">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(四)有依法缴纳税收和社会保障资金的良好记录；</w:t>
      </w:r>
    </w:p>
    <w:p w14:paraId="622C3B26">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(五)参加政府采购活动前三年内，在经营活动中没有重大违法记录；</w:t>
      </w:r>
    </w:p>
    <w:p w14:paraId="2C617C91">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(六)法律、行政法规规定的其他条件。</w:t>
      </w:r>
    </w:p>
    <w:p w14:paraId="0224BD03">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我方保证上述信息的真实和准确，并愿意承担因我方就此弄虚作假所引起的一切法律后果。</w:t>
      </w:r>
    </w:p>
    <w:p w14:paraId="197A7054">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特此承诺。</w:t>
      </w:r>
    </w:p>
    <w:p w14:paraId="0CFC94A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2910643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728121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FCC826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3DDAE8E">
      <w:pPr>
        <w:spacing w:line="360" w:lineRule="auto"/>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供应商(盖章)：</w:t>
      </w:r>
    </w:p>
    <w:p w14:paraId="3A5AC14E">
      <w:pPr>
        <w:spacing w:line="360" w:lineRule="auto"/>
        <w:rPr>
          <w:rFonts w:hint="eastAsia" w:ascii="仿宋" w:hAnsi="仿宋" w:eastAsia="仿宋" w:cs="仿宋"/>
          <w:bCs/>
          <w:color w:val="000000" w:themeColor="text1"/>
          <w:sz w:val="24"/>
          <w:szCs w:val="24"/>
          <w:highlight w:val="none"/>
          <w:u w:val="singl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法定代表人 (电子签章)：</w:t>
      </w:r>
    </w:p>
    <w:p w14:paraId="6C6E1413">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日期：   </w:t>
      </w:r>
    </w:p>
    <w:p w14:paraId="261711F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sectPr>
          <w:pgSz w:w="11906" w:h="16838"/>
          <w:pgMar w:top="1361" w:right="1361" w:bottom="1361" w:left="1361" w:header="720" w:footer="720" w:gutter="0"/>
          <w:pgNumType w:fmt="decimal"/>
          <w:cols w:space="720" w:num="1"/>
          <w:docGrid w:type="lines" w:linePitch="319" w:charSpace="0"/>
        </w:sectPr>
      </w:pPr>
    </w:p>
    <w:bookmarkEnd w:id="35"/>
    <w:p w14:paraId="025BA26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八、磋商承诺函</w:t>
      </w:r>
    </w:p>
    <w:p w14:paraId="6B6F59B2">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致：</w:t>
      </w:r>
      <w:r>
        <w:rPr>
          <w:rFonts w:hint="eastAsia" w:ascii="仿宋" w:hAnsi="仿宋" w:eastAsia="仿宋" w:cs="仿宋"/>
          <w:bCs/>
          <w:color w:val="000000" w:themeColor="text1"/>
          <w:sz w:val="24"/>
          <w:szCs w:val="24"/>
          <w:highlight w:val="none"/>
          <w:u w:val="single"/>
          <w14:textFill>
            <w14:solidFill>
              <w14:schemeClr w14:val="tx1"/>
            </w14:solidFill>
          </w14:textFill>
        </w:rPr>
        <w:t>（采购人名称/代理机构名称）</w:t>
      </w:r>
      <w:r>
        <w:rPr>
          <w:rFonts w:hint="eastAsia" w:ascii="仿宋" w:hAnsi="仿宋" w:eastAsia="仿宋" w:cs="仿宋"/>
          <w:bCs/>
          <w:color w:val="000000" w:themeColor="text1"/>
          <w:sz w:val="24"/>
          <w:szCs w:val="24"/>
          <w:highlight w:val="none"/>
          <w14:textFill>
            <w14:solidFill>
              <w14:schemeClr w14:val="tx1"/>
            </w14:solidFill>
          </w14:textFill>
        </w:rPr>
        <w:t xml:space="preserve">：                               </w:t>
      </w:r>
    </w:p>
    <w:p w14:paraId="7316F182">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如我单位出现以下情况，并造成采购人经济损失，我单位向采购人缴纳经济补偿，自觉承担违约责任。</w:t>
      </w:r>
    </w:p>
    <w:p w14:paraId="076728ED">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一、在中标通知书规定时间内未签订合同;</w:t>
      </w:r>
    </w:p>
    <w:p w14:paraId="695AA9A0">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二、在投标（响应）文件提供虚假材料的；</w:t>
      </w:r>
    </w:p>
    <w:p w14:paraId="0AEE2250">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三、投标人（供应商）与招标人（采购人）、其他投标人（供应商）或者代理机构恶意串通的；</w:t>
      </w:r>
    </w:p>
    <w:p w14:paraId="53955FB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798B02C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16DC4068">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投标人：（盖章）</w:t>
      </w:r>
    </w:p>
    <w:p w14:paraId="359191D3">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法定代表人： （电子签章）</w:t>
      </w:r>
    </w:p>
    <w:p w14:paraId="7D3D94A1">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  年  月  日</w:t>
      </w:r>
    </w:p>
    <w:p w14:paraId="3A69E04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1715E7F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58617D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72F8E19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C1669A2">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7A1F27E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EDDEF0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bookmarkStart w:id="42" w:name="_Toc448849467"/>
    </w:p>
    <w:p w14:paraId="157FFD8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4C15D5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bookmarkEnd w:id="42"/>
    <w:p w14:paraId="0A4F3D3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A41C5C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p>
    <w:p w14:paraId="5246B3A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九、其他资料</w:t>
      </w:r>
    </w:p>
    <w:p w14:paraId="578B3C8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0CCF00C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投标人可提供的其他资料</w:t>
      </w:r>
    </w:p>
    <w:p w14:paraId="43718D9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sectPr>
          <w:pgSz w:w="11907" w:h="16839"/>
          <w:pgMar w:top="1431" w:right="1785" w:bottom="1242" w:left="1785" w:header="0" w:footer="1082" w:gutter="0"/>
          <w:pgNumType w:fmt="decimal"/>
          <w:cols w:space="720" w:num="1"/>
        </w:sectPr>
      </w:pPr>
    </w:p>
    <w:p w14:paraId="5486E20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附件 1</w:t>
      </w:r>
    </w:p>
    <w:p w14:paraId="6B61243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4A6EDA1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中小企业声明函（服务）</w:t>
      </w:r>
    </w:p>
    <w:p w14:paraId="1C42F66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（属于中小微企业的填写，不属于的无需提供此项内容）</w:t>
      </w:r>
    </w:p>
    <w:p w14:paraId="4BC015E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1B33254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本公司郑重声明，根据《政府采购促进中小企业发展管理办法》（财库﹝2020﹞ 46 号）的规定，本公司参加</w:t>
      </w:r>
      <w:r>
        <w:rPr>
          <w:rFonts w:hint="eastAsia" w:ascii="仿宋" w:hAnsi="仿宋" w:eastAsia="仿宋" w:cs="仿宋"/>
          <w:bCs/>
          <w:color w:val="000000" w:themeColor="text1"/>
          <w:sz w:val="24"/>
          <w:szCs w:val="24"/>
          <w:highlight w:val="none"/>
          <w:u w:val="single"/>
          <w14:textFill>
            <w14:solidFill>
              <w14:schemeClr w14:val="tx1"/>
            </w14:solidFill>
          </w14:textFill>
        </w:rPr>
        <w:t>（单位名称）</w:t>
      </w:r>
      <w:r>
        <w:rPr>
          <w:rFonts w:hint="eastAsia" w:ascii="仿宋" w:hAnsi="仿宋" w:eastAsia="仿宋" w:cs="仿宋"/>
          <w:bCs/>
          <w:color w:val="000000" w:themeColor="text1"/>
          <w:sz w:val="24"/>
          <w:szCs w:val="24"/>
          <w:highlight w:val="none"/>
          <w14:textFill>
            <w14:solidFill>
              <w14:schemeClr w14:val="tx1"/>
            </w14:solidFill>
          </w14:textFill>
        </w:rPr>
        <w:t>的</w:t>
      </w:r>
      <w:r>
        <w:rPr>
          <w:rFonts w:hint="eastAsia" w:ascii="仿宋" w:hAnsi="仿宋" w:eastAsia="仿宋" w:cs="仿宋"/>
          <w:bCs/>
          <w:color w:val="000000" w:themeColor="text1"/>
          <w:sz w:val="24"/>
          <w:szCs w:val="24"/>
          <w:highlight w:val="none"/>
          <w:u w:val="single"/>
          <w14:textFill>
            <w14:solidFill>
              <w14:schemeClr w14:val="tx1"/>
            </w14:solidFill>
          </w14:textFill>
        </w:rPr>
        <w:t>（项目名称）</w:t>
      </w:r>
      <w:r>
        <w:rPr>
          <w:rFonts w:hint="eastAsia" w:ascii="仿宋" w:hAnsi="仿宋" w:eastAsia="仿宋" w:cs="仿宋"/>
          <w:bCs/>
          <w:color w:val="000000" w:themeColor="text1"/>
          <w:sz w:val="24"/>
          <w:szCs w:val="24"/>
          <w:highlight w:val="none"/>
          <w14:textFill>
            <w14:solidFill>
              <w14:schemeClr w14:val="tx1"/>
            </w14:solidFill>
          </w14:textFill>
        </w:rPr>
        <w:t>采购活动，服务全部由符合政策要求的中小企业承接。相关企业的具体情况如下：</w:t>
      </w:r>
    </w:p>
    <w:p w14:paraId="6C117AA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r>
        <w:rPr>
          <w:rFonts w:hint="eastAsia" w:ascii="仿宋" w:hAnsi="仿宋" w:eastAsia="仿宋" w:cs="仿宋"/>
          <w:bCs/>
          <w:color w:val="000000" w:themeColor="text1"/>
          <w:sz w:val="24"/>
          <w:szCs w:val="24"/>
          <w:highlight w:val="none"/>
          <w:u w:val="single"/>
          <w14:textFill>
            <w14:solidFill>
              <w14:schemeClr w14:val="tx1"/>
            </w14:solidFill>
          </w14:textFill>
        </w:rPr>
        <w:t>（标的名称）</w:t>
      </w:r>
      <w:r>
        <w:rPr>
          <w:rFonts w:hint="eastAsia" w:ascii="仿宋" w:hAnsi="仿宋" w:eastAsia="仿宋" w:cs="仿宋"/>
          <w:bCs/>
          <w:color w:val="000000" w:themeColor="text1"/>
          <w:sz w:val="24"/>
          <w:szCs w:val="24"/>
          <w:highlight w:val="none"/>
          <w14:textFill>
            <w14:solidFill>
              <w14:schemeClr w14:val="tx1"/>
            </w14:solidFill>
          </w14:textFill>
        </w:rPr>
        <w:t>，属于</w:t>
      </w:r>
      <w:r>
        <w:rPr>
          <w:rFonts w:hint="eastAsia" w:ascii="仿宋" w:hAnsi="仿宋" w:eastAsia="仿宋" w:cs="仿宋"/>
          <w:bCs/>
          <w:color w:val="000000" w:themeColor="text1"/>
          <w:sz w:val="24"/>
          <w:szCs w:val="24"/>
          <w:highlight w:val="none"/>
          <w:u w:val="single"/>
          <w14:textFill>
            <w14:solidFill>
              <w14:schemeClr w14:val="tx1"/>
            </w14:solidFill>
          </w14:textFill>
        </w:rPr>
        <w:t>（采购文件中明确的所属行业）</w:t>
      </w:r>
      <w:r>
        <w:rPr>
          <w:rFonts w:hint="eastAsia" w:ascii="仿宋" w:hAnsi="仿宋" w:eastAsia="仿宋" w:cs="仿宋"/>
          <w:bCs/>
          <w:color w:val="000000" w:themeColor="text1"/>
          <w:sz w:val="24"/>
          <w:szCs w:val="24"/>
          <w:highlight w:val="none"/>
          <w14:textFill>
            <w14:solidFill>
              <w14:schemeClr w14:val="tx1"/>
            </w14:solidFill>
          </w14:textFill>
        </w:rPr>
        <w:t>；承建（承接）企业 为</w:t>
      </w:r>
      <w:r>
        <w:rPr>
          <w:rFonts w:hint="eastAsia" w:ascii="仿宋" w:hAnsi="仿宋" w:eastAsia="仿宋" w:cs="仿宋"/>
          <w:bCs/>
          <w:color w:val="000000" w:themeColor="text1"/>
          <w:sz w:val="24"/>
          <w:szCs w:val="24"/>
          <w:highlight w:val="none"/>
          <w:u w:val="single"/>
          <w14:textFill>
            <w14:solidFill>
              <w14:schemeClr w14:val="tx1"/>
            </w14:solidFill>
          </w14:textFill>
        </w:rPr>
        <w:t>（企业名称）</w:t>
      </w:r>
      <w:r>
        <w:rPr>
          <w:rFonts w:hint="eastAsia" w:ascii="仿宋" w:hAnsi="仿宋" w:eastAsia="仿宋" w:cs="仿宋"/>
          <w:bCs/>
          <w:color w:val="000000" w:themeColor="text1"/>
          <w:sz w:val="24"/>
          <w:szCs w:val="24"/>
          <w:highlight w:val="none"/>
          <w14:textFill>
            <w14:solidFill>
              <w14:schemeClr w14:val="tx1"/>
            </w14:solidFill>
          </w14:textFill>
        </w:rPr>
        <w:t xml:space="preserve">，从业人员 </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人，营业收入为 </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万元，资产总额为</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万元，属于 </w:t>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u w:val="single"/>
          <w14:textFill>
            <w14:solidFill>
              <w14:schemeClr w14:val="tx1"/>
            </w14:solidFill>
          </w14:textFill>
        </w:rPr>
        <w:t>（中型企业、小型企业、微型企业）</w:t>
      </w:r>
      <w:r>
        <w:rPr>
          <w:rFonts w:hint="eastAsia" w:ascii="仿宋" w:hAnsi="仿宋" w:eastAsia="仿宋" w:cs="仿宋"/>
          <w:bCs/>
          <w:color w:val="000000" w:themeColor="text1"/>
          <w:sz w:val="24"/>
          <w:szCs w:val="24"/>
          <w:highlight w:val="none"/>
          <w14:textFill>
            <w14:solidFill>
              <w14:schemeClr w14:val="tx1"/>
            </w14:solidFill>
          </w14:textFill>
        </w:rPr>
        <w:t>；</w:t>
      </w:r>
    </w:p>
    <w:p w14:paraId="40E78F8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bCs/>
          <w:color w:val="000000" w:themeColor="text1"/>
          <w:sz w:val="24"/>
          <w:szCs w:val="24"/>
          <w:highlight w:val="none"/>
          <w:u w:val="single"/>
          <w14:textFill>
            <w14:solidFill>
              <w14:schemeClr w14:val="tx1"/>
            </w14:solidFill>
          </w14:textFill>
        </w:rPr>
        <w:t>（标的名称）</w:t>
      </w:r>
      <w:r>
        <w:rPr>
          <w:rFonts w:hint="eastAsia" w:ascii="仿宋" w:hAnsi="仿宋" w:eastAsia="仿宋" w:cs="仿宋"/>
          <w:bCs/>
          <w:color w:val="000000" w:themeColor="text1"/>
          <w:sz w:val="24"/>
          <w:szCs w:val="24"/>
          <w:highlight w:val="none"/>
          <w14:textFill>
            <w14:solidFill>
              <w14:schemeClr w14:val="tx1"/>
            </w14:solidFill>
          </w14:textFill>
        </w:rPr>
        <w:t>，属于</w:t>
      </w:r>
      <w:r>
        <w:rPr>
          <w:rFonts w:hint="eastAsia" w:ascii="仿宋" w:hAnsi="仿宋" w:eastAsia="仿宋" w:cs="仿宋"/>
          <w:bCs/>
          <w:color w:val="000000" w:themeColor="text1"/>
          <w:sz w:val="24"/>
          <w:szCs w:val="24"/>
          <w:highlight w:val="none"/>
          <w:u w:val="single"/>
          <w14:textFill>
            <w14:solidFill>
              <w14:schemeClr w14:val="tx1"/>
            </w14:solidFill>
          </w14:textFill>
        </w:rPr>
        <w:t>（采购文件中明确的所属行业）</w:t>
      </w:r>
      <w:r>
        <w:rPr>
          <w:rFonts w:hint="eastAsia" w:ascii="仿宋" w:hAnsi="仿宋" w:eastAsia="仿宋" w:cs="仿宋"/>
          <w:bCs/>
          <w:color w:val="000000" w:themeColor="text1"/>
          <w:sz w:val="24"/>
          <w:szCs w:val="24"/>
          <w:highlight w:val="none"/>
          <w14:textFill>
            <w14:solidFill>
              <w14:schemeClr w14:val="tx1"/>
            </w14:solidFill>
          </w14:textFill>
        </w:rPr>
        <w:t>；承建（承接）企业 为</w:t>
      </w:r>
      <w:r>
        <w:rPr>
          <w:rFonts w:hint="eastAsia" w:ascii="仿宋" w:hAnsi="仿宋" w:eastAsia="仿宋" w:cs="仿宋"/>
          <w:bCs/>
          <w:color w:val="000000" w:themeColor="text1"/>
          <w:sz w:val="24"/>
          <w:szCs w:val="24"/>
          <w:highlight w:val="none"/>
          <w:u w:val="single"/>
          <w14:textFill>
            <w14:solidFill>
              <w14:schemeClr w14:val="tx1"/>
            </w14:solidFill>
          </w14:textFill>
        </w:rPr>
        <w:t>（企业名称）</w:t>
      </w:r>
      <w:r>
        <w:rPr>
          <w:rFonts w:hint="eastAsia" w:ascii="仿宋" w:hAnsi="仿宋" w:eastAsia="仿宋" w:cs="仿宋"/>
          <w:bCs/>
          <w:color w:val="000000" w:themeColor="text1"/>
          <w:sz w:val="24"/>
          <w:szCs w:val="24"/>
          <w:highlight w:val="none"/>
          <w14:textFill>
            <w14:solidFill>
              <w14:schemeClr w14:val="tx1"/>
            </w14:solidFill>
          </w14:textFill>
        </w:rPr>
        <w:t xml:space="preserve">，从业人员 </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人，营业收入为 </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万元，资产总额为</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万元，属于 </w:t>
      </w:r>
      <w:r>
        <w:rPr>
          <w:rFonts w:hint="eastAsia" w:ascii="仿宋" w:hAnsi="仿宋" w:eastAsia="仿宋" w:cs="仿宋"/>
          <w:bCs/>
          <w:color w:val="000000" w:themeColor="text1"/>
          <w:sz w:val="24"/>
          <w:szCs w:val="24"/>
          <w:highlight w:val="none"/>
          <w:u w:val="single"/>
          <w14:textFill>
            <w14:solidFill>
              <w14:schemeClr w14:val="tx1"/>
            </w14:solidFill>
          </w14:textFill>
        </w:rPr>
        <w:tab/>
      </w:r>
      <w:r>
        <w:rPr>
          <w:rFonts w:hint="eastAsia" w:ascii="仿宋" w:hAnsi="仿宋" w:eastAsia="仿宋" w:cs="仿宋"/>
          <w:bCs/>
          <w:color w:val="000000" w:themeColor="text1"/>
          <w:sz w:val="24"/>
          <w:szCs w:val="24"/>
          <w:highlight w:val="none"/>
          <w:u w:val="single"/>
          <w14:textFill>
            <w14:solidFill>
              <w14:schemeClr w14:val="tx1"/>
            </w14:solidFill>
          </w14:textFill>
        </w:rPr>
        <w:t>（中型企业、小型企业、微型企业）</w:t>
      </w:r>
      <w:r>
        <w:rPr>
          <w:rFonts w:hint="eastAsia" w:ascii="仿宋" w:hAnsi="仿宋" w:eastAsia="仿宋" w:cs="仿宋"/>
          <w:bCs/>
          <w:color w:val="000000" w:themeColor="text1"/>
          <w:sz w:val="24"/>
          <w:szCs w:val="24"/>
          <w:highlight w:val="none"/>
          <w14:textFill>
            <w14:solidFill>
              <w14:schemeClr w14:val="tx1"/>
            </w14:solidFill>
          </w14:textFill>
        </w:rPr>
        <w:t>；</w:t>
      </w:r>
    </w:p>
    <w:p w14:paraId="4DAA882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p>
    <w:p w14:paraId="49D72FD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以上企业，不属于大企业的分支机构，不存在控股股东为大企业的情形，也 不存在与大企业的负责人为同一人的情形。</w:t>
      </w:r>
    </w:p>
    <w:p w14:paraId="0108E9B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本企业对上述声明内容的真实性负责。如有虚假，将依法承担相应责任。</w:t>
      </w:r>
    </w:p>
    <w:p w14:paraId="6DD730F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p>
    <w:p w14:paraId="179E524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3D1D3A1F">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企业名称（盖章）： 日        期：</w:t>
      </w:r>
    </w:p>
    <w:p w14:paraId="6E6F4A7C">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说明：</w:t>
      </w:r>
    </w:p>
    <w:p w14:paraId="119190B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1、从业人员、营业收入、资产总额填报上一年度数据，无上一年度数据的 新成立企业可不填报。</w:t>
      </w:r>
    </w:p>
    <w:p w14:paraId="148BF13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2、填写前请认真阅读《关于印发中小企业划型标准规定的通知》（工信部 联企业[2011]300 号）和《关于印发＜政府采购促进中小企业发展管理办法＞的 通知》 (财库﹝2020﹞46 号)相关规定。</w:t>
      </w:r>
    </w:p>
    <w:p w14:paraId="1C4F9DAE">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3、未按上述要求提供、填写的，评审时不予以考虑。</w:t>
      </w:r>
    </w:p>
    <w:p w14:paraId="1DE5E7A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sectPr>
          <w:pgSz w:w="11907" w:h="16839"/>
          <w:pgMar w:top="1425" w:right="1646" w:bottom="1240" w:left="1785" w:header="0" w:footer="1082" w:gutter="0"/>
          <w:pgNumType w:fmt="decimal"/>
          <w:cols w:space="720" w:num="1"/>
        </w:sectPr>
      </w:pPr>
    </w:p>
    <w:p w14:paraId="21E73CEF">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附件 2</w:t>
      </w:r>
    </w:p>
    <w:p w14:paraId="3820E52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残疾人福利性单位声明函</w:t>
      </w:r>
    </w:p>
    <w:p w14:paraId="4776C48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（属于残疾人福利单位的填写，不属于的无需提供此项内容）</w:t>
      </w:r>
    </w:p>
    <w:p w14:paraId="73A8DF2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本单位郑重声明，根据《财政部 民政部 中国残疾人联合会关于促进残疾人 就业政府采购政策的通知》（财库〔2017〕141 号）的规定，本单位为符合条件 的残疾人福利性单位，且本单位参加 </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单位的 </w:t>
      </w:r>
      <w:r>
        <w:rPr>
          <w:rFonts w:hint="eastAsia" w:ascii="仿宋" w:hAnsi="仿宋" w:eastAsia="仿宋" w:cs="仿宋"/>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Cs/>
          <w:color w:val="000000" w:themeColor="text1"/>
          <w:sz w:val="24"/>
          <w:szCs w:val="24"/>
          <w:highlight w:val="none"/>
          <w14:textFill>
            <w14:solidFill>
              <w14:schemeClr w14:val="tx1"/>
            </w14:solidFill>
          </w14:textFill>
        </w:rPr>
        <w:t xml:space="preserve"> 项目采购活动提供本单位制造的货物（由本单位承担工程/提供服务），或者提供其他 残疾人福利性单位制造的货物（不包括使用非残疾人福利性单位注册商标的货物）。</w:t>
      </w:r>
    </w:p>
    <w:p w14:paraId="2F7FFDA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本单位对上述声明的真实性负责。如有虚假，将依法承担相应责任。</w:t>
      </w:r>
    </w:p>
    <w:p w14:paraId="1B170A9A">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单位名称（盖章）：</w:t>
      </w:r>
    </w:p>
    <w:p w14:paraId="237CFE6C">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14:paraId="603409DB">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（提醒：如果投标人不是残疾人福利性单位，则不需要提供《残疾人福利性 单位声明函》。否则，因此导致虚假投标的后果由投标人自行承担。）</w:t>
      </w:r>
    </w:p>
    <w:p w14:paraId="6B74B2BD">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《财政部民政部中国残疾人联合会关于促进残疾人就业政府采购政策的通 知》（财库 2017〔141〕号）的规定：</w:t>
      </w:r>
    </w:p>
    <w:p w14:paraId="0F6A1C80">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1.享受政府采购支持政策的残疾人福利性单位应当同时满足以下条件：</w:t>
      </w:r>
    </w:p>
    <w:p w14:paraId="5EFF75ED">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（1）安置的残疾人占本单位在职职工人数的比例不低于 25%（含 25%），并 且安置的残疾人人数不少于 10 人（含 10 人）；</w:t>
      </w:r>
    </w:p>
    <w:p w14:paraId="2F2951DA">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（2）依法与安置的每位残疾人签订了一年以上（含一年）的劳动合同或服务协议；</w:t>
      </w:r>
    </w:p>
    <w:p w14:paraId="14F3B595">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（3）为安置的每位残疾人按月足额缴纳了基本养老保险、基本医疗保险、 失业保险、工伤保险和生育保险等社会保险费；</w:t>
      </w:r>
    </w:p>
    <w:p w14:paraId="68B1C2F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（4）通过银行等金融机构向安置的每位残疾人，按月支付了不低于单位所 在区县适用的经省级人民政府批准的月最低工资标准的工资；</w:t>
      </w:r>
    </w:p>
    <w:p w14:paraId="6FDDB385">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（5）提供本单位制造的货物、承担的工程或者服务（以下简称产品），或 者提供其他残疾人福利性单位制造的货物（不包括使用非残疾人福利性单位注册 商标的货物）。</w:t>
      </w:r>
    </w:p>
    <w:p w14:paraId="6ECCCB37">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 成交人为残疾人福利性单位的，采购人或者其委托的采购代理机构应当 随成交、成交结果同时公告其《残疾人福利性单位声明函》，接受社会监督。</w:t>
      </w:r>
    </w:p>
    <w:p w14:paraId="672075F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sectPr>
          <w:pgSz w:w="11907" w:h="16839"/>
          <w:pgMar w:top="1425" w:right="1616" w:bottom="1242" w:left="1785" w:header="0" w:footer="1082" w:gutter="0"/>
          <w:pgNumType w:fmt="decimal"/>
          <w:cols w:space="720" w:num="1"/>
        </w:sectPr>
      </w:pPr>
    </w:p>
    <w:p w14:paraId="1040B6D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附件 3</w:t>
      </w:r>
    </w:p>
    <w:p w14:paraId="1EB0B9D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p w14:paraId="69EFF26D">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监狱企业证明文件</w:t>
      </w:r>
    </w:p>
    <w:p w14:paraId="0E861435">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（属于监狱企业的提供，不属于的无需提供此项内容）</w:t>
      </w:r>
    </w:p>
    <w:p w14:paraId="68444D70">
      <w:pPr>
        <w:spacing w:line="360" w:lineRule="auto"/>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（监狱企业参加政府采购活动时，应当提供由省级以上监狱管理局、戒毒管 理局（含新疆生产建设兵团）出具的属于监狱企业的证明文件。在响应文件中提 供原件扫描件。）</w:t>
      </w:r>
    </w:p>
    <w:p w14:paraId="6BDCC60D">
      <w:pPr>
        <w:spacing w:line="360" w:lineRule="auto"/>
        <w:jc w:val="center"/>
        <w:rPr>
          <w:rFonts w:hint="eastAsia" w:ascii="仿宋" w:hAnsi="仿宋" w:eastAsia="仿宋" w:cs="仿宋"/>
          <w:bCs/>
          <w:color w:val="000000" w:themeColor="text1"/>
          <w:sz w:val="24"/>
          <w:szCs w:val="24"/>
          <w:highlight w:val="none"/>
          <w:lang w:val="en-GB"/>
          <w14:textFill>
            <w14:solidFill>
              <w14:schemeClr w14:val="tx1"/>
            </w14:solidFill>
          </w14:textFill>
        </w:rPr>
      </w:pPr>
    </w:p>
    <w:p w14:paraId="4612335E">
      <w:pPr>
        <w:spacing w:line="360" w:lineRule="auto"/>
        <w:jc w:val="center"/>
        <w:rPr>
          <w:rFonts w:hint="eastAsia" w:ascii="仿宋" w:hAnsi="仿宋" w:eastAsia="仿宋" w:cs="仿宋"/>
          <w:bCs/>
          <w:color w:val="000000" w:themeColor="text1"/>
          <w:sz w:val="24"/>
          <w:szCs w:val="24"/>
          <w:highlight w:val="none"/>
          <w:lang w:val="en-GB"/>
          <w14:textFill>
            <w14:solidFill>
              <w14:schemeClr w14:val="tx1"/>
            </w14:solidFill>
          </w14:textFill>
        </w:rPr>
      </w:pPr>
    </w:p>
    <w:p w14:paraId="7836329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（提醒：如果投标人不是</w:t>
      </w:r>
      <w:r>
        <w:rPr>
          <w:rFonts w:hint="eastAsia" w:ascii="仿宋" w:hAnsi="仿宋" w:eastAsia="仿宋" w:cs="仿宋"/>
          <w:bCs/>
          <w:color w:val="000000" w:themeColor="text1"/>
          <w:sz w:val="24"/>
          <w:szCs w:val="24"/>
          <w:highlight w:val="none"/>
          <w:lang w:val="en-GB"/>
          <w14:textFill>
            <w14:solidFill>
              <w14:schemeClr w14:val="tx1"/>
            </w14:solidFill>
          </w14:textFill>
        </w:rPr>
        <w:t>监狱企业</w:t>
      </w:r>
      <w:r>
        <w:rPr>
          <w:rFonts w:hint="eastAsia" w:ascii="仿宋" w:hAnsi="仿宋" w:eastAsia="仿宋" w:cs="仿宋"/>
          <w:bCs/>
          <w:color w:val="000000" w:themeColor="text1"/>
          <w:sz w:val="24"/>
          <w:szCs w:val="24"/>
          <w:highlight w:val="none"/>
          <w14:textFill>
            <w14:solidFill>
              <w14:schemeClr w14:val="tx1"/>
            </w14:solidFill>
          </w14:textFill>
        </w:rPr>
        <w:t>，则不需要提供</w:t>
      </w:r>
      <w:r>
        <w:rPr>
          <w:rFonts w:hint="eastAsia" w:ascii="仿宋" w:hAnsi="仿宋" w:eastAsia="仿宋" w:cs="仿宋"/>
          <w:bCs/>
          <w:color w:val="000000" w:themeColor="text1"/>
          <w:sz w:val="24"/>
          <w:szCs w:val="24"/>
          <w:highlight w:val="none"/>
          <w:lang w:val="en-GB"/>
          <w14:textFill>
            <w14:solidFill>
              <w14:schemeClr w14:val="tx1"/>
            </w14:solidFill>
          </w14:textFill>
        </w:rPr>
        <w:t>监狱企业证明材料</w:t>
      </w:r>
      <w:r>
        <w:rPr>
          <w:rFonts w:hint="eastAsia" w:ascii="仿宋" w:hAnsi="仿宋" w:eastAsia="仿宋" w:cs="仿宋"/>
          <w:bCs/>
          <w:color w:val="000000" w:themeColor="text1"/>
          <w:sz w:val="24"/>
          <w:szCs w:val="24"/>
          <w:highlight w:val="none"/>
          <w14:textFill>
            <w14:solidFill>
              <w14:schemeClr w14:val="tx1"/>
            </w14:solidFill>
          </w14:textFill>
        </w:rPr>
        <w:t>）</w:t>
      </w:r>
    </w:p>
    <w:p w14:paraId="2E6303E8">
      <w:pPr>
        <w:spacing w:line="360" w:lineRule="auto"/>
        <w:jc w:val="center"/>
        <w:rPr>
          <w:rFonts w:hint="eastAsia" w:ascii="仿宋" w:hAnsi="仿宋" w:eastAsia="仿宋" w:cs="仿宋"/>
          <w:sz w:val="24"/>
          <w:szCs w:val="24"/>
          <w:highlight w:val="none"/>
        </w:rPr>
      </w:pPr>
    </w:p>
    <w:sectPr>
      <w:footerReference r:id="rId6" w:type="default"/>
      <w:pgSz w:w="11906" w:h="16838"/>
      <w:pgMar w:top="1361" w:right="1361" w:bottom="1361" w:left="1361" w:header="720" w:footer="720"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7FB1">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C05B3">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F5C05B3">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BFB89">
    <w:pPr>
      <w:widowControl/>
      <w:kinsoku w:val="0"/>
      <w:autoSpaceDE w:val="0"/>
      <w:autoSpaceDN w:val="0"/>
      <w:adjustRightInd w:val="0"/>
      <w:snapToGrid w:val="0"/>
      <w:spacing w:line="178" w:lineRule="auto"/>
      <w:ind w:left="4611"/>
      <w:jc w:val="left"/>
      <w:textAlignment w:val="baseline"/>
      <w:rPr>
        <w:rFonts w:ascii="Calibri" w:hAnsi="Calibri" w:eastAsia="Calibri" w:cs="Calibri"/>
        <w:snapToGrid w:val="0"/>
        <w:color w:val="000000"/>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9FA8CE">
                          <w:pPr>
                            <w:pStyle w:val="17"/>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1A9FA8CE">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99883">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01E24EC">
                          <w:pPr>
                            <w:pStyle w:val="17"/>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301E24E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852E8">
    <w:pPr>
      <w:pStyle w:val="19"/>
      <w:pBdr>
        <w:bottom w:val="none" w:color="auto" w:sz="0" w:space="1"/>
      </w:pBdr>
      <w:tabs>
        <w:tab w:val="left" w:pos="3128"/>
      </w:tabs>
      <w:jc w:val="lef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1913B"/>
    <w:multiLevelType w:val="singleLevel"/>
    <w:tmpl w:val="1441913B"/>
    <w:lvl w:ilvl="0" w:tentative="0">
      <w:start w:val="4"/>
      <w:numFmt w:val="chineseCounting"/>
      <w:suff w:val="nothing"/>
      <w:lvlText w:val="%1、"/>
      <w:lvlJc w:val="left"/>
      <w:rPr>
        <w:rFonts w:hint="eastAsia"/>
      </w:rPr>
    </w:lvl>
  </w:abstractNum>
  <w:abstractNum w:abstractNumId="1">
    <w:nsid w:val="1F2B226A"/>
    <w:multiLevelType w:val="multilevel"/>
    <w:tmpl w:val="1F2B226A"/>
    <w:lvl w:ilvl="0" w:tentative="0">
      <w:start w:val="1"/>
      <w:numFmt w:val="chineseCounting"/>
      <w:suff w:val="nothing"/>
      <w:lvlText w:val="第%1章 "/>
      <w:lvlJc w:val="left"/>
      <w:pPr>
        <w:ind w:left="425" w:hanging="425"/>
      </w:pPr>
      <w:rPr>
        <w:rFonts w:hint="eastAsia" w:ascii="黑体" w:hAnsi="黑体" w:eastAsia="黑体" w:cs="黑体"/>
        <w:b/>
        <w:bCs/>
        <w:sz w:val="48"/>
        <w:szCs w:val="48"/>
      </w:rPr>
    </w:lvl>
    <w:lvl w:ilvl="1" w:tentative="0">
      <w:start w:val="1"/>
      <w:numFmt w:val="decimal"/>
      <w:isLgl/>
      <w:lvlText w:val="%1.%2."/>
      <w:lvlJc w:val="left"/>
      <w:pPr>
        <w:ind w:left="567" w:hanging="567"/>
      </w:pPr>
      <w:rPr>
        <w:rFonts w:hint="default" w:ascii="黑体" w:hAnsi="黑体" w:eastAsia="黑体" w:cs="黑体"/>
        <w:sz w:val="48"/>
        <w:szCs w:val="48"/>
      </w:rPr>
    </w:lvl>
    <w:lvl w:ilvl="2" w:tentative="0">
      <w:start w:val="1"/>
      <w:numFmt w:val="decimal"/>
      <w:pStyle w:val="5"/>
      <w:isLgl/>
      <w:lvlText w:val="%1.%2.%3."/>
      <w:lvlJc w:val="left"/>
      <w:pPr>
        <w:ind w:left="709" w:hanging="709"/>
      </w:pPr>
      <w:rPr>
        <w:rFonts w:hint="eastAsia"/>
      </w:rPr>
    </w:lvl>
    <w:lvl w:ilvl="3" w:tentative="0">
      <w:start w:val="1"/>
      <w:numFmt w:val="decimal"/>
      <w:isLgl/>
      <w:lvlText w:val="%1.%2.%3.%4."/>
      <w:lvlJc w:val="left"/>
      <w:pPr>
        <w:ind w:left="850" w:hanging="850"/>
      </w:pPr>
      <w:rPr>
        <w:rFonts w:hint="default" w:ascii="黑体" w:hAnsi="黑体" w:eastAsia="黑体" w:cs="黑体"/>
        <w:sz w:val="36"/>
        <w:szCs w:val="36"/>
      </w:rPr>
    </w:lvl>
    <w:lvl w:ilvl="4" w:tentative="0">
      <w:start w:val="1"/>
      <w:numFmt w:val="decimal"/>
      <w:isLgl/>
      <w:lvlText w:val="%1.%2.%3.%4.%5."/>
      <w:lvlJc w:val="left"/>
      <w:pPr>
        <w:ind w:left="991" w:hanging="991"/>
      </w:pPr>
      <w:rPr>
        <w:rFonts w:hint="default" w:ascii="宋体" w:hAnsi="宋体" w:eastAsia="宋体" w:cs="宋体"/>
        <w:sz w:val="32"/>
        <w:szCs w:val="32"/>
      </w:rPr>
    </w:lvl>
    <w:lvl w:ilvl="5" w:tentative="0">
      <w:start w:val="1"/>
      <w:numFmt w:val="decimal"/>
      <w:isLgl/>
      <w:lvlText w:val="%1.%2.%3.%4.%5.%6."/>
      <w:lvlJc w:val="left"/>
      <w:pPr>
        <w:ind w:left="1134" w:hanging="1134"/>
      </w:pPr>
      <w:rPr>
        <w:rFonts w:hint="default" w:ascii="宋体" w:hAnsi="宋体" w:eastAsia="宋体" w:cs="宋体"/>
        <w:sz w:val="30"/>
        <w:szCs w:val="30"/>
      </w:rPr>
    </w:lvl>
    <w:lvl w:ilvl="6" w:tentative="0">
      <w:start w:val="1"/>
      <w:numFmt w:val="decimal"/>
      <w:isLgl/>
      <w:lvlText w:val="%1.%2.%3.%4.%5.%6.%7."/>
      <w:lvlJc w:val="left"/>
      <w:pPr>
        <w:ind w:left="1275" w:hanging="1275"/>
      </w:pPr>
      <w:rPr>
        <w:rFonts w:hint="default" w:ascii="宋体" w:hAnsi="宋体" w:eastAsia="宋体" w:cs="宋体"/>
        <w:sz w:val="28"/>
        <w:szCs w:val="28"/>
      </w:rPr>
    </w:lvl>
    <w:lvl w:ilvl="7" w:tentative="0">
      <w:start w:val="1"/>
      <w:numFmt w:val="decimal"/>
      <w:isLgl/>
      <w:lvlText w:val="%1.%2.%3.%4.%5.%6.%7.%8."/>
      <w:lvlJc w:val="left"/>
      <w:pPr>
        <w:ind w:left="1418" w:hanging="1418"/>
      </w:pPr>
      <w:rPr>
        <w:rFonts w:hint="default" w:ascii="宋体" w:hAnsi="宋体" w:eastAsia="宋体" w:cs="宋体"/>
        <w:sz w:val="24"/>
        <w:szCs w:val="24"/>
      </w:rPr>
    </w:lvl>
    <w:lvl w:ilvl="8" w:tentative="0">
      <w:start w:val="1"/>
      <w:numFmt w:val="decimal"/>
      <w:isLgl/>
      <w:lvlText w:val="%1.%2.%3.%4.%5.%6.%7.%8.%9."/>
      <w:lvlJc w:val="left"/>
      <w:pPr>
        <w:ind w:left="1558" w:hanging="1558"/>
      </w:pPr>
      <w:rPr>
        <w:rFonts w:hint="eastAsia"/>
      </w:rPr>
    </w:lvl>
  </w:abstractNum>
  <w:abstractNum w:abstractNumId="2">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T7glVheUMXB51+r+xL0FKQaSHdQ=" w:salt="x+SuruGzgdL6ma+qn7L++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A3798"/>
    <w:rsid w:val="000032CF"/>
    <w:rsid w:val="00043A90"/>
    <w:rsid w:val="003A53EF"/>
    <w:rsid w:val="00512108"/>
    <w:rsid w:val="00571F22"/>
    <w:rsid w:val="00596560"/>
    <w:rsid w:val="005C4E2A"/>
    <w:rsid w:val="006A2634"/>
    <w:rsid w:val="006B5905"/>
    <w:rsid w:val="00827470"/>
    <w:rsid w:val="00AD11C8"/>
    <w:rsid w:val="00AD5E40"/>
    <w:rsid w:val="00CB3D3B"/>
    <w:rsid w:val="00D07258"/>
    <w:rsid w:val="00EF1A69"/>
    <w:rsid w:val="02010002"/>
    <w:rsid w:val="0227263C"/>
    <w:rsid w:val="03D62972"/>
    <w:rsid w:val="04EE6171"/>
    <w:rsid w:val="063A5373"/>
    <w:rsid w:val="06AC0C01"/>
    <w:rsid w:val="073D1F5C"/>
    <w:rsid w:val="07DE071F"/>
    <w:rsid w:val="08813610"/>
    <w:rsid w:val="0A256823"/>
    <w:rsid w:val="0BF779EE"/>
    <w:rsid w:val="0CD30D01"/>
    <w:rsid w:val="0D02202B"/>
    <w:rsid w:val="0DB87A4F"/>
    <w:rsid w:val="0DBA7538"/>
    <w:rsid w:val="0DE436D6"/>
    <w:rsid w:val="0E7B3A93"/>
    <w:rsid w:val="0EE06B2A"/>
    <w:rsid w:val="11147D2E"/>
    <w:rsid w:val="12634E12"/>
    <w:rsid w:val="13EB21F9"/>
    <w:rsid w:val="15542020"/>
    <w:rsid w:val="157E72E3"/>
    <w:rsid w:val="17127A9D"/>
    <w:rsid w:val="18BA663E"/>
    <w:rsid w:val="19CD56B0"/>
    <w:rsid w:val="1CAD4667"/>
    <w:rsid w:val="21C35326"/>
    <w:rsid w:val="24403C64"/>
    <w:rsid w:val="25224424"/>
    <w:rsid w:val="29D5793B"/>
    <w:rsid w:val="29DE45E0"/>
    <w:rsid w:val="29F735FC"/>
    <w:rsid w:val="2B360C64"/>
    <w:rsid w:val="2C0A3B4A"/>
    <w:rsid w:val="2C7933DB"/>
    <w:rsid w:val="31244B45"/>
    <w:rsid w:val="357A3798"/>
    <w:rsid w:val="36F6488E"/>
    <w:rsid w:val="37DE3C9F"/>
    <w:rsid w:val="3CEA51FC"/>
    <w:rsid w:val="3EE40B57"/>
    <w:rsid w:val="405A5D32"/>
    <w:rsid w:val="437328C1"/>
    <w:rsid w:val="485043E2"/>
    <w:rsid w:val="4A767D68"/>
    <w:rsid w:val="4CC513A2"/>
    <w:rsid w:val="4DEB6377"/>
    <w:rsid w:val="4E710F72"/>
    <w:rsid w:val="4FD453CB"/>
    <w:rsid w:val="4FEC5B2E"/>
    <w:rsid w:val="5080549C"/>
    <w:rsid w:val="53547C35"/>
    <w:rsid w:val="55024E68"/>
    <w:rsid w:val="5591793D"/>
    <w:rsid w:val="57593BBD"/>
    <w:rsid w:val="57B34FD7"/>
    <w:rsid w:val="59B461B6"/>
    <w:rsid w:val="5B18070E"/>
    <w:rsid w:val="5C3371C2"/>
    <w:rsid w:val="5E175F25"/>
    <w:rsid w:val="5E1D07CE"/>
    <w:rsid w:val="5EA762EA"/>
    <w:rsid w:val="5EB114A4"/>
    <w:rsid w:val="60B6359B"/>
    <w:rsid w:val="61803A4D"/>
    <w:rsid w:val="636C365E"/>
    <w:rsid w:val="64A73938"/>
    <w:rsid w:val="64FF1E9F"/>
    <w:rsid w:val="66116049"/>
    <w:rsid w:val="67786A75"/>
    <w:rsid w:val="67C14C8B"/>
    <w:rsid w:val="68C71C15"/>
    <w:rsid w:val="6C302F53"/>
    <w:rsid w:val="6CD754F9"/>
    <w:rsid w:val="6E7E7ED8"/>
    <w:rsid w:val="6FBB7E47"/>
    <w:rsid w:val="70F57389"/>
    <w:rsid w:val="714D0F73"/>
    <w:rsid w:val="723D4B43"/>
    <w:rsid w:val="73B569E9"/>
    <w:rsid w:val="746F2FAE"/>
    <w:rsid w:val="7508386C"/>
    <w:rsid w:val="75DF1A6B"/>
    <w:rsid w:val="76B92C06"/>
    <w:rsid w:val="78697846"/>
    <w:rsid w:val="797177C8"/>
    <w:rsid w:val="7A4A6662"/>
    <w:rsid w:val="7C772DC5"/>
    <w:rsid w:val="7D620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45"/>
    <w:qFormat/>
    <w:uiPriority w:val="0"/>
    <w:pPr>
      <w:keepNext/>
      <w:keepLines/>
      <w:spacing w:before="360" w:after="80"/>
      <w:ind w:left="432" w:hanging="432"/>
      <w:outlineLvl w:val="0"/>
    </w:pPr>
    <w:rPr>
      <w:rFonts w:eastAsia="黑体" w:asciiTheme="majorHAnsi" w:hAnsiTheme="majorHAnsi" w:cstheme="majorBidi"/>
      <w:color w:val="2E54A1" w:themeColor="accent1" w:themeShade="BF"/>
      <w:sz w:val="32"/>
      <w:szCs w:val="40"/>
      <w:lang w:eastAsia="en-US"/>
    </w:rPr>
  </w:style>
  <w:style w:type="paragraph" w:styleId="4">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5">
    <w:name w:val="heading 3"/>
    <w:basedOn w:val="4"/>
    <w:next w:val="1"/>
    <w:unhideWhenUsed/>
    <w:qFormat/>
    <w:uiPriority w:val="0"/>
    <w:pPr>
      <w:numPr>
        <w:ilvl w:val="2"/>
        <w:numId w:val="1"/>
      </w:numPr>
      <w:spacing w:line="413" w:lineRule="auto"/>
      <w:outlineLvl w:val="2"/>
    </w:pPr>
    <w:rPr>
      <w:rFonts w:ascii="黑体" w:hAnsi="黑体" w:eastAsia="黑体" w:cs="黑体"/>
      <w:sz w:val="36"/>
      <w:szCs w:val="36"/>
    </w:rPr>
  </w:style>
  <w:style w:type="paragraph" w:styleId="6">
    <w:name w:val="heading 4"/>
    <w:basedOn w:val="1"/>
    <w:next w:val="1"/>
    <w:link w:val="4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4"/>
    <w:unhideWhenUsed/>
    <w:qFormat/>
    <w:uiPriority w:val="0"/>
    <w:pPr>
      <w:keepNext/>
      <w:keepLines/>
      <w:spacing w:before="280" w:after="290" w:line="376" w:lineRule="auto"/>
      <w:outlineLvl w:val="4"/>
    </w:pPr>
    <w:rPr>
      <w:b/>
      <w:bCs/>
      <w:sz w:val="28"/>
      <w:szCs w:val="28"/>
    </w:rPr>
  </w:style>
  <w:style w:type="paragraph" w:styleId="8">
    <w:name w:val="heading 6"/>
    <w:basedOn w:val="1"/>
    <w:next w:val="9"/>
    <w:link w:val="46"/>
    <w:semiHidden/>
    <w:unhideWhenUsed/>
    <w:qFormat/>
    <w:uiPriority w:val="0"/>
    <w:pPr>
      <w:keepNext/>
      <w:keepLines/>
      <w:spacing w:line="360" w:lineRule="auto"/>
      <w:ind w:left="1151" w:hanging="1151"/>
      <w:jc w:val="left"/>
      <w:outlineLvl w:val="5"/>
    </w:pPr>
    <w:rPr>
      <w:rFonts w:ascii="Cambria" w:hAnsi="Cambria" w:eastAsia="宋体" w:cs="Times New Roman"/>
      <w:bCs/>
      <w:sz w:val="24"/>
      <w:szCs w:val="24"/>
    </w:rPr>
  </w:style>
  <w:style w:type="paragraph" w:styleId="10">
    <w:name w:val="heading 7"/>
    <w:basedOn w:val="1"/>
    <w:next w:val="1"/>
    <w:link w:val="47"/>
    <w:semiHidden/>
    <w:unhideWhenUsed/>
    <w:qFormat/>
    <w:uiPriority w:val="0"/>
    <w:pPr>
      <w:keepNext/>
      <w:keepLines/>
      <w:spacing w:before="240" w:after="64" w:line="317" w:lineRule="auto"/>
      <w:ind w:left="1296" w:hanging="1296"/>
      <w:outlineLvl w:val="6"/>
    </w:pPr>
    <w:rPr>
      <w:rFonts w:asciiTheme="minorEastAsia" w:hAnsiTheme="minorEastAsia" w:cstheme="minorEastAsia"/>
      <w:b/>
      <w:sz w:val="24"/>
      <w:szCs w:val="28"/>
    </w:rPr>
  </w:style>
  <w:style w:type="paragraph" w:styleId="11">
    <w:name w:val="heading 8"/>
    <w:basedOn w:val="1"/>
    <w:next w:val="1"/>
    <w:link w:val="48"/>
    <w:semiHidden/>
    <w:unhideWhenUsed/>
    <w:qFormat/>
    <w:uiPriority w:val="0"/>
    <w:pPr>
      <w:keepNext/>
      <w:keepLines/>
      <w:spacing w:line="360" w:lineRule="auto"/>
      <w:ind w:left="1440" w:hanging="1440"/>
      <w:outlineLvl w:val="7"/>
    </w:pPr>
    <w:rPr>
      <w:rFonts w:asciiTheme="majorHAnsi" w:hAnsiTheme="majorHAnsi" w:eastAsiaTheme="majorEastAsia" w:cstheme="majorBidi"/>
      <w:snapToGrid w:val="0"/>
      <w:color w:val="000000"/>
      <w:sz w:val="28"/>
      <w:szCs w:val="24"/>
      <w:lang w:eastAsia="en-US"/>
    </w:rPr>
  </w:style>
  <w:style w:type="paragraph" w:styleId="12">
    <w:name w:val="heading 9"/>
    <w:basedOn w:val="1"/>
    <w:next w:val="1"/>
    <w:link w:val="49"/>
    <w:semiHidden/>
    <w:unhideWhenUsed/>
    <w:qFormat/>
    <w:uiPriority w:val="0"/>
    <w:pPr>
      <w:keepNext/>
      <w:keepLines/>
      <w:spacing w:before="240" w:after="64" w:line="317" w:lineRule="auto"/>
      <w:ind w:left="1583" w:hanging="1583"/>
      <w:outlineLvl w:val="8"/>
    </w:pPr>
    <w:rPr>
      <w:rFonts w:ascii="Arial" w:hAnsi="Arial" w:eastAsia="黑体" w:cstheme="minorEastAsia"/>
      <w:szCs w:val="28"/>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520" w:lineRule="exact"/>
    </w:pPr>
    <w:rPr>
      <w:rFonts w:ascii="仿宋_GB2312" w:hAnsi="宋体" w:eastAsia="仿宋_GB2312" w:cs="Times New Roman"/>
      <w:color w:val="008000"/>
      <w:kern w:val="0"/>
      <w:sz w:val="24"/>
      <w:szCs w:val="24"/>
    </w:rPr>
  </w:style>
  <w:style w:type="paragraph" w:styleId="9">
    <w:name w:val="Normal Indent"/>
    <w:basedOn w:val="1"/>
    <w:qFormat/>
    <w:uiPriority w:val="0"/>
    <w:pPr>
      <w:ind w:firstLine="420" w:firstLineChars="200"/>
    </w:pPr>
  </w:style>
  <w:style w:type="paragraph" w:styleId="13">
    <w:name w:val="annotation text"/>
    <w:basedOn w:val="1"/>
    <w:link w:val="42"/>
    <w:qFormat/>
    <w:uiPriority w:val="0"/>
    <w:pPr>
      <w:ind w:firstLine="560"/>
      <w:jc w:val="left"/>
    </w:pPr>
    <w:rPr>
      <w:rFonts w:asciiTheme="minorEastAsia" w:hAnsiTheme="minorEastAsia" w:cstheme="minorEastAsia"/>
      <w:sz w:val="28"/>
      <w:szCs w:val="28"/>
    </w:rPr>
  </w:style>
  <w:style w:type="paragraph" w:styleId="14">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15">
    <w:name w:val="Plain Text"/>
    <w:basedOn w:val="1"/>
    <w:qFormat/>
    <w:uiPriority w:val="99"/>
    <w:rPr>
      <w:rFonts w:ascii="宋体" w:hAnsi="Courier New" w:eastAsia="华文宋体" w:cs="Times New Roman"/>
      <w:kern w:val="0"/>
      <w:sz w:val="28"/>
      <w:szCs w:val="28"/>
    </w:rPr>
  </w:style>
  <w:style w:type="paragraph" w:styleId="16">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envelope return"/>
    <w:basedOn w:val="1"/>
    <w:semiHidden/>
    <w:qFormat/>
    <w:uiPriority w:val="0"/>
    <w:pPr>
      <w:snapToGrid w:val="0"/>
      <w:spacing w:after="200" w:line="276" w:lineRule="auto"/>
    </w:pPr>
    <w:rPr>
      <w:rFonts w:ascii="Arial" w:hAnsi="Arial" w:cs="Arial"/>
      <w:sz w:val="22"/>
      <w:lang w:eastAsia="en-US" w:bidi="en-US"/>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Body Text 2"/>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1">
    <w:name w:val="Normal (Web)"/>
    <w:basedOn w:val="1"/>
    <w:unhideWhenUsed/>
    <w:qFormat/>
    <w:uiPriority w:val="0"/>
    <w:pPr>
      <w:spacing w:beforeAutospacing="1" w:afterAutospacing="1"/>
      <w:jc w:val="left"/>
    </w:pPr>
    <w:rPr>
      <w:rFonts w:cs="Times New Roman"/>
      <w:kern w:val="0"/>
      <w:sz w:val="24"/>
    </w:rPr>
  </w:style>
  <w:style w:type="paragraph" w:styleId="22">
    <w:name w:val="Body Text First Indent"/>
    <w:basedOn w:val="3"/>
    <w:next w:val="23"/>
    <w:unhideWhenUsed/>
    <w:qFormat/>
    <w:uiPriority w:val="99"/>
    <w:pPr>
      <w:ind w:firstLine="420" w:firstLineChars="100"/>
    </w:pPr>
  </w:style>
  <w:style w:type="paragraph" w:styleId="23">
    <w:name w:val="Body Text First Indent 2"/>
    <w:basedOn w:val="14"/>
    <w:next w:val="22"/>
    <w:semiHidden/>
    <w:qFormat/>
    <w:uiPriority w:val="0"/>
    <w:pPr>
      <w:spacing w:before="100" w:beforeAutospacing="1" w:after="120" w:line="360" w:lineRule="auto"/>
      <w:ind w:left="420"/>
    </w:pPr>
    <w:rPr>
      <w:rFonts w:ascii="Calibri" w:hAnsi="Calibri" w:eastAsia="Arial Unicode MS"/>
      <w:color w:val="000000"/>
      <w:sz w:val="20"/>
    </w:rPr>
  </w:style>
  <w:style w:type="table" w:styleId="25">
    <w:name w:val="Table Grid"/>
    <w:basedOn w:val="24"/>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FollowedHyperlink"/>
    <w:basedOn w:val="26"/>
    <w:qFormat/>
    <w:uiPriority w:val="0"/>
    <w:rPr>
      <w:color w:val="800080"/>
      <w:u w:val="none"/>
    </w:rPr>
  </w:style>
  <w:style w:type="character" w:styleId="29">
    <w:name w:val="Emphasis"/>
    <w:basedOn w:val="26"/>
    <w:qFormat/>
    <w:uiPriority w:val="0"/>
    <w:rPr>
      <w:b/>
    </w:rPr>
  </w:style>
  <w:style w:type="character" w:styleId="30">
    <w:name w:val="HTML Definition"/>
    <w:basedOn w:val="26"/>
    <w:qFormat/>
    <w:uiPriority w:val="0"/>
  </w:style>
  <w:style w:type="character" w:styleId="31">
    <w:name w:val="HTML Typewriter"/>
    <w:basedOn w:val="26"/>
    <w:qFormat/>
    <w:uiPriority w:val="0"/>
    <w:rPr>
      <w:rFonts w:hint="default" w:ascii="monospace" w:hAnsi="monospace" w:eastAsia="monospace" w:cs="monospace"/>
      <w:sz w:val="20"/>
    </w:rPr>
  </w:style>
  <w:style w:type="character" w:styleId="32">
    <w:name w:val="HTML Acronym"/>
    <w:basedOn w:val="26"/>
    <w:qFormat/>
    <w:uiPriority w:val="0"/>
  </w:style>
  <w:style w:type="character" w:styleId="33">
    <w:name w:val="HTML Variable"/>
    <w:basedOn w:val="26"/>
    <w:qFormat/>
    <w:uiPriority w:val="0"/>
  </w:style>
  <w:style w:type="character" w:styleId="34">
    <w:name w:val="Hyperlink"/>
    <w:basedOn w:val="26"/>
    <w:qFormat/>
    <w:uiPriority w:val="0"/>
    <w:rPr>
      <w:color w:val="0000FF"/>
      <w:u w:val="none"/>
    </w:rPr>
  </w:style>
  <w:style w:type="character" w:styleId="35">
    <w:name w:val="HTML Code"/>
    <w:basedOn w:val="26"/>
    <w:qFormat/>
    <w:uiPriority w:val="0"/>
    <w:rPr>
      <w:rFonts w:hint="default" w:ascii="monospace" w:hAnsi="monospace" w:eastAsia="monospace" w:cs="monospace"/>
      <w:sz w:val="20"/>
    </w:rPr>
  </w:style>
  <w:style w:type="character" w:styleId="36">
    <w:name w:val="HTML Cite"/>
    <w:basedOn w:val="26"/>
    <w:qFormat/>
    <w:uiPriority w:val="0"/>
  </w:style>
  <w:style w:type="character" w:styleId="37">
    <w:name w:val="HTML Keyboard"/>
    <w:basedOn w:val="26"/>
    <w:qFormat/>
    <w:uiPriority w:val="0"/>
    <w:rPr>
      <w:rFonts w:ascii="monospace" w:hAnsi="monospace" w:eastAsia="monospace" w:cs="monospace"/>
      <w:sz w:val="20"/>
    </w:rPr>
  </w:style>
  <w:style w:type="character" w:styleId="38">
    <w:name w:val="HTML Sample"/>
    <w:basedOn w:val="26"/>
    <w:qFormat/>
    <w:uiPriority w:val="0"/>
    <w:rPr>
      <w:rFonts w:hint="default" w:ascii="monospace" w:hAnsi="monospace" w:eastAsia="monospace" w:cs="monospace"/>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列出段落1"/>
    <w:basedOn w:val="1"/>
    <w:qFormat/>
    <w:uiPriority w:val="0"/>
    <w:pPr>
      <w:ind w:firstLine="420" w:firstLineChars="200"/>
    </w:pPr>
    <w:rPr>
      <w:szCs w:val="21"/>
    </w:rPr>
  </w:style>
  <w:style w:type="paragraph" w:styleId="41">
    <w:name w:val="List Paragraph"/>
    <w:basedOn w:val="1"/>
    <w:unhideWhenUsed/>
    <w:qFormat/>
    <w:uiPriority w:val="99"/>
    <w:pPr>
      <w:ind w:firstLine="420" w:firstLineChars="200"/>
    </w:pPr>
  </w:style>
  <w:style w:type="character" w:customStyle="1" w:styleId="42">
    <w:name w:val="批注文字 字符"/>
    <w:basedOn w:val="26"/>
    <w:link w:val="13"/>
    <w:qFormat/>
    <w:uiPriority w:val="0"/>
    <w:rPr>
      <w:rFonts w:asciiTheme="minorEastAsia" w:hAnsiTheme="minorEastAsia" w:eastAsiaTheme="minorEastAsia" w:cstheme="minorEastAsia"/>
      <w:kern w:val="2"/>
      <w:sz w:val="28"/>
      <w:szCs w:val="28"/>
    </w:rPr>
  </w:style>
  <w:style w:type="character" w:customStyle="1" w:styleId="43">
    <w:name w:val="标题 4 字符"/>
    <w:basedOn w:val="26"/>
    <w:link w:val="6"/>
    <w:qFormat/>
    <w:uiPriority w:val="0"/>
    <w:rPr>
      <w:rFonts w:asciiTheme="majorHAnsi" w:hAnsiTheme="majorHAnsi" w:eastAsiaTheme="majorEastAsia" w:cstheme="majorBidi"/>
      <w:b/>
      <w:bCs/>
      <w:kern w:val="2"/>
      <w:sz w:val="28"/>
      <w:szCs w:val="28"/>
    </w:rPr>
  </w:style>
  <w:style w:type="character" w:customStyle="1" w:styleId="44">
    <w:name w:val="标题 5 字符"/>
    <w:basedOn w:val="26"/>
    <w:link w:val="7"/>
    <w:semiHidden/>
    <w:qFormat/>
    <w:uiPriority w:val="0"/>
    <w:rPr>
      <w:rFonts w:asciiTheme="minorHAnsi" w:hAnsiTheme="minorHAnsi" w:eastAsiaTheme="minorEastAsia" w:cstheme="minorBidi"/>
      <w:b/>
      <w:bCs/>
      <w:kern w:val="2"/>
      <w:sz w:val="28"/>
      <w:szCs w:val="28"/>
    </w:rPr>
  </w:style>
  <w:style w:type="character" w:customStyle="1" w:styleId="45">
    <w:name w:val="标题 1 字符"/>
    <w:basedOn w:val="26"/>
    <w:link w:val="2"/>
    <w:qFormat/>
    <w:uiPriority w:val="0"/>
    <w:rPr>
      <w:rFonts w:eastAsia="黑体" w:asciiTheme="majorHAnsi" w:hAnsiTheme="majorHAnsi" w:cstheme="majorBidi"/>
      <w:color w:val="2E54A1" w:themeColor="accent1" w:themeShade="BF"/>
      <w:kern w:val="2"/>
      <w:sz w:val="32"/>
      <w:szCs w:val="40"/>
      <w:lang w:eastAsia="en-US"/>
    </w:rPr>
  </w:style>
  <w:style w:type="character" w:customStyle="1" w:styleId="46">
    <w:name w:val="标题 6 字符"/>
    <w:basedOn w:val="26"/>
    <w:link w:val="8"/>
    <w:semiHidden/>
    <w:qFormat/>
    <w:uiPriority w:val="0"/>
    <w:rPr>
      <w:rFonts w:ascii="Cambria" w:hAnsi="Cambria"/>
      <w:bCs/>
      <w:kern w:val="2"/>
      <w:sz w:val="24"/>
      <w:szCs w:val="24"/>
    </w:rPr>
  </w:style>
  <w:style w:type="character" w:customStyle="1" w:styleId="47">
    <w:name w:val="标题 7 字符"/>
    <w:basedOn w:val="26"/>
    <w:link w:val="10"/>
    <w:semiHidden/>
    <w:qFormat/>
    <w:uiPriority w:val="0"/>
    <w:rPr>
      <w:rFonts w:asciiTheme="minorEastAsia" w:hAnsiTheme="minorEastAsia" w:eastAsiaTheme="minorEastAsia" w:cstheme="minorEastAsia"/>
      <w:b/>
      <w:kern w:val="2"/>
      <w:sz w:val="24"/>
      <w:szCs w:val="28"/>
    </w:rPr>
  </w:style>
  <w:style w:type="character" w:customStyle="1" w:styleId="48">
    <w:name w:val="标题 8 字符"/>
    <w:basedOn w:val="26"/>
    <w:link w:val="11"/>
    <w:semiHidden/>
    <w:qFormat/>
    <w:uiPriority w:val="0"/>
    <w:rPr>
      <w:rFonts w:asciiTheme="majorHAnsi" w:hAnsiTheme="majorHAnsi" w:eastAsiaTheme="majorEastAsia" w:cstheme="majorBidi"/>
      <w:snapToGrid w:val="0"/>
      <w:color w:val="000000"/>
      <w:kern w:val="2"/>
      <w:sz w:val="28"/>
      <w:szCs w:val="24"/>
      <w:lang w:eastAsia="en-US"/>
    </w:rPr>
  </w:style>
  <w:style w:type="character" w:customStyle="1" w:styleId="49">
    <w:name w:val="标题 9 字符"/>
    <w:basedOn w:val="26"/>
    <w:link w:val="12"/>
    <w:semiHidden/>
    <w:qFormat/>
    <w:uiPriority w:val="0"/>
    <w:rPr>
      <w:rFonts w:ascii="Arial" w:hAnsi="Arial" w:eastAsia="黑体" w:cstheme="minorEastAsia"/>
      <w:kern w:val="2"/>
      <w:sz w:val="21"/>
      <w:szCs w:val="28"/>
    </w:rPr>
  </w:style>
  <w:style w:type="paragraph" w:customStyle="1" w:styleId="50">
    <w:name w:val="Table Text"/>
    <w:basedOn w:val="1"/>
    <w:semiHidden/>
    <w:qFormat/>
    <w:uiPriority w:val="0"/>
    <w:rPr>
      <w:rFonts w:ascii="宋体" w:hAnsi="宋体" w:eastAsia="宋体" w:cs="宋体"/>
      <w:sz w:val="24"/>
      <w:szCs w:val="24"/>
      <w:lang w:val="en-US" w:eastAsia="en-US" w:bidi="ar-SA"/>
    </w:rPr>
  </w:style>
  <w:style w:type="table" w:customStyle="1" w:styleId="51">
    <w:name w:val="Table Normal"/>
    <w:semiHidden/>
    <w:unhideWhenUsed/>
    <w:qFormat/>
    <w:uiPriority w:val="0"/>
    <w:tblPr>
      <w:tblCellMar>
        <w:top w:w="0" w:type="dxa"/>
        <w:left w:w="0" w:type="dxa"/>
        <w:bottom w:w="0" w:type="dxa"/>
        <w:right w:w="0" w:type="dxa"/>
      </w:tblCellMar>
    </w:tblPr>
  </w:style>
  <w:style w:type="character" w:customStyle="1" w:styleId="52">
    <w:name w:val="hover"/>
    <w:basedOn w:val="26"/>
    <w:qFormat/>
    <w:uiPriority w:val="0"/>
    <w:rPr>
      <w:color w:val="2590EB"/>
    </w:rPr>
  </w:style>
  <w:style w:type="character" w:customStyle="1" w:styleId="53">
    <w:name w:val="hover1"/>
    <w:basedOn w:val="26"/>
    <w:qFormat/>
    <w:uiPriority w:val="0"/>
    <w:rPr>
      <w:color w:val="2590EB"/>
    </w:rPr>
  </w:style>
  <w:style w:type="character" w:customStyle="1" w:styleId="54">
    <w:name w:val="hover2"/>
    <w:basedOn w:val="26"/>
    <w:qFormat/>
    <w:uiPriority w:val="0"/>
  </w:style>
  <w:style w:type="character" w:customStyle="1" w:styleId="55">
    <w:name w:val="mini-outputtext1"/>
    <w:basedOn w:val="26"/>
    <w:qFormat/>
    <w:uiPriority w:val="0"/>
  </w:style>
  <w:style w:type="character" w:customStyle="1" w:styleId="56">
    <w:name w:val="hover3"/>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18564</Words>
  <Characters>19961</Characters>
  <Lines>223</Lines>
  <Paragraphs>63</Paragraphs>
  <TotalTime>0</TotalTime>
  <ScaleCrop>false</ScaleCrop>
  <LinksUpToDate>false</LinksUpToDate>
  <CharactersWithSpaces>20376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2024-12-04T00:50:00Z</dcterms:created>
  <dc:creator>又又</dc:creator>
  <cp:lastModifiedBy>又又</cp:lastModifiedBy>
  <cp:lastPrinted>2025-10-17T08:30:00Z</cp:lastPrinted>
  <dcterms:modified xsi:type="dcterms:W3CDTF">2025-11-07T07:27:26Z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87A9A49EF5B94FAD8757664A9AE0D053_13</vt:lpwstr>
  </property>
  <property fmtid="{D5CDD505-2E9C-101B-9397-08002B2CF9AE}" pid="4" name="KSOTemplateDocerSaveRecord">
    <vt:lpwstr>eyJoZGlkIjoiNmQ2NTM3YzVmZDZkMTVjM2I0MTEyMjhkNTA3ZTQ1ODgiLCJ1c2VySWQiOiIzNDk5MDEzOTAifQ==</vt:lpwstr>
  </property>
</Properties>
</file>