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E69AF4A">
      <w:pPr>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5273040" cy="7967980"/>
            <wp:effectExtent l="0" t="0" r="3810" b="13970"/>
            <wp:docPr id="4" name="图片 4" descr="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_01"/>
                    <pic:cNvPicPr>
                      <a:picLocks noChangeAspect="1"/>
                    </pic:cNvPicPr>
                  </pic:nvPicPr>
                  <pic:blipFill>
                    <a:blip r:embed="rId5"/>
                    <a:stretch>
                      <a:fillRect/>
                    </a:stretch>
                  </pic:blipFill>
                  <pic:spPr>
                    <a:xfrm>
                      <a:off x="0" y="0"/>
                      <a:ext cx="5273040" cy="7967980"/>
                    </a:xfrm>
                    <a:prstGeom prst="rect">
                      <a:avLst/>
                    </a:prstGeom>
                  </pic:spPr>
                </pic:pic>
              </a:graphicData>
            </a:graphic>
          </wp:inline>
        </w:drawing>
      </w:r>
    </w:p>
    <w:p w14:paraId="4C1CD46E">
      <w:pPr>
        <w:rPr>
          <w:rFonts w:hint="eastAsia" w:ascii="Times New Roman" w:hAnsi="Times New Roman" w:eastAsia="宋体" w:cs="Times New Roman"/>
          <w:color w:val="auto"/>
          <w:sz w:val="24"/>
          <w:szCs w:val="24"/>
          <w:highlight w:val="none"/>
          <w:lang w:eastAsia="zh-CN"/>
        </w:rPr>
      </w:pPr>
    </w:p>
    <w:p w14:paraId="5DD743D4">
      <w:pPr>
        <w:rPr>
          <w:rFonts w:hint="eastAsia" w:ascii="Times New Roman" w:hAnsi="Times New Roman" w:eastAsia="宋体" w:cs="Times New Roman"/>
          <w:color w:val="auto"/>
          <w:sz w:val="24"/>
          <w:szCs w:val="24"/>
          <w:highlight w:val="none"/>
          <w:lang w:eastAsia="zh-CN"/>
        </w:rPr>
      </w:pPr>
    </w:p>
    <w:p w14:paraId="398D2240">
      <w:pPr>
        <w:rPr>
          <w:rFonts w:hint="eastAsia" w:ascii="Times New Roman" w:hAnsi="Times New Roman" w:eastAsia="宋体" w:cs="Times New Roman"/>
          <w:color w:val="auto"/>
          <w:sz w:val="24"/>
          <w:szCs w:val="24"/>
          <w:highlight w:val="none"/>
          <w:lang w:eastAsia="zh-CN"/>
        </w:rPr>
      </w:pPr>
    </w:p>
    <w:tbl>
      <w:tblPr>
        <w:tblStyle w:val="4"/>
        <w:tblW w:w="97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5"/>
        <w:gridCol w:w="6888"/>
        <w:gridCol w:w="950"/>
      </w:tblGrid>
      <w:tr w14:paraId="12AA2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trPr>
        <w:tc>
          <w:tcPr>
            <w:tcW w:w="9793" w:type="dxa"/>
            <w:gridSpan w:val="3"/>
            <w:tcBorders>
              <w:top w:val="single" w:color="auto" w:sz="4" w:space="0"/>
              <w:left w:val="single" w:color="auto" w:sz="4" w:space="0"/>
              <w:bottom w:val="single" w:color="auto" w:sz="4" w:space="0"/>
              <w:right w:val="single" w:color="auto" w:sz="4" w:space="0"/>
            </w:tcBorders>
            <w:vAlign w:val="center"/>
          </w:tcPr>
          <w:p w14:paraId="4624F3CF">
            <w:pPr>
              <w:spacing w:line="440" w:lineRule="exact"/>
              <w:jc w:val="center"/>
              <w:rPr>
                <w:rFonts w:hint="default" w:ascii="Times New Roman" w:hAnsi="Times New Roman" w:eastAsia="宋体" w:cs="Times New Roman"/>
                <w:color w:val="auto"/>
                <w:sz w:val="15"/>
                <w:szCs w:val="15"/>
                <w:highlight w:val="none"/>
              </w:rPr>
            </w:pPr>
            <w:r>
              <w:rPr>
                <w:rFonts w:hint="default" w:ascii="Times New Roman" w:hAnsi="Times New Roman" w:eastAsia="宋体" w:cs="Times New Roman"/>
                <w:color w:val="auto"/>
                <w:szCs w:val="21"/>
                <w:highlight w:val="none"/>
              </w:rPr>
              <w:t>备件、专用工具、耗材等</w:t>
            </w:r>
          </w:p>
        </w:tc>
      </w:tr>
      <w:tr w14:paraId="4F249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8843" w:type="dxa"/>
            <w:gridSpan w:val="2"/>
            <w:tcBorders>
              <w:top w:val="single" w:color="auto" w:sz="4" w:space="0"/>
              <w:left w:val="single" w:color="auto" w:sz="4" w:space="0"/>
              <w:right w:val="single" w:color="auto" w:sz="4" w:space="0"/>
            </w:tcBorders>
            <w:vAlign w:val="center"/>
          </w:tcPr>
          <w:p w14:paraId="026BD930">
            <w:pPr>
              <w:jc w:val="center"/>
              <w:rPr>
                <w:rFonts w:hint="default" w:ascii="Times New Roman" w:hAnsi="Times New Roman" w:eastAsia="宋体" w:cs="Times New Roman"/>
                <w:bCs/>
                <w:color w:val="auto"/>
                <w:szCs w:val="21"/>
                <w:highlight w:val="none"/>
                <w:lang w:val="en-US" w:eastAsia="zh-CN"/>
              </w:rPr>
            </w:pPr>
            <w:r>
              <w:rPr>
                <w:rFonts w:hint="default" w:ascii="Times New Roman" w:hAnsi="Times New Roman" w:eastAsia="宋体" w:cs="Times New Roman"/>
                <w:bCs/>
                <w:color w:val="auto"/>
                <w:szCs w:val="21"/>
                <w:highlight w:val="none"/>
                <w:lang w:val="en-US" w:eastAsia="zh-CN"/>
              </w:rPr>
              <w:t>总价已含</w:t>
            </w:r>
          </w:p>
        </w:tc>
        <w:tc>
          <w:tcPr>
            <w:tcW w:w="950" w:type="dxa"/>
            <w:tcBorders>
              <w:top w:val="single" w:color="auto" w:sz="4" w:space="0"/>
              <w:left w:val="single" w:color="auto" w:sz="4" w:space="0"/>
              <w:bottom w:val="single" w:color="auto" w:sz="4" w:space="0"/>
              <w:right w:val="single" w:color="auto" w:sz="4" w:space="0"/>
            </w:tcBorders>
            <w:vAlign w:val="center"/>
          </w:tcPr>
          <w:p w14:paraId="2A9B95E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签订合同后</w:t>
            </w:r>
            <w:r>
              <w:rPr>
                <w:rFonts w:hint="default" w:ascii="Times New Roman" w:hAnsi="Times New Roman" w:eastAsia="宋体" w:cs="Times New Roman"/>
                <w:color w:val="auto"/>
                <w:szCs w:val="21"/>
                <w:highlight w:val="none"/>
                <w:lang w:val="en-US" w:eastAsia="zh-CN"/>
              </w:rPr>
              <w:t>30</w:t>
            </w:r>
            <w:r>
              <w:rPr>
                <w:rFonts w:hint="default" w:ascii="Times New Roman" w:hAnsi="Times New Roman" w:eastAsia="宋体" w:cs="Times New Roman"/>
                <w:color w:val="auto"/>
                <w:szCs w:val="21"/>
                <w:highlight w:val="none"/>
              </w:rPr>
              <w:t>天内</w:t>
            </w:r>
          </w:p>
        </w:tc>
      </w:tr>
      <w:tr w14:paraId="0A97D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1955" w:type="dxa"/>
            <w:tcBorders>
              <w:top w:val="single" w:color="auto" w:sz="4" w:space="0"/>
              <w:left w:val="single" w:color="auto" w:sz="4" w:space="0"/>
              <w:bottom w:val="single" w:color="auto" w:sz="4" w:space="0"/>
              <w:right w:val="single" w:color="auto" w:sz="4" w:space="0"/>
            </w:tcBorders>
            <w:vAlign w:val="center"/>
          </w:tcPr>
          <w:p w14:paraId="28051A5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合计</w:t>
            </w:r>
          </w:p>
        </w:tc>
        <w:tc>
          <w:tcPr>
            <w:tcW w:w="6888" w:type="dxa"/>
            <w:tcBorders>
              <w:top w:val="single" w:color="auto" w:sz="4" w:space="0"/>
              <w:left w:val="single" w:color="auto" w:sz="4" w:space="0"/>
              <w:bottom w:val="single" w:color="auto" w:sz="4" w:space="0"/>
              <w:right w:val="single" w:color="auto" w:sz="4" w:space="0"/>
            </w:tcBorders>
            <w:vAlign w:val="center"/>
          </w:tcPr>
          <w:p w14:paraId="66D17039">
            <w:pPr>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color w:val="auto"/>
                <w:szCs w:val="21"/>
                <w:highlight w:val="none"/>
              </w:rPr>
              <w:t>人民币大写：</w:t>
            </w:r>
            <w:r>
              <w:rPr>
                <w:rFonts w:hint="default" w:ascii="Times New Roman" w:hAnsi="Times New Roman" w:eastAsia="宋体" w:cs="Times New Roman"/>
                <w:color w:val="auto"/>
                <w:szCs w:val="21"/>
                <w:highlight w:val="none"/>
                <w:lang w:val="en-US" w:eastAsia="zh-CN"/>
              </w:rPr>
              <w:t>肆佰肆拾陆万玖仟捌佰元整</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val="en-US" w:eastAsia="zh-CN"/>
              </w:rPr>
              <w:t>4469800.00</w:t>
            </w:r>
            <w:r>
              <w:rPr>
                <w:rFonts w:hint="default" w:ascii="Times New Roman" w:hAnsi="Times New Roman" w:eastAsia="宋体" w:cs="Times New Roman"/>
                <w:color w:val="auto"/>
                <w:szCs w:val="21"/>
                <w:highlight w:val="none"/>
              </w:rPr>
              <w:t>元）</w:t>
            </w:r>
          </w:p>
        </w:tc>
        <w:tc>
          <w:tcPr>
            <w:tcW w:w="950" w:type="dxa"/>
            <w:tcBorders>
              <w:top w:val="single" w:color="auto" w:sz="4" w:space="0"/>
              <w:left w:val="single" w:color="auto" w:sz="4" w:space="0"/>
              <w:bottom w:val="single" w:color="auto" w:sz="4" w:space="0"/>
              <w:right w:val="single" w:color="auto" w:sz="4" w:space="0"/>
            </w:tcBorders>
          </w:tcPr>
          <w:p w14:paraId="0BCB2003">
            <w:pPr>
              <w:jc w:val="center"/>
              <w:rPr>
                <w:rFonts w:hint="default" w:ascii="Times New Roman" w:hAnsi="Times New Roman" w:eastAsia="宋体" w:cs="Times New Roman"/>
                <w:b/>
                <w:bCs/>
                <w:color w:val="auto"/>
                <w:szCs w:val="21"/>
                <w:highlight w:val="none"/>
              </w:rPr>
            </w:pPr>
          </w:p>
        </w:tc>
      </w:tr>
      <w:tr w14:paraId="33BDA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955" w:type="dxa"/>
            <w:tcBorders>
              <w:top w:val="single" w:color="auto" w:sz="4" w:space="0"/>
              <w:left w:val="single" w:color="auto" w:sz="4" w:space="0"/>
              <w:bottom w:val="single" w:color="auto" w:sz="4" w:space="0"/>
              <w:right w:val="single" w:color="auto" w:sz="4" w:space="0"/>
            </w:tcBorders>
            <w:vAlign w:val="center"/>
          </w:tcPr>
          <w:p w14:paraId="7EFC541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备注</w:t>
            </w:r>
          </w:p>
        </w:tc>
        <w:tc>
          <w:tcPr>
            <w:tcW w:w="6888" w:type="dxa"/>
            <w:tcBorders>
              <w:top w:val="single" w:color="auto" w:sz="4" w:space="0"/>
              <w:left w:val="single" w:color="auto" w:sz="4" w:space="0"/>
              <w:bottom w:val="single" w:color="auto" w:sz="4" w:space="0"/>
              <w:right w:val="single" w:color="auto" w:sz="4" w:space="0"/>
            </w:tcBorders>
            <w:vAlign w:val="center"/>
          </w:tcPr>
          <w:p w14:paraId="3131F15C">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无</w:t>
            </w:r>
          </w:p>
        </w:tc>
        <w:tc>
          <w:tcPr>
            <w:tcW w:w="950" w:type="dxa"/>
            <w:tcBorders>
              <w:top w:val="single" w:color="auto" w:sz="4" w:space="0"/>
              <w:left w:val="single" w:color="auto" w:sz="4" w:space="0"/>
              <w:bottom w:val="single" w:color="auto" w:sz="4" w:space="0"/>
              <w:right w:val="single" w:color="auto" w:sz="4" w:space="0"/>
            </w:tcBorders>
          </w:tcPr>
          <w:p w14:paraId="64052086">
            <w:pPr>
              <w:jc w:val="center"/>
              <w:rPr>
                <w:rFonts w:hint="default" w:ascii="Times New Roman" w:hAnsi="Times New Roman" w:eastAsia="宋体" w:cs="Times New Roman"/>
                <w:b/>
                <w:bCs/>
                <w:color w:val="auto"/>
                <w:szCs w:val="21"/>
                <w:highlight w:val="none"/>
              </w:rPr>
            </w:pPr>
          </w:p>
        </w:tc>
      </w:tr>
    </w:tbl>
    <w:p w14:paraId="0DC30B7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本合同（清单1+清单2）总金额人民币大写：</w:t>
      </w:r>
      <w:r>
        <w:rPr>
          <w:rFonts w:hint="default" w:ascii="Times New Roman" w:hAnsi="Times New Roman" w:eastAsia="宋体" w:cs="Times New Roman"/>
          <w:b/>
          <w:color w:val="auto"/>
          <w:sz w:val="24"/>
          <w:szCs w:val="24"/>
          <w:highlight w:val="none"/>
          <w:u w:val="single"/>
          <w:lang w:val="en-US" w:eastAsia="zh-CN"/>
        </w:rPr>
        <w:t>肆佰肆拾陆万玖仟捌佰元整</w:t>
      </w:r>
      <w:r>
        <w:rPr>
          <w:rFonts w:hint="default" w:ascii="Times New Roman" w:hAnsi="Times New Roman" w:eastAsia="宋体" w:cs="Times New Roman"/>
          <w:color w:val="auto"/>
          <w:sz w:val="24"/>
          <w:szCs w:val="24"/>
          <w:highlight w:val="none"/>
        </w:rPr>
        <w:t>（RMB：</w:t>
      </w:r>
      <w:r>
        <w:rPr>
          <w:rFonts w:hint="default" w:ascii="Times New Roman" w:hAnsi="Times New Roman" w:eastAsia="宋体" w:cs="Times New Roman"/>
          <w:b/>
          <w:color w:val="auto"/>
          <w:sz w:val="24"/>
          <w:szCs w:val="24"/>
          <w:highlight w:val="none"/>
          <w:u w:val="single"/>
          <w:lang w:val="en-US" w:eastAsia="zh-CN"/>
        </w:rPr>
        <w:t>4469800.00</w:t>
      </w:r>
      <w:r>
        <w:rPr>
          <w:rFonts w:hint="default" w:ascii="Times New Roman" w:hAnsi="Times New Roman" w:eastAsia="宋体" w:cs="Times New Roman"/>
          <w:b/>
          <w:color w:val="auto"/>
          <w:sz w:val="24"/>
          <w:szCs w:val="24"/>
          <w:highlight w:val="none"/>
          <w:u w:val="single"/>
        </w:rPr>
        <w:t>元</w:t>
      </w:r>
      <w:r>
        <w:rPr>
          <w:rFonts w:hint="default" w:ascii="Times New Roman" w:hAnsi="Times New Roman" w:eastAsia="宋体" w:cs="Times New Roman"/>
          <w:color w:val="auto"/>
          <w:sz w:val="24"/>
          <w:szCs w:val="24"/>
          <w:highlight w:val="none"/>
        </w:rPr>
        <w:t>）。</w:t>
      </w:r>
    </w:p>
    <w:p w14:paraId="0E9ABA55">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 本合同总金额为货物从生产厂家至河南中医药大学校内甲方指定地点总价。包括：货物和附属装置、备品备件、专用工具、安装调试、培训、运输、保险、验收检测费、各类税费及相关技术服务费用和验收合格之前及保修期与备品备件等为履行合同发生的所有含税费用。</w:t>
      </w:r>
    </w:p>
    <w:p w14:paraId="60EAFEE8">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 乙方负责办理合同所涉及的进口货物海关免税手续，甲方协助乙方办理进口免税相关事项，提供与其享受免关税待遇相关的证明文件资料，费用已包括在合同总金额内。</w:t>
      </w:r>
    </w:p>
    <w:p w14:paraId="3241F4A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 本合同执行期间合同总金额不变。甲方无须另向乙方支付本合同规定之外的其他任何费用。</w:t>
      </w:r>
    </w:p>
    <w:p w14:paraId="27548E5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 乙方所供货物若与合同要求不相符时，甲方有权拒收，并拒付该部分货物的货款。</w:t>
      </w:r>
    </w:p>
    <w:p w14:paraId="71E5F60C">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 履约保证金：</w:t>
      </w:r>
    </w:p>
    <w:p w14:paraId="1E1D2505">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双方签订合同前乙方按招标文件要求缴纳中标价（成交价）5%作为履约保证金，若乙方未履行合同或履行合同不符合要求的，则履约保证金不予退还；若乙方履行合同，货物经验收合格无质量问题，甲方无息退还履约保证金（凭收款收据）。</w:t>
      </w:r>
    </w:p>
    <w:p w14:paraId="5F21F1A1">
      <w:pPr>
        <w:spacing w:line="360" w:lineRule="auto"/>
        <w:ind w:left="479" w:leftChars="228"/>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交纳方式：中标人在领取中标通知书后签订合同前将履约保证金汇（存）入采购方指定银行帐户：</w:t>
      </w:r>
    </w:p>
    <w:p w14:paraId="343F8BE6">
      <w:pPr>
        <w:spacing w:line="324"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开户名称：河南中医药大学</w:t>
      </w:r>
    </w:p>
    <w:p w14:paraId="04E6CB4D">
      <w:pPr>
        <w:spacing w:line="324"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账  号：1702020609200014257</w:t>
      </w:r>
    </w:p>
    <w:p w14:paraId="25120D29">
      <w:pPr>
        <w:spacing w:line="324"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开户行：工商银行花园路支行（请注明中标通知书中的合同编号）</w:t>
      </w:r>
    </w:p>
    <w:p w14:paraId="408F9C9C">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二、货物质量标准</w:t>
      </w:r>
    </w:p>
    <w:p w14:paraId="6077E7C8">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 乙方提供的货物必须符合中华人民共和国国家相关标准、行业强制性标准及环保要求。同时技术指标必须与乙方投标文件所陈述的指标保持一致。用于临床的医疗仪器必须有有效的医疗器械注册证。</w:t>
      </w:r>
    </w:p>
    <w:p w14:paraId="7303DF0F">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乙方提供的货物必须为全新的、未使用过的原厂原包装产品（含零部件、配件、随机工具、技术文件等），且进货渠道合法。</w:t>
      </w:r>
    </w:p>
    <w:p w14:paraId="769148D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 乙方提供的货物必须包装外观完好、无破损，货物洁净完好、无划痕、无凹陷、无退色、无锈迹。</w:t>
      </w:r>
    </w:p>
    <w:p w14:paraId="3EA567C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 乙方提供的货物不符合合同规定的质量要求的，甲方有权拒绝接受该货物，乙方应更换被拒绝的货物，并达到合同规定的质量要求，所造成的损失由乙方承担。必要时甲方有权解除合同。</w:t>
      </w:r>
    </w:p>
    <w:p w14:paraId="6A8A41BC">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 因货物的质量问题发生争议，由河南省商检部门进行质量鉴定。货物符合质量标准的，鉴定费由甲方承担；货物不符合质量标准的，鉴定费由乙方承担。</w:t>
      </w:r>
    </w:p>
    <w:p w14:paraId="5508B558">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三、货物包装、交货</w:t>
      </w:r>
    </w:p>
    <w:p w14:paraId="4A21C7F6">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 包装</w:t>
      </w:r>
    </w:p>
    <w:p w14:paraId="0D00FDCA">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⑴ 合同货物的包装必须与运输方式相适应，应有良好的防湿、防锈、防潮、防雨、防腐及防碰撞的措施。凡由于不适当的包装而造成货物在运输过程中有任何损坏、丢失等由乙方负责。</w:t>
      </w:r>
    </w:p>
    <w:p w14:paraId="7A14E48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⑵ 包装应足以承受整个过程中的运输、转运、装卸、储存等，充分考虑到运输途中的各种情况（如暴露于恶劣气候等），以及露天存放的需要。</w:t>
      </w:r>
    </w:p>
    <w:p w14:paraId="0E9101F1">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交货</w:t>
      </w:r>
    </w:p>
    <w:p w14:paraId="6C0432D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⑴ 乙方交货时间：合同生效后</w:t>
      </w:r>
      <w:r>
        <w:rPr>
          <w:rFonts w:hint="default" w:ascii="Times New Roman" w:hAnsi="Times New Roman" w:eastAsia="宋体" w:cs="Times New Roman"/>
          <w:color w:val="auto"/>
          <w:sz w:val="24"/>
          <w:szCs w:val="24"/>
          <w:highlight w:val="none"/>
          <w:lang w:val="en-US" w:eastAsia="zh-CN"/>
        </w:rPr>
        <w:t>30</w:t>
      </w:r>
      <w:r>
        <w:rPr>
          <w:rFonts w:hint="default" w:ascii="Times New Roman" w:hAnsi="Times New Roman" w:eastAsia="宋体" w:cs="Times New Roman"/>
          <w:color w:val="auto"/>
          <w:sz w:val="24"/>
          <w:szCs w:val="24"/>
          <w:highlight w:val="none"/>
        </w:rPr>
        <w:t>日内全部交货。交货完毕后及时提交货物验收申请（货物经验收合格的，交货日期以甲方收到乙方验收申请函日期为准；验收不合格的，交货日期以实际验收合格日期为准）。即在</w:t>
      </w:r>
      <w:r>
        <w:rPr>
          <w:rFonts w:hint="default" w:ascii="Times New Roman" w:hAnsi="Times New Roman" w:eastAsia="宋体" w:cs="Times New Roman"/>
          <w:color w:val="auto"/>
          <w:sz w:val="24"/>
          <w:szCs w:val="24"/>
          <w:highlight w:val="none"/>
          <w:u w:val="single"/>
          <w:lang w:val="en-US" w:eastAsia="zh-CN"/>
        </w:rPr>
        <w:t xml:space="preserve">      </w:t>
      </w:r>
      <w:r>
        <w:rPr>
          <w:rFonts w:hint="default" w:ascii="Times New Roman" w:hAnsi="Times New Roman" w:eastAsia="宋体" w:cs="Times New Roman"/>
          <w:color w:val="auto"/>
          <w:sz w:val="24"/>
          <w:szCs w:val="24"/>
          <w:highlight w:val="none"/>
        </w:rPr>
        <w:t>年</w:t>
      </w:r>
      <w:r>
        <w:rPr>
          <w:rFonts w:hint="default" w:ascii="Times New Roman" w:hAnsi="Times New Roman" w:eastAsia="宋体" w:cs="Times New Roman"/>
          <w:color w:val="auto"/>
          <w:sz w:val="24"/>
          <w:szCs w:val="24"/>
          <w:highlight w:val="none"/>
          <w:u w:val="single"/>
          <w:lang w:val="en-US" w:eastAsia="zh-CN"/>
        </w:rPr>
        <w:t xml:space="preserve">  </w:t>
      </w:r>
      <w:r>
        <w:rPr>
          <w:rFonts w:hint="default" w:ascii="Times New Roman" w:hAnsi="Times New Roman" w:eastAsia="宋体" w:cs="Times New Roman"/>
          <w:color w:val="auto"/>
          <w:sz w:val="24"/>
          <w:szCs w:val="24"/>
          <w:highlight w:val="none"/>
        </w:rPr>
        <w:t>月</w:t>
      </w:r>
      <w:r>
        <w:rPr>
          <w:rFonts w:hint="default" w:ascii="Times New Roman" w:hAnsi="Times New Roman" w:eastAsia="宋体" w:cs="Times New Roman"/>
          <w:color w:val="auto"/>
          <w:sz w:val="24"/>
          <w:szCs w:val="24"/>
          <w:highlight w:val="none"/>
          <w:u w:val="single"/>
          <w:lang w:val="en-US" w:eastAsia="zh-CN"/>
        </w:rPr>
        <w:t xml:space="preserve">  </w:t>
      </w:r>
      <w:r>
        <w:rPr>
          <w:rFonts w:hint="default" w:ascii="Times New Roman" w:hAnsi="Times New Roman" w:eastAsia="宋体" w:cs="Times New Roman"/>
          <w:color w:val="auto"/>
          <w:sz w:val="24"/>
          <w:szCs w:val="24"/>
          <w:highlight w:val="none"/>
        </w:rPr>
        <w:t>日前完成全部仪器设备的安装调试，并交付使用(如由于采购人的原因造成合同延迟签订或验收的，时间顺延)。乙方逾期交付物品，则每迟交一周货物应向甲方支付货款总额5%违约金，不足一周按一周计算。</w:t>
      </w:r>
    </w:p>
    <w:p w14:paraId="781E8BEF">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⑵ 根据所购货物情况，甲方确定是否在发货前对所供货物进行检查，以保证所发货物与合同一致。所需费用由乙方承担。</w:t>
      </w:r>
    </w:p>
    <w:p w14:paraId="46EB5486">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⑶ 乙方交货地点：河南中医药大学指定地点。</w:t>
      </w:r>
    </w:p>
    <w:p w14:paraId="4D166688">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⑷ 合同货物抵达甲方后，由甲乙双方一同清点货物数量，开箱检验表面状况，核对规格型号。并负责解决开箱检验清点发现的问题和赔偿。</w:t>
      </w:r>
    </w:p>
    <w:p w14:paraId="6F683EA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⑸ 乙方应将合同货物的产品序列号、用户手册、技术资料（包括详细装箱单、质量证书、设备说明书、使用手册和其它相关技术资料）及配件、随机工具等一并交付给甲方。</w:t>
      </w:r>
    </w:p>
    <w:p w14:paraId="0D3979CC">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⑹ 专用工具及备品、备件应分别包装，并在包装箱外加以注明其用处。</w:t>
      </w:r>
    </w:p>
    <w:p w14:paraId="71023FD4">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四、合同货物的安装、调试</w:t>
      </w:r>
    </w:p>
    <w:p w14:paraId="7E57951C">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 乙方负责合同项下货物的安装调试至能够正常开机使用，且与合同要求的各项技术指标一致，符合各项安全标准，一切费用由乙方负责。</w:t>
      </w:r>
    </w:p>
    <w:p w14:paraId="01003EFF">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乙方安装时须对各安装场地内的其它设备、设施有良好保护措施。</w:t>
      </w:r>
    </w:p>
    <w:p w14:paraId="017D7ECD">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五、安全责任</w:t>
      </w:r>
    </w:p>
    <w:p w14:paraId="467640DC">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乙方在安装、调试合同货物过程中要严格执行国家有关人身安全及防火安全的规定，做好各项防护措施，防止各类事故的发生，若造成人身伤害及货物损坏事故等，则由乙方负全部责任。</w:t>
      </w:r>
    </w:p>
    <w:p w14:paraId="41A31AB6">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六、货物的验收</w:t>
      </w:r>
    </w:p>
    <w:p w14:paraId="2944A118">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  在甲方验收前，乙方应提交合同货物验收报告、每台仪器设备制造厂商出具的明细装箱单、每台仪器设备制造厂商出具的出厂质量证书、每台仪器设备制造厂商出具的使用说明书。</w:t>
      </w:r>
    </w:p>
    <w:p w14:paraId="48E4DB8D">
      <w:pPr>
        <w:spacing w:line="360" w:lineRule="auto"/>
        <w:ind w:right="-82" w:rightChars="-39"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乙方应在甲方验收前，向甲方提供按本合同的技术规格、技术规范要求进行的测试报告和验收报告，验收以招投标文件、合同技术规格、产品相应的技术说明为标准。</w:t>
      </w:r>
    </w:p>
    <w:p w14:paraId="0EC79528">
      <w:pPr>
        <w:spacing w:line="360" w:lineRule="auto"/>
        <w:ind w:right="-82" w:rightChars="-39"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 合同货物（系统）交货（完工）并完成操作培训、粘贴条码，且正常运行后，甲方组织单位相关人员或第三方进行验收。验收应在甲乙双方共同参加下进行。</w:t>
      </w:r>
    </w:p>
    <w:p w14:paraId="19B1C659">
      <w:pPr>
        <w:spacing w:line="360" w:lineRule="auto"/>
        <w:ind w:right="-82" w:rightChars="-39"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 验收按国家有关规定、规范进行。验收时如发现所交付的货物有短装、次品、损坏或其它不符合本合同规定之情形者，甲方应做出详尽的现场记录，或由甲乙双方签署备忘录。此现场记录或备忘录可用作补充、缺失和更换损坏部件的有效证据。由此产生的有关费用由乙方承担。</w:t>
      </w:r>
    </w:p>
    <w:p w14:paraId="5412FB41">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 如果合同货物运输和安装调试过程中因事故造成货物短缺、损坏，乙方应及时安排换装，以保证合同货物安装调试的成功完成。换货的相关费用由乙方承担。</w:t>
      </w:r>
    </w:p>
    <w:p w14:paraId="773DCBE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 国内产品或合资厂的产品必须具备出厂合格证。</w:t>
      </w:r>
    </w:p>
    <w:p w14:paraId="18C4F86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 进口产品必须具备省级（或相当于省级）商检部门的检验证明，进口免税设备需要同时准备免税证明、报关单、外贸合同。</w:t>
      </w:r>
    </w:p>
    <w:p w14:paraId="5779340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 乙方保证合同项下提供的货物不侵犯任何第三方的专利、商标或版权。否则，乙方须承担对第三方的专利或版权的侵权责任并承担因此而发生的所有费用。</w:t>
      </w:r>
    </w:p>
    <w:p w14:paraId="5FCE7A89">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9. 合同货物验收未能通过的，乙方负责及时整改。若整改后仍未能合格的，甲方依法追究其经济及法律责任。</w:t>
      </w:r>
    </w:p>
    <w:p w14:paraId="0F3FD33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10. 验收合格后双方共同签署验收报告，验收合格日期以最后的签字日为准。</w:t>
      </w:r>
    </w:p>
    <w:p w14:paraId="1E9742C5">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七、培训</w:t>
      </w:r>
    </w:p>
    <w:p w14:paraId="2BE94C38">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乙方为甲方提供操作及维护培训，主要内容为货物的基本结构、性能、主要部件的构造及原理，日常使用操作、保养与管理，常见故障的排除，紧急情况的处理等，培训地点主要在货物安装现场或按甲乙双方协商安排。与培训相关的未尽事宜按招标文件的要求及投标文件中提供的方案执行。如需要可另附培训协议。</w:t>
      </w:r>
    </w:p>
    <w:p w14:paraId="301DD337">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八、 付款方式</w:t>
      </w:r>
    </w:p>
    <w:p w14:paraId="033CBAC7">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中标的货物安装调试，且正常运行后，甲方组织单位相关人员或第三方进行验收，验收合格后采购方支付合同价的总额。</w:t>
      </w:r>
    </w:p>
    <w:p w14:paraId="4BD616F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申请付款时必须提交以下文件和资料：1、资金支付申请书；2、由甲方签字的验收报告；3、教学、科研设备需开具增值税专用发票，其他货物、服务需开具增值税普通发票。</w:t>
      </w:r>
    </w:p>
    <w:p w14:paraId="6F3B13A9">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具体步骤：乙方填写《资金支付申请书》、开具抬头为甲方的发票，并送交甲方；甲方填写《验收报告》，乙方凭《资金支付申请书》和《验收报告》由甲方支付货款。</w:t>
      </w:r>
    </w:p>
    <w:p w14:paraId="486E31C1">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九、质保期限</w:t>
      </w:r>
    </w:p>
    <w:p w14:paraId="4677A097">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本合同货物整机免费质保期3</w:t>
      </w:r>
      <w:r>
        <w:rPr>
          <w:rFonts w:hint="default" w:ascii="Times New Roman" w:hAnsi="Times New Roman" w:eastAsia="宋体" w:cs="Times New Roman"/>
          <w:bCs/>
          <w:color w:val="auto"/>
          <w:sz w:val="24"/>
          <w:szCs w:val="24"/>
          <w:highlight w:val="none"/>
        </w:rPr>
        <w:t>年</w:t>
      </w:r>
      <w:r>
        <w:rPr>
          <w:rFonts w:hint="default" w:ascii="Times New Roman" w:hAnsi="Times New Roman" w:eastAsia="宋体" w:cs="Times New Roman"/>
          <w:color w:val="auto"/>
          <w:sz w:val="24"/>
          <w:szCs w:val="24"/>
          <w:highlight w:val="none"/>
        </w:rPr>
        <w:t>。质保期自甲乙双方在设备验收报告签字之日起计算。</w:t>
      </w:r>
    </w:p>
    <w:p w14:paraId="765894C6">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十、售后服务</w:t>
      </w:r>
      <w:r>
        <w:rPr>
          <w:rFonts w:hint="default" w:ascii="Times New Roman" w:hAnsi="Times New Roman" w:eastAsia="宋体" w:cs="Times New Roman"/>
          <w:b/>
          <w:color w:val="auto"/>
          <w:sz w:val="24"/>
          <w:szCs w:val="24"/>
          <w:highlight w:val="none"/>
        </w:rPr>
        <w:tab/>
      </w:r>
    </w:p>
    <w:p w14:paraId="3F505A8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Cs w:val="21"/>
          <w:highlight w:val="none"/>
        </w:rPr>
        <w:t xml:space="preserve"> </w:t>
      </w:r>
      <w:r>
        <w:rPr>
          <w:rFonts w:hint="default" w:ascii="Times New Roman" w:hAnsi="Times New Roman" w:eastAsia="宋体" w:cs="Times New Roman"/>
          <w:color w:val="auto"/>
          <w:sz w:val="24"/>
          <w:szCs w:val="24"/>
          <w:highlight w:val="none"/>
        </w:rPr>
        <w:t>乙方须指派专人负责与甲方联系售后服务事宜（联系人：</w:t>
      </w:r>
      <w:r>
        <w:rPr>
          <w:rFonts w:hint="default" w:ascii="Times New Roman" w:hAnsi="Times New Roman" w:eastAsia="宋体" w:cs="Times New Roman"/>
          <w:b/>
          <w:color w:val="auto"/>
          <w:sz w:val="24"/>
          <w:szCs w:val="24"/>
          <w:highlight w:val="none"/>
          <w:lang w:val="en-US" w:eastAsia="zh-CN"/>
        </w:rPr>
        <w:t>张远远</w:t>
      </w:r>
      <w:r>
        <w:rPr>
          <w:rFonts w:hint="default" w:ascii="Times New Roman" w:hAnsi="Times New Roman" w:eastAsia="宋体" w:cs="Times New Roman"/>
          <w:color w:val="auto"/>
          <w:sz w:val="24"/>
          <w:szCs w:val="24"/>
          <w:highlight w:val="none"/>
        </w:rPr>
        <w:t>，电话：</w:t>
      </w:r>
      <w:r>
        <w:rPr>
          <w:rFonts w:hint="default" w:ascii="Times New Roman" w:hAnsi="Times New Roman" w:eastAsia="宋体" w:cs="Times New Roman"/>
          <w:color w:val="auto"/>
          <w:sz w:val="24"/>
          <w:szCs w:val="24"/>
          <w:highlight w:val="none"/>
          <w:lang w:val="en-US" w:eastAsia="zh-CN"/>
        </w:rPr>
        <w:t>18625500985</w:t>
      </w:r>
      <w:r>
        <w:rPr>
          <w:rFonts w:hint="default" w:ascii="Times New Roman" w:hAnsi="Times New Roman" w:eastAsia="宋体" w:cs="Times New Roman"/>
          <w:color w:val="auto"/>
          <w:sz w:val="24"/>
          <w:szCs w:val="24"/>
          <w:highlight w:val="none"/>
        </w:rPr>
        <w:t xml:space="preserve">）。 </w:t>
      </w:r>
    </w:p>
    <w:p w14:paraId="08AEBF59">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质保期内，乙方负责对其提供的货物上门进行硬件维修、软件维护和升级等免费服务，甲方不再支付任何费用，但人为因素或自然灾害造成的损坏除外。</w:t>
      </w:r>
    </w:p>
    <w:p w14:paraId="32EF70E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 质保期内，乙方在接到甲方系统故障或问题告知后2小时内做出回应，48小时内到达现场排除故障。质保期内设备出现故障经乙方三次维修故障仍无法排除（包括但不限于不能达到质量标准、设备不能正常运行、影响甲方正常使用等），甲方有权要求乙方换货或退货。甲方要求换货的，更换货物后重新计算质保期；甲方要求退货的，乙方应退还甲方已支付的货款，并按照合同总额的20%向甲方支付违约金。</w:t>
      </w:r>
    </w:p>
    <w:p w14:paraId="26CC2BC3">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 质保期满后，乙方负责终身维修，维修需要更换零配件时，按出厂价收取，不再收取其他费用。2小时内做出回应，48小时内到达现场排除故障。乙方不定期免费提供仪器维护和进行软件升级和技术指导。质保期满后，乙方根据用户需要提供使用人员继续培训服务，费用视情况而定。</w:t>
      </w:r>
    </w:p>
    <w:p w14:paraId="01B78E64">
      <w:pPr>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十一、索赔</w:t>
      </w:r>
    </w:p>
    <w:p w14:paraId="79DE4EC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 甲方如对乙方所提供的货物有异议，甲方有权根据有关检验结果向乙方提出索赔。</w:t>
      </w:r>
    </w:p>
    <w:p w14:paraId="6081B1FD">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在合同执行期间，如果乙方对甲方提出的索赔和差异负有责任，乙方应按照甲方同意的下列一种或多种方式解决索赔事宜：</w:t>
      </w:r>
    </w:p>
    <w:p w14:paraId="6A962B9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⑴ 乙方同意退货，并按合同规定的同种货币将货款退还给甲方，并承担由此发生的一切损失和费用。</w:t>
      </w:r>
    </w:p>
    <w:p w14:paraId="1E12792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⑵ 根据货物低劣程度、损坏程度以及甲方所遭受损失的数额甲乙双方商定降低货物的价格。</w:t>
      </w:r>
    </w:p>
    <w:p w14:paraId="45BD887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⑶ 用符合规格、质量和性能要求的新零件、部件或货物来更换有缺陷的部分或修补缺陷的部分，乙方应承担一切费用和风险并负有甲方所发生的一切直接费用。同时，延长质量保证期。</w:t>
      </w:r>
    </w:p>
    <w:p w14:paraId="1329B7F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 如果在甲方发出索赔通知后</w:t>
      </w:r>
      <w:r>
        <w:rPr>
          <w:rFonts w:hint="default" w:ascii="Times New Roman" w:hAnsi="Times New Roman" w:eastAsia="宋体" w:cs="Times New Roman"/>
          <w:color w:val="auto"/>
          <w:sz w:val="24"/>
          <w:szCs w:val="24"/>
          <w:highlight w:val="none"/>
          <w:shd w:val="clear" w:color="auto" w:fill="FFFFFF"/>
        </w:rPr>
        <w:t>30</w:t>
      </w:r>
      <w:r>
        <w:rPr>
          <w:rFonts w:hint="default" w:ascii="Times New Roman" w:hAnsi="Times New Roman" w:eastAsia="宋体" w:cs="Times New Roman"/>
          <w:color w:val="auto"/>
          <w:sz w:val="24"/>
          <w:szCs w:val="24"/>
          <w:highlight w:val="none"/>
        </w:rPr>
        <w:t>天内，乙方未作答复，上述索赔应视为已被乙方接受。甲方将从合同款项中扣回索赔金额。如果这些金额不足以补偿索赔金额，甲方有权向乙方提出不足部分的补偿。</w:t>
      </w:r>
    </w:p>
    <w:p w14:paraId="4282698C">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十二、违约责任</w:t>
      </w:r>
    </w:p>
    <w:p w14:paraId="20180743">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 乙方未能交付货物，则向甲方支付合同总额20%的违约金，同时履约保证金不予退还。</w:t>
      </w:r>
    </w:p>
    <w:p w14:paraId="54DB624A">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乙方交付的货物与投标文件或合同不相符的，甲方有权拒收，乙方向甲方支付合同总额30%的违约金，同时履约保证金不予退还。</w:t>
      </w:r>
    </w:p>
    <w:p w14:paraId="7F569FA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 甲方无正当理由拒收货物，拒付货款的，则向乙方支付合同总额10%的违约金。</w:t>
      </w:r>
    </w:p>
    <w:p w14:paraId="3936A8CC">
      <w:pPr>
        <w:spacing w:line="48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 乙方逾期交付货物（交付最终时间以甲方收到乙方提交的申请验收函之日为准，但若货物经验收不合格的，交付最终时间以最终验收合格日期为准。），则每迟交一周货物应向甲方支付货款总额5%违约金（不可抗力除外），违约金乙方同意从货款中扣除，逾期超过四周，甲方有权解除本合同，乙方应向甲方支付合同总额20%的违约金，同时履约保证金不予退还”。</w:t>
      </w:r>
    </w:p>
    <w:p w14:paraId="00F674B4">
      <w:pPr>
        <w:spacing w:line="48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 甲方逾期付款，则每延迟一周付款甲方应向乙方支付货款总额0.5%违约金，违约金总额不超过合同总价的5%（不可抗力除外）。</w:t>
      </w:r>
    </w:p>
    <w:p w14:paraId="09E7C1A9">
      <w:pPr>
        <w:spacing w:line="48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 乙方必须按甲方指定地点按时交货，货物不符合质量标准的，乙方必须按时负责调换至合格为止，并承担由此产生的实际费用。不能按时调换至合格者，按不能交货处理。乙方若不能按时交货，甲方将不保证按时付款，所造成的一切后果由乙方承担。</w:t>
      </w:r>
    </w:p>
    <w:p w14:paraId="1AFD2094">
      <w:pPr>
        <w:spacing w:line="580" w:lineRule="exact"/>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7.若乙方提出换货，则按第十二条第2款执行。</w:t>
      </w:r>
    </w:p>
    <w:p w14:paraId="7BD784DF">
      <w:pPr>
        <w:spacing w:line="48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十三、争端的解决</w:t>
      </w:r>
    </w:p>
    <w:p w14:paraId="161162ED">
      <w:pPr>
        <w:spacing w:line="48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1.凡与本合同有关而引起的一切争执和分歧，甲乙双方通过友好协商解决或提交河南省政府采购管理部门调解，如协商或调解不成，任何一方可以向郑州仲裁委员会申请仲裁裁决。</w:t>
      </w:r>
    </w:p>
    <w:p w14:paraId="340CDC5D">
      <w:pPr>
        <w:spacing w:line="48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2.在进行仲裁期间，除提交仲裁机构的事项外，合同其他部分应继续履行。</w:t>
      </w:r>
    </w:p>
    <w:p w14:paraId="6C6EB373">
      <w:pPr>
        <w:spacing w:line="48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十四、</w:t>
      </w:r>
      <w:r>
        <w:rPr>
          <w:rFonts w:hint="default" w:ascii="Times New Roman" w:hAnsi="Times New Roman" w:eastAsia="宋体" w:cs="Times New Roman"/>
          <w:b/>
          <w:bCs/>
          <w:color w:val="auto"/>
          <w:sz w:val="24"/>
          <w:szCs w:val="24"/>
          <w:highlight w:val="none"/>
        </w:rPr>
        <w:t>合同组成</w:t>
      </w:r>
    </w:p>
    <w:p w14:paraId="6DE7308B">
      <w:pPr>
        <w:spacing w:line="48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t>本项目</w:t>
      </w:r>
      <w:r>
        <w:rPr>
          <w:rFonts w:hint="default" w:ascii="Times New Roman" w:hAnsi="Times New Roman" w:eastAsia="宋体" w:cs="Times New Roman"/>
          <w:color w:val="auto"/>
          <w:sz w:val="24"/>
          <w:szCs w:val="24"/>
          <w:highlight w:val="none"/>
        </w:rPr>
        <w:t>招标文件、投标文件及下列附件等均为本合同的有效组成部分，与本合同具有同样法律效力。</w:t>
      </w:r>
    </w:p>
    <w:p w14:paraId="593E48B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 中标通知书（附件1）；</w:t>
      </w:r>
    </w:p>
    <w:p w14:paraId="457991CA">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2. </w:t>
      </w:r>
      <w:r>
        <w:rPr>
          <w:rFonts w:hint="default" w:ascii="Times New Roman" w:hAnsi="Times New Roman" w:eastAsia="宋体" w:cs="Times New Roman"/>
          <w:bCs/>
          <w:color w:val="auto"/>
          <w:sz w:val="24"/>
          <w:szCs w:val="24"/>
          <w:highlight w:val="none"/>
        </w:rPr>
        <w:t>中标货物分项报价一览表</w:t>
      </w:r>
      <w:r>
        <w:rPr>
          <w:rFonts w:hint="default" w:ascii="Times New Roman" w:hAnsi="Times New Roman" w:eastAsia="宋体" w:cs="Times New Roman"/>
          <w:color w:val="auto"/>
          <w:sz w:val="24"/>
          <w:szCs w:val="24"/>
          <w:highlight w:val="none"/>
        </w:rPr>
        <w:t>（附件2）；</w:t>
      </w:r>
    </w:p>
    <w:p w14:paraId="63DADA6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 中标货物制造商</w:t>
      </w:r>
      <w:r>
        <w:rPr>
          <w:rFonts w:hint="default" w:ascii="Times New Roman" w:hAnsi="Times New Roman" w:eastAsia="宋体" w:cs="Times New Roman"/>
          <w:bCs/>
          <w:color w:val="auto"/>
          <w:sz w:val="24"/>
          <w:szCs w:val="24"/>
          <w:highlight w:val="none"/>
        </w:rPr>
        <w:t>配置清单</w:t>
      </w:r>
      <w:r>
        <w:rPr>
          <w:rFonts w:hint="default" w:ascii="Times New Roman" w:hAnsi="Times New Roman" w:eastAsia="宋体" w:cs="Times New Roman"/>
          <w:color w:val="auto"/>
          <w:sz w:val="24"/>
          <w:szCs w:val="24"/>
          <w:highlight w:val="none"/>
        </w:rPr>
        <w:t>（附件3）；</w:t>
      </w:r>
    </w:p>
    <w:p w14:paraId="5DF8BFEF">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4. 中标货物技术参数及配置表（附件4）； </w:t>
      </w:r>
    </w:p>
    <w:p w14:paraId="2AE827F7">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 供货商质量保障及服务表（附件5）；</w:t>
      </w:r>
    </w:p>
    <w:p w14:paraId="2751F70A">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 中标货物安装培训计划表（附件6）</w:t>
      </w:r>
    </w:p>
    <w:p w14:paraId="0E7EF8FA">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 中标货物制造商售后服务承诺（附件7）</w:t>
      </w:r>
    </w:p>
    <w:p w14:paraId="38224718">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8. 临床使用的医疗器械应提供一份以下复印件：①医疗器械注册证；②医疗器械产品注册登记表；③产品检验报告；④医疗器械生产许可证；⑤医疗器械经营企业许可证等复印件一份。并保证以上证件均在有效期内。</w:t>
      </w:r>
    </w:p>
    <w:p w14:paraId="160E2702">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十五、合同解除和终止</w:t>
      </w:r>
    </w:p>
    <w:p w14:paraId="37FB2F8D">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 甲乙双方各自完成合同规定的责任和义务，合同自然终止。</w:t>
      </w:r>
    </w:p>
    <w:p w14:paraId="3A5BF41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如果一方严重违反合同，并在收到对方违约通知书后在</w:t>
      </w:r>
      <w:r>
        <w:rPr>
          <w:rFonts w:hint="default" w:ascii="Times New Roman" w:hAnsi="Times New Roman" w:eastAsia="宋体" w:cs="Times New Roman"/>
          <w:color w:val="auto"/>
          <w:sz w:val="24"/>
          <w:szCs w:val="24"/>
          <w:highlight w:val="none"/>
          <w:shd w:val="clear" w:color="auto" w:fill="FFFFFF"/>
        </w:rPr>
        <w:t>30</w:t>
      </w:r>
      <w:r>
        <w:rPr>
          <w:rFonts w:hint="default" w:ascii="Times New Roman" w:hAnsi="Times New Roman" w:eastAsia="宋体" w:cs="Times New Roman"/>
          <w:color w:val="auto"/>
          <w:sz w:val="24"/>
          <w:szCs w:val="24"/>
          <w:highlight w:val="none"/>
        </w:rPr>
        <w:t>天内或在指定期限内仍未能改正违约的，另一方可立即终止本合同。</w:t>
      </w:r>
    </w:p>
    <w:p w14:paraId="74AEDA5C">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十六、其它</w:t>
      </w:r>
    </w:p>
    <w:p w14:paraId="72FBDF6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 本合同乙方不得将本合同全部或部分分包给他人。乙方在任何情况下都不得全部或部分转让其应履行的合同义务。</w:t>
      </w:r>
    </w:p>
    <w:p w14:paraId="43B54BB4">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 合同若有变更须经甲乙双方签字确认。</w:t>
      </w:r>
    </w:p>
    <w:p w14:paraId="1D260C8A">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3．在执行本合同的过程中，所有经双方签署确认的文件（包括会议纪要、补充协议、合同修改书、往来信函等）均为本合同的有效组成部分，其生效日期为双方签字盖章或确认之日期。</w:t>
      </w:r>
    </w:p>
    <w:p w14:paraId="57BBBCEF">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 本合同经甲方、乙方法定代表人或授权代理人签字、盖章后生效，生效日以最后一个签字日为准。</w:t>
      </w:r>
    </w:p>
    <w:p w14:paraId="584BFC82">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5.乙方承诺负责本合同货物的报废回收事宜。</w:t>
      </w:r>
    </w:p>
    <w:p w14:paraId="7622DF57">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 本合同一式十份，其中甲方六份、乙方二份，招标公司二份。</w:t>
      </w:r>
    </w:p>
    <w:p w14:paraId="32DEFDD3">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7. 本合同合计</w:t>
      </w:r>
      <w:r>
        <w:rPr>
          <w:rFonts w:hint="default" w:ascii="Times New Roman" w:hAnsi="Times New Roman" w:eastAsia="宋体" w:cs="Times New Roman"/>
          <w:b/>
          <w:bCs/>
          <w:color w:val="auto"/>
          <w:sz w:val="24"/>
          <w:szCs w:val="24"/>
          <w:highlight w:val="none"/>
          <w:u w:val="single"/>
          <w:lang w:val="en-US" w:eastAsia="zh-CN"/>
        </w:rPr>
        <w:t>38</w:t>
      </w:r>
      <w:r>
        <w:rPr>
          <w:rFonts w:hint="default" w:ascii="Times New Roman" w:hAnsi="Times New Roman" w:eastAsia="宋体" w:cs="Times New Roman"/>
          <w:color w:val="auto"/>
          <w:sz w:val="24"/>
          <w:szCs w:val="24"/>
          <w:highlight w:val="none"/>
        </w:rPr>
        <w:t>页A4纸张，缺页、缺签字日期之合同为无效合同。</w:t>
      </w:r>
    </w:p>
    <w:p w14:paraId="63568517">
      <w:pPr>
        <w:spacing w:line="360" w:lineRule="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color w:val="auto"/>
          <w:sz w:val="24"/>
          <w:szCs w:val="24"/>
          <w:highlight w:val="none"/>
        </w:rPr>
        <w:t xml:space="preserve">8. 合同正式签订后，乙方应在两日内向甲方提供合同网络备案所需要的电  </w:t>
      </w:r>
    </w:p>
    <w:p w14:paraId="093CA4EA">
      <w:pPr>
        <w:spacing w:line="360" w:lineRule="auto"/>
        <w:rPr>
          <w:rFonts w:hint="eastAsia" w:ascii="Times New Roman" w:hAnsi="Times New Roman" w:eastAsia="宋体" w:cs="Times New Roman"/>
          <w:b/>
          <w:color w:val="auto"/>
          <w:sz w:val="24"/>
          <w:szCs w:val="24"/>
          <w:highlight w:val="none"/>
          <w:lang w:eastAsia="zh-CN"/>
        </w:rPr>
      </w:pPr>
      <w:bookmarkStart w:id="0" w:name="_GoBack"/>
      <w:r>
        <w:rPr>
          <w:rFonts w:hint="eastAsia" w:ascii="Times New Roman" w:hAnsi="Times New Roman" w:eastAsia="宋体" w:cs="Times New Roman"/>
          <w:b/>
          <w:color w:val="auto"/>
          <w:sz w:val="24"/>
          <w:szCs w:val="24"/>
          <w:highlight w:val="none"/>
          <w:lang w:eastAsia="zh-CN"/>
        </w:rPr>
        <w:drawing>
          <wp:inline distT="0" distB="0" distL="114300" distR="114300">
            <wp:extent cx="5273040" cy="7515860"/>
            <wp:effectExtent l="0" t="0" r="3810" b="8890"/>
            <wp:docPr id="7" name="图片 7" descr="9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_01"/>
                    <pic:cNvPicPr>
                      <a:picLocks noChangeAspect="1"/>
                    </pic:cNvPicPr>
                  </pic:nvPicPr>
                  <pic:blipFill>
                    <a:blip r:embed="rId6"/>
                    <a:stretch>
                      <a:fillRect/>
                    </a:stretch>
                  </pic:blipFill>
                  <pic:spPr>
                    <a:xfrm>
                      <a:off x="0" y="0"/>
                      <a:ext cx="5273040" cy="7515860"/>
                    </a:xfrm>
                    <a:prstGeom prst="rect">
                      <a:avLst/>
                    </a:prstGeom>
                  </pic:spPr>
                </pic:pic>
              </a:graphicData>
            </a:graphic>
          </wp:inline>
        </w:drawing>
      </w:r>
      <w:bookmarkEnd w:id="0"/>
    </w:p>
    <w:p w14:paraId="768F6B83">
      <w:pPr>
        <w:spacing w:line="360" w:lineRule="auto"/>
        <w:rPr>
          <w:rFonts w:hint="default" w:ascii="Times New Roman" w:hAnsi="Times New Roman" w:eastAsia="宋体" w:cs="Times New Roman"/>
          <w:b/>
          <w:color w:val="auto"/>
          <w:sz w:val="24"/>
          <w:szCs w:val="24"/>
          <w:highlight w:val="none"/>
        </w:rPr>
      </w:pPr>
    </w:p>
    <w:p w14:paraId="771C7DDE">
      <w:pPr>
        <w:spacing w:line="360" w:lineRule="auto"/>
        <w:rPr>
          <w:rFonts w:hint="default" w:ascii="Times New Roman" w:hAnsi="Times New Roman" w:eastAsia="宋体" w:cs="Times New Roman"/>
          <w:b/>
          <w:color w:val="auto"/>
          <w:sz w:val="24"/>
          <w:szCs w:val="24"/>
          <w:highlight w:val="none"/>
        </w:rPr>
      </w:pPr>
    </w:p>
    <w:p w14:paraId="1B15A277">
      <w:pPr>
        <w:spacing w:line="360" w:lineRule="auto"/>
        <w:rPr>
          <w:rFonts w:hint="default" w:ascii="Times New Roman" w:hAnsi="Times New Roman" w:eastAsia="宋体" w:cs="Times New Roman"/>
          <w:b/>
          <w:color w:val="auto"/>
          <w:sz w:val="24"/>
          <w:szCs w:val="24"/>
          <w:highlight w:val="none"/>
        </w:rPr>
      </w:pPr>
    </w:p>
    <w:p w14:paraId="2806699A">
      <w:pPr>
        <w:spacing w:line="360" w:lineRule="auto"/>
        <w:rPr>
          <w:rFonts w:hint="default" w:ascii="Times New Roman" w:hAnsi="Times New Roman" w:eastAsia="宋体" w:cs="Times New Roman"/>
          <w:b/>
          <w:color w:val="auto"/>
          <w:sz w:val="24"/>
          <w:szCs w:val="24"/>
          <w:highlight w:val="none"/>
        </w:rPr>
      </w:pPr>
    </w:p>
    <w:p w14:paraId="6214DD32">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br w:type="page"/>
      </w:r>
    </w:p>
    <w:p w14:paraId="4910BBEE">
      <w:pPr>
        <w:spacing w:line="360" w:lineRule="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附件1：中标通知书（扫描）</w:t>
      </w:r>
    </w:p>
    <w:p w14:paraId="5E546C29">
      <w:pPr>
        <w:spacing w:line="360" w:lineRule="auto"/>
        <w:rPr>
          <w:rFonts w:hint="default" w:ascii="Times New Roman" w:hAnsi="Times New Roman" w:eastAsia="宋体" w:cs="Times New Roman"/>
          <w:b/>
          <w:color w:val="auto"/>
          <w:sz w:val="24"/>
          <w:szCs w:val="24"/>
          <w:highlight w:val="none"/>
          <w:lang w:eastAsia="zh-CN"/>
        </w:rPr>
      </w:pPr>
      <w:r>
        <w:rPr>
          <w:rFonts w:hint="default" w:ascii="Times New Roman" w:hAnsi="Times New Roman" w:eastAsia="宋体" w:cs="Times New Roman"/>
          <w:b/>
          <w:color w:val="auto"/>
          <w:sz w:val="24"/>
          <w:szCs w:val="24"/>
          <w:highlight w:val="none"/>
          <w:lang w:eastAsia="zh-CN"/>
        </w:rPr>
        <w:drawing>
          <wp:inline distT="0" distB="0" distL="114300" distR="114300">
            <wp:extent cx="5271135" cy="7455535"/>
            <wp:effectExtent l="0" t="0" r="5715" b="12065"/>
            <wp:docPr id="16" name="图片 16" descr="中标通知书c包二次--河南研田仪器设备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中标通知书c包二次--河南研田仪器设备有限公司_01"/>
                    <pic:cNvPicPr>
                      <a:picLocks noChangeAspect="1"/>
                    </pic:cNvPicPr>
                  </pic:nvPicPr>
                  <pic:blipFill>
                    <a:blip r:embed="rId7"/>
                    <a:stretch>
                      <a:fillRect/>
                    </a:stretch>
                  </pic:blipFill>
                  <pic:spPr>
                    <a:xfrm>
                      <a:off x="0" y="0"/>
                      <a:ext cx="5271135" cy="7455535"/>
                    </a:xfrm>
                    <a:prstGeom prst="rect">
                      <a:avLst/>
                    </a:prstGeom>
                  </pic:spPr>
                </pic:pic>
              </a:graphicData>
            </a:graphic>
          </wp:inline>
        </w:drawing>
      </w:r>
    </w:p>
    <w:p w14:paraId="220663CB">
      <w:pPr>
        <w:spacing w:line="360" w:lineRule="auto"/>
        <w:rPr>
          <w:rFonts w:hint="default" w:ascii="Times New Roman" w:hAnsi="Times New Roman" w:eastAsia="宋体" w:cs="Times New Roman"/>
          <w:b/>
          <w:color w:val="auto"/>
          <w:sz w:val="30"/>
          <w:szCs w:val="30"/>
          <w:highlight w:val="none"/>
        </w:rPr>
      </w:pPr>
      <w:r>
        <w:rPr>
          <w:rFonts w:hint="default" w:ascii="Times New Roman" w:hAnsi="Times New Roman" w:eastAsia="宋体" w:cs="Times New Roman"/>
          <w:b/>
          <w:color w:val="auto"/>
          <w:sz w:val="30"/>
          <w:szCs w:val="30"/>
          <w:highlight w:val="none"/>
        </w:rPr>
        <w:t xml:space="preserve"> </w:t>
      </w:r>
    </w:p>
    <w:p w14:paraId="6A2F1D6A">
      <w:pPr>
        <w:spacing w:line="440" w:lineRule="exac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w:t>
      </w:r>
    </w:p>
    <w:p w14:paraId="2C884DF7">
      <w:pPr>
        <w:widowControl/>
        <w:jc w:val="left"/>
        <w:rPr>
          <w:rFonts w:hint="default" w:ascii="Times New Roman" w:hAnsi="Times New Roman" w:eastAsia="宋体" w:cs="Times New Roman"/>
          <w:b/>
          <w:color w:val="auto"/>
          <w:sz w:val="24"/>
          <w:szCs w:val="24"/>
          <w:highlight w:val="none"/>
        </w:rPr>
        <w:sectPr>
          <w:footerReference r:id="rId3" w:type="default"/>
          <w:pgSz w:w="11906" w:h="16838"/>
          <w:pgMar w:top="1440" w:right="1800" w:bottom="1440" w:left="1800" w:header="851" w:footer="992" w:gutter="0"/>
          <w:cols w:space="720" w:num="1"/>
          <w:docGrid w:type="lines" w:linePitch="312" w:charSpace="0"/>
        </w:sectPr>
      </w:pPr>
    </w:p>
    <w:p w14:paraId="0423CA23">
      <w:pPr>
        <w:spacing w:line="440" w:lineRule="exact"/>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附件2</w:t>
      </w:r>
    </w:p>
    <w:p w14:paraId="6C0E462D">
      <w:pPr>
        <w:spacing w:line="440" w:lineRule="exac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t>投标货物分项报价一览表</w:t>
      </w:r>
    </w:p>
    <w:tbl>
      <w:tblPr>
        <w:tblStyle w:val="4"/>
        <w:tblpPr w:leftFromText="180" w:rightFromText="180" w:vertAnchor="text" w:horzAnchor="page" w:tblpX="1477" w:tblpY="529"/>
        <w:tblOverlap w:val="never"/>
        <w:tblW w:w="152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573"/>
        <w:gridCol w:w="1056"/>
        <w:gridCol w:w="1656"/>
        <w:gridCol w:w="606"/>
        <w:gridCol w:w="606"/>
        <w:gridCol w:w="496"/>
        <w:gridCol w:w="1734"/>
        <w:gridCol w:w="1480"/>
        <w:gridCol w:w="812"/>
        <w:gridCol w:w="812"/>
        <w:gridCol w:w="691"/>
        <w:gridCol w:w="1314"/>
        <w:gridCol w:w="1241"/>
        <w:gridCol w:w="606"/>
      </w:tblGrid>
      <w:tr w14:paraId="6E7C1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tcPr>
          <w:p w14:paraId="7AA725A7">
            <w:pPr>
              <w:spacing w:line="440" w:lineRule="exact"/>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1573" w:type="dxa"/>
            <w:tcBorders>
              <w:top w:val="single" w:color="auto" w:sz="4" w:space="0"/>
              <w:left w:val="single" w:color="auto" w:sz="4" w:space="0"/>
              <w:bottom w:val="single" w:color="auto" w:sz="4" w:space="0"/>
              <w:right w:val="single" w:color="auto" w:sz="4" w:space="0"/>
            </w:tcBorders>
            <w:vAlign w:val="center"/>
          </w:tcPr>
          <w:p w14:paraId="795C7AD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货物名称</w:t>
            </w:r>
          </w:p>
        </w:tc>
        <w:tc>
          <w:tcPr>
            <w:tcW w:w="1056" w:type="dxa"/>
            <w:tcBorders>
              <w:top w:val="single" w:color="auto" w:sz="4" w:space="0"/>
              <w:left w:val="single" w:color="auto" w:sz="4" w:space="0"/>
              <w:bottom w:val="single" w:color="auto" w:sz="4" w:space="0"/>
              <w:right w:val="single" w:color="auto" w:sz="4" w:space="0"/>
            </w:tcBorders>
            <w:vAlign w:val="center"/>
          </w:tcPr>
          <w:p w14:paraId="6BE27295">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szCs w:val="21"/>
                <w:highlight w:val="none"/>
              </w:rPr>
              <w:t>型号规格</w:t>
            </w:r>
          </w:p>
        </w:tc>
        <w:tc>
          <w:tcPr>
            <w:tcW w:w="1656" w:type="dxa"/>
            <w:tcBorders>
              <w:top w:val="single" w:color="auto" w:sz="4" w:space="0"/>
              <w:left w:val="single" w:color="auto" w:sz="4" w:space="0"/>
              <w:bottom w:val="single" w:color="auto" w:sz="4" w:space="0"/>
              <w:right w:val="single" w:color="auto" w:sz="4" w:space="0"/>
            </w:tcBorders>
            <w:vAlign w:val="center"/>
          </w:tcPr>
          <w:p w14:paraId="6952B989">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制造商</w:t>
            </w:r>
          </w:p>
        </w:tc>
        <w:tc>
          <w:tcPr>
            <w:tcW w:w="606" w:type="dxa"/>
            <w:tcBorders>
              <w:top w:val="single" w:color="auto" w:sz="4" w:space="0"/>
              <w:left w:val="single" w:color="auto" w:sz="4" w:space="0"/>
              <w:bottom w:val="single" w:color="auto" w:sz="4" w:space="0"/>
              <w:right w:val="single" w:color="auto" w:sz="4" w:space="0"/>
            </w:tcBorders>
            <w:vAlign w:val="center"/>
          </w:tcPr>
          <w:p w14:paraId="25A49CE8">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产</w:t>
            </w:r>
          </w:p>
          <w:p w14:paraId="3724257B">
            <w:pPr>
              <w:widowControl/>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地</w:t>
            </w:r>
          </w:p>
        </w:tc>
        <w:tc>
          <w:tcPr>
            <w:tcW w:w="606" w:type="dxa"/>
            <w:tcBorders>
              <w:top w:val="single" w:color="auto" w:sz="4" w:space="0"/>
              <w:left w:val="single" w:color="auto" w:sz="4" w:space="0"/>
              <w:bottom w:val="single" w:color="auto" w:sz="4" w:space="0"/>
              <w:right w:val="single" w:color="auto" w:sz="4" w:space="0"/>
            </w:tcBorders>
            <w:vAlign w:val="center"/>
          </w:tcPr>
          <w:p w14:paraId="00BEB82E">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w:t>
            </w:r>
          </w:p>
          <w:p w14:paraId="2FAC5DAE">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位</w:t>
            </w:r>
          </w:p>
        </w:tc>
        <w:tc>
          <w:tcPr>
            <w:tcW w:w="496" w:type="dxa"/>
            <w:tcBorders>
              <w:top w:val="single" w:color="auto" w:sz="4" w:space="0"/>
              <w:left w:val="single" w:color="auto" w:sz="4" w:space="0"/>
              <w:bottom w:val="single" w:color="auto" w:sz="4" w:space="0"/>
              <w:right w:val="single" w:color="auto" w:sz="4" w:space="0"/>
            </w:tcBorders>
            <w:vAlign w:val="center"/>
          </w:tcPr>
          <w:p w14:paraId="0292B30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数量</w:t>
            </w:r>
          </w:p>
        </w:tc>
        <w:tc>
          <w:tcPr>
            <w:tcW w:w="1734" w:type="dxa"/>
            <w:tcBorders>
              <w:top w:val="single" w:color="auto" w:sz="4" w:space="0"/>
              <w:left w:val="single" w:color="auto" w:sz="4" w:space="0"/>
              <w:bottom w:val="single" w:color="auto" w:sz="4" w:space="0"/>
              <w:right w:val="single" w:color="auto" w:sz="4" w:space="0"/>
            </w:tcBorders>
            <w:vAlign w:val="center"/>
          </w:tcPr>
          <w:p w14:paraId="50EBF31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单价（RMB）</w:t>
            </w:r>
          </w:p>
        </w:tc>
        <w:tc>
          <w:tcPr>
            <w:tcW w:w="1480" w:type="dxa"/>
            <w:tcBorders>
              <w:top w:val="single" w:color="auto" w:sz="4" w:space="0"/>
              <w:left w:val="single" w:color="auto" w:sz="4" w:space="0"/>
              <w:bottom w:val="single" w:color="auto" w:sz="4" w:space="0"/>
              <w:right w:val="single" w:color="auto" w:sz="4" w:space="0"/>
            </w:tcBorders>
            <w:vAlign w:val="center"/>
          </w:tcPr>
          <w:p w14:paraId="06D8C69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小计（RMB）</w:t>
            </w:r>
          </w:p>
        </w:tc>
        <w:tc>
          <w:tcPr>
            <w:tcW w:w="812" w:type="dxa"/>
            <w:tcBorders>
              <w:top w:val="single" w:color="auto" w:sz="4" w:space="0"/>
              <w:left w:val="single" w:color="auto" w:sz="4" w:space="0"/>
              <w:bottom w:val="single" w:color="auto" w:sz="4" w:space="0"/>
              <w:right w:val="single" w:color="auto" w:sz="4" w:space="0"/>
            </w:tcBorders>
            <w:vAlign w:val="center"/>
          </w:tcPr>
          <w:p w14:paraId="4547FEED">
            <w:pPr>
              <w:ind w:right="-107" w:rightChars="-51"/>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运输及</w:t>
            </w:r>
          </w:p>
          <w:p w14:paraId="760BA309">
            <w:pPr>
              <w:ind w:right="-107" w:rightChars="-51"/>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保险费</w:t>
            </w:r>
          </w:p>
        </w:tc>
        <w:tc>
          <w:tcPr>
            <w:tcW w:w="812" w:type="dxa"/>
            <w:tcBorders>
              <w:top w:val="single" w:color="auto" w:sz="4" w:space="0"/>
              <w:left w:val="single" w:color="auto" w:sz="4" w:space="0"/>
              <w:bottom w:val="single" w:color="auto" w:sz="4" w:space="0"/>
              <w:right w:val="single" w:color="auto" w:sz="4" w:space="0"/>
            </w:tcBorders>
            <w:vAlign w:val="center"/>
          </w:tcPr>
          <w:p w14:paraId="377A816A">
            <w:pPr>
              <w:ind w:right="-107" w:rightChars="-51"/>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技术</w:t>
            </w:r>
          </w:p>
          <w:p w14:paraId="71C37DC5">
            <w:pPr>
              <w:ind w:right="-107" w:rightChars="-51"/>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服务费</w:t>
            </w:r>
          </w:p>
        </w:tc>
        <w:tc>
          <w:tcPr>
            <w:tcW w:w="691" w:type="dxa"/>
            <w:tcBorders>
              <w:top w:val="single" w:color="auto" w:sz="4" w:space="0"/>
              <w:left w:val="single" w:color="auto" w:sz="4" w:space="0"/>
              <w:bottom w:val="single" w:color="auto" w:sz="4" w:space="0"/>
              <w:right w:val="single" w:color="auto" w:sz="4" w:space="0"/>
            </w:tcBorders>
            <w:vAlign w:val="center"/>
          </w:tcPr>
          <w:p w14:paraId="73BCEC98">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税费</w:t>
            </w:r>
          </w:p>
        </w:tc>
        <w:tc>
          <w:tcPr>
            <w:tcW w:w="1314" w:type="dxa"/>
            <w:tcBorders>
              <w:top w:val="single" w:color="auto" w:sz="4" w:space="0"/>
              <w:left w:val="single" w:color="auto" w:sz="4" w:space="0"/>
              <w:bottom w:val="single" w:color="auto" w:sz="4" w:space="0"/>
              <w:right w:val="single" w:color="auto" w:sz="4" w:space="0"/>
            </w:tcBorders>
            <w:vAlign w:val="center"/>
          </w:tcPr>
          <w:p w14:paraId="31CD7124">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交货日期</w:t>
            </w:r>
          </w:p>
        </w:tc>
        <w:tc>
          <w:tcPr>
            <w:tcW w:w="1241" w:type="dxa"/>
            <w:tcBorders>
              <w:top w:val="single" w:color="auto" w:sz="4" w:space="0"/>
              <w:left w:val="single" w:color="auto" w:sz="4" w:space="0"/>
              <w:bottom w:val="single" w:color="auto" w:sz="4" w:space="0"/>
              <w:right w:val="single" w:color="auto" w:sz="4" w:space="0"/>
            </w:tcBorders>
            <w:vAlign w:val="center"/>
          </w:tcPr>
          <w:p w14:paraId="317A378A">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交货地（港）</w:t>
            </w:r>
          </w:p>
        </w:tc>
        <w:tc>
          <w:tcPr>
            <w:tcW w:w="606" w:type="dxa"/>
            <w:tcBorders>
              <w:top w:val="single" w:color="auto" w:sz="4" w:space="0"/>
              <w:left w:val="single" w:color="auto" w:sz="4" w:space="0"/>
              <w:bottom w:val="single" w:color="auto" w:sz="4" w:space="0"/>
              <w:right w:val="single" w:color="auto" w:sz="4" w:space="0"/>
            </w:tcBorders>
          </w:tcPr>
          <w:p w14:paraId="38B16B38">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备</w:t>
            </w:r>
          </w:p>
          <w:p w14:paraId="096B252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注</w:t>
            </w:r>
          </w:p>
        </w:tc>
      </w:tr>
      <w:tr w14:paraId="3D701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vAlign w:val="center"/>
          </w:tcPr>
          <w:p w14:paraId="29B3023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573" w:type="dxa"/>
            <w:tcBorders>
              <w:top w:val="single" w:color="auto" w:sz="4" w:space="0"/>
              <w:left w:val="single" w:color="auto" w:sz="4" w:space="0"/>
              <w:bottom w:val="single" w:color="auto" w:sz="4" w:space="0"/>
              <w:right w:val="single" w:color="auto" w:sz="4" w:space="0"/>
            </w:tcBorders>
            <w:vAlign w:val="center"/>
          </w:tcPr>
          <w:p w14:paraId="5367BB16">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自动化数字PCR仪</w:t>
            </w:r>
          </w:p>
        </w:tc>
        <w:tc>
          <w:tcPr>
            <w:tcW w:w="1056" w:type="dxa"/>
            <w:tcBorders>
              <w:top w:val="single" w:color="auto" w:sz="4" w:space="0"/>
              <w:left w:val="single" w:color="auto" w:sz="4" w:space="0"/>
              <w:bottom w:val="single" w:color="auto" w:sz="4" w:space="0"/>
              <w:right w:val="single" w:color="auto" w:sz="4" w:space="0"/>
            </w:tcBorders>
            <w:vAlign w:val="center"/>
          </w:tcPr>
          <w:p w14:paraId="4D81180D">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QX700 E</w:t>
            </w:r>
          </w:p>
        </w:tc>
        <w:tc>
          <w:tcPr>
            <w:tcW w:w="1656" w:type="dxa"/>
            <w:tcBorders>
              <w:top w:val="single" w:color="auto" w:sz="4" w:space="0"/>
              <w:left w:val="single" w:color="auto" w:sz="4" w:space="0"/>
              <w:bottom w:val="single" w:color="auto" w:sz="4" w:space="0"/>
              <w:right w:val="single" w:color="auto" w:sz="4" w:space="0"/>
            </w:tcBorders>
            <w:vAlign w:val="center"/>
          </w:tcPr>
          <w:p w14:paraId="6C849B7D">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济南中科电子科技有限公司</w:t>
            </w:r>
          </w:p>
        </w:tc>
        <w:tc>
          <w:tcPr>
            <w:tcW w:w="606" w:type="dxa"/>
            <w:tcBorders>
              <w:top w:val="single" w:color="auto" w:sz="4" w:space="0"/>
              <w:left w:val="single" w:color="auto" w:sz="4" w:space="0"/>
              <w:bottom w:val="single" w:color="auto" w:sz="4" w:space="0"/>
              <w:right w:val="single" w:color="auto" w:sz="4" w:space="0"/>
            </w:tcBorders>
            <w:vAlign w:val="center"/>
          </w:tcPr>
          <w:p w14:paraId="364DF269">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中国</w:t>
            </w:r>
          </w:p>
        </w:tc>
        <w:tc>
          <w:tcPr>
            <w:tcW w:w="606" w:type="dxa"/>
            <w:tcBorders>
              <w:top w:val="single" w:color="auto" w:sz="4" w:space="0"/>
              <w:left w:val="single" w:color="auto" w:sz="4" w:space="0"/>
              <w:bottom w:val="single" w:color="auto" w:sz="4" w:space="0"/>
              <w:right w:val="single" w:color="auto" w:sz="4" w:space="0"/>
            </w:tcBorders>
            <w:vAlign w:val="center"/>
          </w:tcPr>
          <w:p w14:paraId="6759847A">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台</w:t>
            </w:r>
          </w:p>
        </w:tc>
        <w:tc>
          <w:tcPr>
            <w:tcW w:w="496" w:type="dxa"/>
            <w:tcBorders>
              <w:top w:val="single" w:color="auto" w:sz="4" w:space="0"/>
              <w:left w:val="single" w:color="auto" w:sz="4" w:space="0"/>
              <w:bottom w:val="single" w:color="auto" w:sz="4" w:space="0"/>
              <w:right w:val="single" w:color="auto" w:sz="4" w:space="0"/>
            </w:tcBorders>
            <w:vAlign w:val="center"/>
          </w:tcPr>
          <w:p w14:paraId="703C3075">
            <w:pPr>
              <w:jc w:val="center"/>
              <w:rPr>
                <w:rFonts w:hint="default" w:ascii="Times New Roman" w:hAnsi="Times New Roman" w:eastAsia="宋体" w:cs="Times New Roman"/>
                <w:b/>
                <w:color w:val="auto"/>
                <w:szCs w:val="21"/>
                <w:highlight w:val="none"/>
                <w:lang w:eastAsia="zh-CN"/>
              </w:rPr>
            </w:pPr>
            <w:r>
              <w:rPr>
                <w:rFonts w:hint="default" w:ascii="Times New Roman" w:hAnsi="Times New Roman" w:eastAsia="宋体" w:cs="Times New Roman"/>
                <w:b/>
                <w:color w:val="auto"/>
                <w:szCs w:val="21"/>
                <w:highlight w:val="none"/>
                <w:lang w:val="en-US" w:eastAsia="zh-CN"/>
              </w:rPr>
              <w:t>1</w:t>
            </w:r>
          </w:p>
        </w:tc>
        <w:tc>
          <w:tcPr>
            <w:tcW w:w="1734" w:type="dxa"/>
            <w:tcBorders>
              <w:top w:val="single" w:color="auto" w:sz="4" w:space="0"/>
              <w:left w:val="single" w:color="auto" w:sz="4" w:space="0"/>
              <w:bottom w:val="single" w:color="auto" w:sz="4" w:space="0"/>
              <w:right w:val="single" w:color="auto" w:sz="4" w:space="0"/>
            </w:tcBorders>
            <w:vAlign w:val="center"/>
          </w:tcPr>
          <w:p w14:paraId="501BE72C">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1063000.00</w:t>
            </w:r>
          </w:p>
        </w:tc>
        <w:tc>
          <w:tcPr>
            <w:tcW w:w="1480" w:type="dxa"/>
            <w:tcBorders>
              <w:top w:val="single" w:color="auto" w:sz="4" w:space="0"/>
              <w:left w:val="single" w:color="auto" w:sz="4" w:space="0"/>
              <w:bottom w:val="single" w:color="auto" w:sz="4" w:space="0"/>
              <w:right w:val="single" w:color="auto" w:sz="4" w:space="0"/>
            </w:tcBorders>
            <w:vAlign w:val="center"/>
          </w:tcPr>
          <w:p w14:paraId="598067C3">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1063000.00</w:t>
            </w:r>
          </w:p>
        </w:tc>
        <w:tc>
          <w:tcPr>
            <w:tcW w:w="812" w:type="dxa"/>
            <w:tcBorders>
              <w:top w:val="single" w:color="auto" w:sz="4" w:space="0"/>
              <w:left w:val="single" w:color="auto" w:sz="4" w:space="0"/>
              <w:bottom w:val="single" w:color="auto" w:sz="4" w:space="0"/>
              <w:right w:val="single" w:color="auto" w:sz="4" w:space="0"/>
            </w:tcBorders>
            <w:vAlign w:val="center"/>
          </w:tcPr>
          <w:p w14:paraId="2E198972">
            <w:pPr>
              <w:ind w:right="-107" w:rightChars="-51"/>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已含</w:t>
            </w:r>
          </w:p>
        </w:tc>
        <w:tc>
          <w:tcPr>
            <w:tcW w:w="812" w:type="dxa"/>
            <w:tcBorders>
              <w:top w:val="single" w:color="auto" w:sz="4" w:space="0"/>
              <w:left w:val="single" w:color="auto" w:sz="4" w:space="0"/>
              <w:bottom w:val="single" w:color="auto" w:sz="4" w:space="0"/>
              <w:right w:val="single" w:color="auto" w:sz="4" w:space="0"/>
            </w:tcBorders>
            <w:vAlign w:val="center"/>
          </w:tcPr>
          <w:p w14:paraId="24BA9995">
            <w:pPr>
              <w:ind w:right="-107" w:rightChars="-51"/>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已含</w:t>
            </w:r>
          </w:p>
        </w:tc>
        <w:tc>
          <w:tcPr>
            <w:tcW w:w="691" w:type="dxa"/>
            <w:tcBorders>
              <w:top w:val="single" w:color="auto" w:sz="4" w:space="0"/>
              <w:left w:val="single" w:color="auto" w:sz="4" w:space="0"/>
              <w:bottom w:val="single" w:color="auto" w:sz="4" w:space="0"/>
              <w:right w:val="single" w:color="auto" w:sz="4" w:space="0"/>
            </w:tcBorders>
            <w:vAlign w:val="center"/>
          </w:tcPr>
          <w:p w14:paraId="25A2A154">
            <w:pPr>
              <w:jc w:val="center"/>
              <w:rPr>
                <w:rFonts w:hint="default" w:ascii="Times New Roman" w:hAnsi="Times New Roman" w:eastAsia="宋体" w:cs="Times New Roman"/>
                <w:bCs/>
                <w:color w:val="auto"/>
                <w:szCs w:val="21"/>
                <w:highlight w:val="none"/>
                <w:lang w:eastAsia="zh-CN"/>
              </w:rPr>
            </w:pPr>
            <w:r>
              <w:rPr>
                <w:rFonts w:hint="default" w:ascii="Times New Roman" w:hAnsi="Times New Roman" w:eastAsia="宋体" w:cs="Times New Roman"/>
                <w:b/>
                <w:color w:val="auto"/>
                <w:szCs w:val="21"/>
                <w:highlight w:val="none"/>
                <w:lang w:val="en-US" w:eastAsia="zh-CN"/>
              </w:rPr>
              <w:t>已含</w:t>
            </w:r>
          </w:p>
        </w:tc>
        <w:tc>
          <w:tcPr>
            <w:tcW w:w="1314" w:type="dxa"/>
            <w:tcBorders>
              <w:top w:val="single" w:color="auto" w:sz="4" w:space="0"/>
              <w:left w:val="single" w:color="auto" w:sz="4" w:space="0"/>
              <w:bottom w:val="single" w:color="auto" w:sz="4" w:space="0"/>
              <w:right w:val="single" w:color="auto" w:sz="4" w:space="0"/>
            </w:tcBorders>
            <w:vAlign w:val="center"/>
          </w:tcPr>
          <w:p w14:paraId="6B13CFD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合同签订后</w:t>
            </w:r>
          </w:p>
          <w:p w14:paraId="721900AF">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30</w:t>
            </w:r>
            <w:r>
              <w:rPr>
                <w:rFonts w:hint="default" w:ascii="Times New Roman" w:hAnsi="Times New Roman" w:eastAsia="宋体" w:cs="Times New Roman"/>
                <w:color w:val="auto"/>
                <w:szCs w:val="21"/>
                <w:highlight w:val="none"/>
              </w:rPr>
              <w:t>日内</w:t>
            </w:r>
          </w:p>
        </w:tc>
        <w:tc>
          <w:tcPr>
            <w:tcW w:w="1241" w:type="dxa"/>
            <w:tcBorders>
              <w:top w:val="single" w:color="auto" w:sz="4" w:space="0"/>
              <w:left w:val="single" w:color="auto" w:sz="4" w:space="0"/>
              <w:bottom w:val="single" w:color="auto" w:sz="4" w:space="0"/>
              <w:right w:val="single" w:color="auto" w:sz="4" w:space="0"/>
            </w:tcBorders>
            <w:vAlign w:val="center"/>
          </w:tcPr>
          <w:p w14:paraId="443C1F67">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郑东新区河南中医药大学</w:t>
            </w:r>
          </w:p>
        </w:tc>
        <w:tc>
          <w:tcPr>
            <w:tcW w:w="606" w:type="dxa"/>
            <w:tcBorders>
              <w:top w:val="single" w:color="auto" w:sz="4" w:space="0"/>
              <w:left w:val="single" w:color="auto" w:sz="4" w:space="0"/>
              <w:bottom w:val="single" w:color="auto" w:sz="4" w:space="0"/>
              <w:right w:val="single" w:color="auto" w:sz="4" w:space="0"/>
            </w:tcBorders>
            <w:vAlign w:val="center"/>
          </w:tcPr>
          <w:p w14:paraId="518D869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707DC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vAlign w:val="center"/>
          </w:tcPr>
          <w:p w14:paraId="10DAF702">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573" w:type="dxa"/>
            <w:tcBorders>
              <w:top w:val="single" w:color="auto" w:sz="4" w:space="0"/>
              <w:left w:val="single" w:color="auto" w:sz="4" w:space="0"/>
              <w:bottom w:val="single" w:color="auto" w:sz="4" w:space="0"/>
              <w:right w:val="single" w:color="auto" w:sz="4" w:space="0"/>
            </w:tcBorders>
            <w:vAlign w:val="center"/>
          </w:tcPr>
          <w:p w14:paraId="3B42B97B">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超速离心机</w:t>
            </w:r>
          </w:p>
        </w:tc>
        <w:tc>
          <w:tcPr>
            <w:tcW w:w="1056" w:type="dxa"/>
            <w:tcBorders>
              <w:top w:val="single" w:color="auto" w:sz="4" w:space="0"/>
              <w:left w:val="single" w:color="auto" w:sz="4" w:space="0"/>
              <w:bottom w:val="single" w:color="auto" w:sz="4" w:space="0"/>
              <w:right w:val="single" w:color="auto" w:sz="4" w:space="0"/>
            </w:tcBorders>
            <w:vAlign w:val="center"/>
          </w:tcPr>
          <w:p w14:paraId="09D26E8A">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Optima XPN-100</w:t>
            </w:r>
          </w:p>
        </w:tc>
        <w:tc>
          <w:tcPr>
            <w:tcW w:w="1656" w:type="dxa"/>
            <w:tcBorders>
              <w:top w:val="single" w:color="auto" w:sz="4" w:space="0"/>
              <w:left w:val="single" w:color="auto" w:sz="4" w:space="0"/>
              <w:bottom w:val="single" w:color="auto" w:sz="4" w:space="0"/>
              <w:right w:val="single" w:color="auto" w:sz="4" w:space="0"/>
            </w:tcBorders>
            <w:vAlign w:val="center"/>
          </w:tcPr>
          <w:p w14:paraId="68E76937">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贝克曼库尔特生物科技(苏州)有限公司</w:t>
            </w:r>
          </w:p>
        </w:tc>
        <w:tc>
          <w:tcPr>
            <w:tcW w:w="606" w:type="dxa"/>
            <w:tcBorders>
              <w:top w:val="single" w:color="auto" w:sz="4" w:space="0"/>
              <w:left w:val="single" w:color="auto" w:sz="4" w:space="0"/>
              <w:bottom w:val="single" w:color="auto" w:sz="4" w:space="0"/>
              <w:right w:val="single" w:color="auto" w:sz="4" w:space="0"/>
            </w:tcBorders>
            <w:vAlign w:val="center"/>
          </w:tcPr>
          <w:p w14:paraId="10BC4EF5">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中国</w:t>
            </w:r>
          </w:p>
        </w:tc>
        <w:tc>
          <w:tcPr>
            <w:tcW w:w="606" w:type="dxa"/>
            <w:tcBorders>
              <w:top w:val="single" w:color="auto" w:sz="4" w:space="0"/>
              <w:left w:val="single" w:color="auto" w:sz="4" w:space="0"/>
              <w:bottom w:val="single" w:color="auto" w:sz="4" w:space="0"/>
              <w:right w:val="single" w:color="auto" w:sz="4" w:space="0"/>
            </w:tcBorders>
            <w:vAlign w:val="center"/>
          </w:tcPr>
          <w:p w14:paraId="232DB6AB">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台</w:t>
            </w:r>
          </w:p>
        </w:tc>
        <w:tc>
          <w:tcPr>
            <w:tcW w:w="496" w:type="dxa"/>
            <w:tcBorders>
              <w:top w:val="single" w:color="auto" w:sz="4" w:space="0"/>
              <w:left w:val="single" w:color="auto" w:sz="4" w:space="0"/>
              <w:bottom w:val="single" w:color="auto" w:sz="4" w:space="0"/>
              <w:right w:val="single" w:color="auto" w:sz="4" w:space="0"/>
            </w:tcBorders>
            <w:vAlign w:val="center"/>
          </w:tcPr>
          <w:p w14:paraId="2BC5714C">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val="en-US" w:eastAsia="zh-CN"/>
              </w:rPr>
              <w:t>1</w:t>
            </w:r>
          </w:p>
        </w:tc>
        <w:tc>
          <w:tcPr>
            <w:tcW w:w="1734" w:type="dxa"/>
            <w:tcBorders>
              <w:top w:val="single" w:color="auto" w:sz="4" w:space="0"/>
              <w:left w:val="single" w:color="auto" w:sz="4" w:space="0"/>
              <w:bottom w:val="single" w:color="auto" w:sz="4" w:space="0"/>
              <w:right w:val="single" w:color="auto" w:sz="4" w:space="0"/>
            </w:tcBorders>
            <w:vAlign w:val="center"/>
          </w:tcPr>
          <w:p w14:paraId="50984CC5">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923700.00</w:t>
            </w:r>
          </w:p>
        </w:tc>
        <w:tc>
          <w:tcPr>
            <w:tcW w:w="1480" w:type="dxa"/>
            <w:tcBorders>
              <w:top w:val="single" w:color="auto" w:sz="4" w:space="0"/>
              <w:left w:val="single" w:color="auto" w:sz="4" w:space="0"/>
              <w:bottom w:val="single" w:color="auto" w:sz="4" w:space="0"/>
              <w:right w:val="single" w:color="auto" w:sz="4" w:space="0"/>
            </w:tcBorders>
            <w:vAlign w:val="center"/>
          </w:tcPr>
          <w:p w14:paraId="7DC60B70">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923700.00</w:t>
            </w:r>
          </w:p>
        </w:tc>
        <w:tc>
          <w:tcPr>
            <w:tcW w:w="812" w:type="dxa"/>
            <w:tcBorders>
              <w:top w:val="single" w:color="auto" w:sz="4" w:space="0"/>
              <w:left w:val="single" w:color="auto" w:sz="4" w:space="0"/>
              <w:bottom w:val="single" w:color="auto" w:sz="4" w:space="0"/>
              <w:right w:val="single" w:color="auto" w:sz="4" w:space="0"/>
            </w:tcBorders>
            <w:vAlign w:val="center"/>
          </w:tcPr>
          <w:p w14:paraId="31B1BAC7">
            <w:pPr>
              <w:ind w:right="-107" w:rightChars="-51"/>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已含</w:t>
            </w:r>
          </w:p>
        </w:tc>
        <w:tc>
          <w:tcPr>
            <w:tcW w:w="812" w:type="dxa"/>
            <w:tcBorders>
              <w:top w:val="single" w:color="auto" w:sz="4" w:space="0"/>
              <w:left w:val="single" w:color="auto" w:sz="4" w:space="0"/>
              <w:bottom w:val="single" w:color="auto" w:sz="4" w:space="0"/>
              <w:right w:val="single" w:color="auto" w:sz="4" w:space="0"/>
            </w:tcBorders>
            <w:vAlign w:val="center"/>
          </w:tcPr>
          <w:p w14:paraId="0A573E23">
            <w:pPr>
              <w:ind w:right="-107" w:rightChars="-51"/>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已含</w:t>
            </w:r>
          </w:p>
        </w:tc>
        <w:tc>
          <w:tcPr>
            <w:tcW w:w="691" w:type="dxa"/>
            <w:tcBorders>
              <w:top w:val="single" w:color="auto" w:sz="4" w:space="0"/>
              <w:left w:val="single" w:color="auto" w:sz="4" w:space="0"/>
              <w:bottom w:val="single" w:color="auto" w:sz="4" w:space="0"/>
              <w:right w:val="single" w:color="auto" w:sz="4" w:space="0"/>
            </w:tcBorders>
            <w:vAlign w:val="center"/>
          </w:tcPr>
          <w:p w14:paraId="4FF77006">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已含</w:t>
            </w:r>
          </w:p>
        </w:tc>
        <w:tc>
          <w:tcPr>
            <w:tcW w:w="1314" w:type="dxa"/>
            <w:tcBorders>
              <w:top w:val="single" w:color="auto" w:sz="4" w:space="0"/>
              <w:left w:val="single" w:color="auto" w:sz="4" w:space="0"/>
              <w:bottom w:val="single" w:color="auto" w:sz="4" w:space="0"/>
              <w:right w:val="single" w:color="auto" w:sz="4" w:space="0"/>
            </w:tcBorders>
            <w:vAlign w:val="center"/>
          </w:tcPr>
          <w:p w14:paraId="62916F9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合同签订后</w:t>
            </w:r>
          </w:p>
          <w:p w14:paraId="0072024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30</w:t>
            </w:r>
            <w:r>
              <w:rPr>
                <w:rFonts w:hint="default" w:ascii="Times New Roman" w:hAnsi="Times New Roman" w:eastAsia="宋体" w:cs="Times New Roman"/>
                <w:color w:val="auto"/>
                <w:szCs w:val="21"/>
                <w:highlight w:val="none"/>
              </w:rPr>
              <w:t>日内</w:t>
            </w:r>
          </w:p>
        </w:tc>
        <w:tc>
          <w:tcPr>
            <w:tcW w:w="1241" w:type="dxa"/>
            <w:tcBorders>
              <w:top w:val="single" w:color="auto" w:sz="4" w:space="0"/>
              <w:left w:val="single" w:color="auto" w:sz="4" w:space="0"/>
              <w:bottom w:val="single" w:color="auto" w:sz="4" w:space="0"/>
              <w:right w:val="single" w:color="auto" w:sz="4" w:space="0"/>
            </w:tcBorders>
          </w:tcPr>
          <w:p w14:paraId="30CDB675">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郑东新区河南中医药大学</w:t>
            </w:r>
          </w:p>
        </w:tc>
        <w:tc>
          <w:tcPr>
            <w:tcW w:w="606" w:type="dxa"/>
            <w:tcBorders>
              <w:top w:val="single" w:color="auto" w:sz="4" w:space="0"/>
              <w:left w:val="single" w:color="auto" w:sz="4" w:space="0"/>
              <w:bottom w:val="single" w:color="auto" w:sz="4" w:space="0"/>
              <w:right w:val="single" w:color="auto" w:sz="4" w:space="0"/>
            </w:tcBorders>
            <w:vAlign w:val="center"/>
          </w:tcPr>
          <w:p w14:paraId="5EDD727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5B09E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tcPr>
          <w:p w14:paraId="23FE0062">
            <w:pPr>
              <w:spacing w:line="44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573" w:type="dxa"/>
            <w:tcBorders>
              <w:top w:val="single" w:color="auto" w:sz="4" w:space="0"/>
              <w:left w:val="single" w:color="auto" w:sz="4" w:space="0"/>
              <w:bottom w:val="single" w:color="auto" w:sz="4" w:space="0"/>
              <w:right w:val="single" w:color="auto" w:sz="4" w:space="0"/>
            </w:tcBorders>
            <w:vAlign w:val="center"/>
          </w:tcPr>
          <w:p w14:paraId="626175F5">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箱内高内涵活细胞成像系统</w:t>
            </w:r>
          </w:p>
        </w:tc>
        <w:tc>
          <w:tcPr>
            <w:tcW w:w="1056" w:type="dxa"/>
            <w:tcBorders>
              <w:top w:val="single" w:color="auto" w:sz="4" w:space="0"/>
              <w:left w:val="single" w:color="auto" w:sz="4" w:space="0"/>
              <w:bottom w:val="single" w:color="auto" w:sz="4" w:space="0"/>
              <w:right w:val="single" w:color="auto" w:sz="4" w:space="0"/>
            </w:tcBorders>
            <w:vAlign w:val="center"/>
          </w:tcPr>
          <w:p w14:paraId="4FF72759">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AcvBiocyte LCSX1</w:t>
            </w:r>
          </w:p>
        </w:tc>
        <w:tc>
          <w:tcPr>
            <w:tcW w:w="1656" w:type="dxa"/>
            <w:tcBorders>
              <w:top w:val="single" w:color="auto" w:sz="4" w:space="0"/>
              <w:left w:val="single" w:color="auto" w:sz="4" w:space="0"/>
              <w:bottom w:val="single" w:color="auto" w:sz="4" w:space="0"/>
              <w:right w:val="single" w:color="auto" w:sz="4" w:space="0"/>
            </w:tcBorders>
            <w:vAlign w:val="center"/>
          </w:tcPr>
          <w:p w14:paraId="57AD5806">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山东艾克韦生物技术有限公司</w:t>
            </w:r>
          </w:p>
        </w:tc>
        <w:tc>
          <w:tcPr>
            <w:tcW w:w="606" w:type="dxa"/>
            <w:tcBorders>
              <w:top w:val="single" w:color="auto" w:sz="4" w:space="0"/>
              <w:left w:val="single" w:color="auto" w:sz="4" w:space="0"/>
              <w:bottom w:val="single" w:color="auto" w:sz="4" w:space="0"/>
              <w:right w:val="single" w:color="auto" w:sz="4" w:space="0"/>
            </w:tcBorders>
            <w:vAlign w:val="center"/>
          </w:tcPr>
          <w:p w14:paraId="3016BE17">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中国</w:t>
            </w:r>
          </w:p>
        </w:tc>
        <w:tc>
          <w:tcPr>
            <w:tcW w:w="606" w:type="dxa"/>
            <w:tcBorders>
              <w:top w:val="single" w:color="auto" w:sz="4" w:space="0"/>
              <w:left w:val="single" w:color="auto" w:sz="4" w:space="0"/>
              <w:bottom w:val="single" w:color="auto" w:sz="4" w:space="0"/>
              <w:right w:val="single" w:color="auto" w:sz="4" w:space="0"/>
            </w:tcBorders>
            <w:vAlign w:val="center"/>
          </w:tcPr>
          <w:p w14:paraId="73873F03">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台</w:t>
            </w:r>
          </w:p>
        </w:tc>
        <w:tc>
          <w:tcPr>
            <w:tcW w:w="496" w:type="dxa"/>
            <w:tcBorders>
              <w:top w:val="single" w:color="auto" w:sz="4" w:space="0"/>
              <w:left w:val="single" w:color="auto" w:sz="4" w:space="0"/>
              <w:bottom w:val="single" w:color="auto" w:sz="4" w:space="0"/>
              <w:right w:val="single" w:color="auto" w:sz="4" w:space="0"/>
            </w:tcBorders>
            <w:vAlign w:val="center"/>
          </w:tcPr>
          <w:p w14:paraId="26893AF2">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val="en-US" w:eastAsia="zh-CN"/>
              </w:rPr>
              <w:t>1</w:t>
            </w:r>
          </w:p>
        </w:tc>
        <w:tc>
          <w:tcPr>
            <w:tcW w:w="1734" w:type="dxa"/>
            <w:tcBorders>
              <w:top w:val="single" w:color="auto" w:sz="4" w:space="0"/>
              <w:left w:val="single" w:color="auto" w:sz="4" w:space="0"/>
              <w:bottom w:val="single" w:color="auto" w:sz="4" w:space="0"/>
              <w:right w:val="single" w:color="auto" w:sz="4" w:space="0"/>
            </w:tcBorders>
            <w:vAlign w:val="center"/>
          </w:tcPr>
          <w:p w14:paraId="79A71C45">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1580000.00</w:t>
            </w:r>
          </w:p>
        </w:tc>
        <w:tc>
          <w:tcPr>
            <w:tcW w:w="1480" w:type="dxa"/>
            <w:tcBorders>
              <w:top w:val="single" w:color="auto" w:sz="4" w:space="0"/>
              <w:left w:val="single" w:color="auto" w:sz="4" w:space="0"/>
              <w:bottom w:val="single" w:color="auto" w:sz="4" w:space="0"/>
              <w:right w:val="single" w:color="auto" w:sz="4" w:space="0"/>
            </w:tcBorders>
            <w:vAlign w:val="center"/>
          </w:tcPr>
          <w:p w14:paraId="1AF4726A">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1580000.00</w:t>
            </w:r>
          </w:p>
        </w:tc>
        <w:tc>
          <w:tcPr>
            <w:tcW w:w="812" w:type="dxa"/>
            <w:tcBorders>
              <w:top w:val="single" w:color="auto" w:sz="4" w:space="0"/>
              <w:left w:val="single" w:color="auto" w:sz="4" w:space="0"/>
              <w:bottom w:val="single" w:color="auto" w:sz="4" w:space="0"/>
              <w:right w:val="single" w:color="auto" w:sz="4" w:space="0"/>
            </w:tcBorders>
            <w:vAlign w:val="center"/>
          </w:tcPr>
          <w:p w14:paraId="2ED5FCFD">
            <w:pPr>
              <w:ind w:right="-107" w:rightChars="-51"/>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已含</w:t>
            </w:r>
          </w:p>
        </w:tc>
        <w:tc>
          <w:tcPr>
            <w:tcW w:w="812" w:type="dxa"/>
            <w:tcBorders>
              <w:top w:val="single" w:color="auto" w:sz="4" w:space="0"/>
              <w:left w:val="single" w:color="auto" w:sz="4" w:space="0"/>
              <w:bottom w:val="single" w:color="auto" w:sz="4" w:space="0"/>
              <w:right w:val="single" w:color="auto" w:sz="4" w:space="0"/>
            </w:tcBorders>
            <w:vAlign w:val="center"/>
          </w:tcPr>
          <w:p w14:paraId="62573D64">
            <w:pPr>
              <w:ind w:right="-107" w:rightChars="-51"/>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已含</w:t>
            </w:r>
          </w:p>
        </w:tc>
        <w:tc>
          <w:tcPr>
            <w:tcW w:w="691" w:type="dxa"/>
            <w:tcBorders>
              <w:top w:val="single" w:color="auto" w:sz="4" w:space="0"/>
              <w:left w:val="single" w:color="auto" w:sz="4" w:space="0"/>
              <w:bottom w:val="single" w:color="auto" w:sz="4" w:space="0"/>
              <w:right w:val="single" w:color="auto" w:sz="4" w:space="0"/>
            </w:tcBorders>
            <w:vAlign w:val="center"/>
          </w:tcPr>
          <w:p w14:paraId="47DB0A1B">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已含</w:t>
            </w:r>
          </w:p>
        </w:tc>
        <w:tc>
          <w:tcPr>
            <w:tcW w:w="1314" w:type="dxa"/>
            <w:tcBorders>
              <w:top w:val="single" w:color="auto" w:sz="4" w:space="0"/>
              <w:left w:val="single" w:color="auto" w:sz="4" w:space="0"/>
              <w:bottom w:val="single" w:color="auto" w:sz="4" w:space="0"/>
              <w:right w:val="single" w:color="auto" w:sz="4" w:space="0"/>
            </w:tcBorders>
            <w:vAlign w:val="center"/>
          </w:tcPr>
          <w:p w14:paraId="391F9369">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合同签订后</w:t>
            </w:r>
          </w:p>
          <w:p w14:paraId="0B6708A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30</w:t>
            </w:r>
            <w:r>
              <w:rPr>
                <w:rFonts w:hint="default" w:ascii="Times New Roman" w:hAnsi="Times New Roman" w:eastAsia="宋体" w:cs="Times New Roman"/>
                <w:color w:val="auto"/>
                <w:szCs w:val="21"/>
                <w:highlight w:val="none"/>
              </w:rPr>
              <w:t>日内</w:t>
            </w:r>
          </w:p>
        </w:tc>
        <w:tc>
          <w:tcPr>
            <w:tcW w:w="1241" w:type="dxa"/>
            <w:tcBorders>
              <w:top w:val="single" w:color="auto" w:sz="4" w:space="0"/>
              <w:left w:val="single" w:color="auto" w:sz="4" w:space="0"/>
              <w:bottom w:val="single" w:color="auto" w:sz="4" w:space="0"/>
              <w:right w:val="single" w:color="auto" w:sz="4" w:space="0"/>
            </w:tcBorders>
          </w:tcPr>
          <w:p w14:paraId="0AC48D0C">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郑东新区河南中医药大学</w:t>
            </w:r>
          </w:p>
        </w:tc>
        <w:tc>
          <w:tcPr>
            <w:tcW w:w="606" w:type="dxa"/>
            <w:tcBorders>
              <w:top w:val="single" w:color="auto" w:sz="4" w:space="0"/>
              <w:left w:val="single" w:color="auto" w:sz="4" w:space="0"/>
              <w:bottom w:val="single" w:color="auto" w:sz="4" w:space="0"/>
              <w:right w:val="single" w:color="auto" w:sz="4" w:space="0"/>
            </w:tcBorders>
            <w:vAlign w:val="center"/>
          </w:tcPr>
          <w:p w14:paraId="3163C1AE">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05581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tcPr>
          <w:p w14:paraId="26B579FF">
            <w:pPr>
              <w:spacing w:line="440" w:lineRule="exact"/>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1573" w:type="dxa"/>
            <w:tcBorders>
              <w:top w:val="single" w:color="auto" w:sz="4" w:space="0"/>
              <w:left w:val="single" w:color="auto" w:sz="4" w:space="0"/>
              <w:bottom w:val="single" w:color="auto" w:sz="4" w:space="0"/>
              <w:right w:val="single" w:color="auto" w:sz="4" w:space="0"/>
            </w:tcBorders>
            <w:vAlign w:val="center"/>
          </w:tcPr>
          <w:p w14:paraId="1B15FFB5">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聚焦式超声破碎系统</w:t>
            </w:r>
          </w:p>
        </w:tc>
        <w:tc>
          <w:tcPr>
            <w:tcW w:w="1056" w:type="dxa"/>
            <w:tcBorders>
              <w:top w:val="single" w:color="auto" w:sz="4" w:space="0"/>
              <w:left w:val="single" w:color="auto" w:sz="4" w:space="0"/>
              <w:bottom w:val="single" w:color="auto" w:sz="4" w:space="0"/>
              <w:right w:val="single" w:color="auto" w:sz="4" w:space="0"/>
            </w:tcBorders>
            <w:vAlign w:val="center"/>
          </w:tcPr>
          <w:p w14:paraId="35FF94F4">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ME220</w:t>
            </w:r>
          </w:p>
        </w:tc>
        <w:tc>
          <w:tcPr>
            <w:tcW w:w="1656" w:type="dxa"/>
            <w:tcBorders>
              <w:top w:val="single" w:color="auto" w:sz="4" w:space="0"/>
              <w:left w:val="single" w:color="auto" w:sz="4" w:space="0"/>
              <w:bottom w:val="single" w:color="auto" w:sz="4" w:space="0"/>
              <w:right w:val="single" w:color="auto" w:sz="4" w:space="0"/>
            </w:tcBorders>
            <w:vAlign w:val="center"/>
          </w:tcPr>
          <w:p w14:paraId="29021215">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上海贝晶生物技术有限公司</w:t>
            </w:r>
          </w:p>
        </w:tc>
        <w:tc>
          <w:tcPr>
            <w:tcW w:w="606" w:type="dxa"/>
            <w:tcBorders>
              <w:top w:val="single" w:color="auto" w:sz="4" w:space="0"/>
              <w:left w:val="single" w:color="auto" w:sz="4" w:space="0"/>
              <w:bottom w:val="single" w:color="auto" w:sz="4" w:space="0"/>
              <w:right w:val="single" w:color="auto" w:sz="4" w:space="0"/>
            </w:tcBorders>
            <w:vAlign w:val="center"/>
          </w:tcPr>
          <w:p w14:paraId="4F7C875F">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中国</w:t>
            </w:r>
          </w:p>
        </w:tc>
        <w:tc>
          <w:tcPr>
            <w:tcW w:w="606" w:type="dxa"/>
            <w:tcBorders>
              <w:top w:val="single" w:color="auto" w:sz="4" w:space="0"/>
              <w:left w:val="single" w:color="auto" w:sz="4" w:space="0"/>
              <w:bottom w:val="single" w:color="auto" w:sz="4" w:space="0"/>
              <w:right w:val="single" w:color="auto" w:sz="4" w:space="0"/>
            </w:tcBorders>
            <w:vAlign w:val="center"/>
          </w:tcPr>
          <w:p w14:paraId="776215E2">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台</w:t>
            </w:r>
          </w:p>
        </w:tc>
        <w:tc>
          <w:tcPr>
            <w:tcW w:w="496" w:type="dxa"/>
            <w:tcBorders>
              <w:top w:val="single" w:color="auto" w:sz="4" w:space="0"/>
              <w:left w:val="single" w:color="auto" w:sz="4" w:space="0"/>
              <w:bottom w:val="single" w:color="auto" w:sz="4" w:space="0"/>
              <w:right w:val="single" w:color="auto" w:sz="4" w:space="0"/>
            </w:tcBorders>
            <w:vAlign w:val="center"/>
          </w:tcPr>
          <w:p w14:paraId="08EE7F28">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lang w:val="en-US" w:eastAsia="zh-CN"/>
              </w:rPr>
              <w:t>1</w:t>
            </w:r>
          </w:p>
        </w:tc>
        <w:tc>
          <w:tcPr>
            <w:tcW w:w="1734" w:type="dxa"/>
            <w:tcBorders>
              <w:top w:val="single" w:color="auto" w:sz="4" w:space="0"/>
              <w:left w:val="single" w:color="auto" w:sz="4" w:space="0"/>
              <w:bottom w:val="single" w:color="auto" w:sz="4" w:space="0"/>
              <w:right w:val="single" w:color="auto" w:sz="4" w:space="0"/>
            </w:tcBorders>
            <w:vAlign w:val="center"/>
          </w:tcPr>
          <w:p w14:paraId="4090E557">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903100.00</w:t>
            </w:r>
          </w:p>
        </w:tc>
        <w:tc>
          <w:tcPr>
            <w:tcW w:w="1480" w:type="dxa"/>
            <w:tcBorders>
              <w:top w:val="single" w:color="auto" w:sz="4" w:space="0"/>
              <w:left w:val="single" w:color="auto" w:sz="4" w:space="0"/>
              <w:bottom w:val="single" w:color="auto" w:sz="4" w:space="0"/>
              <w:right w:val="single" w:color="auto" w:sz="4" w:space="0"/>
            </w:tcBorders>
            <w:vAlign w:val="center"/>
          </w:tcPr>
          <w:p w14:paraId="11BB2335">
            <w:pPr>
              <w:jc w:val="center"/>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Cs w:val="21"/>
                <w:highlight w:val="none"/>
                <w:lang w:val="en-US" w:eastAsia="zh-CN"/>
              </w:rPr>
              <w:t>903100.00</w:t>
            </w:r>
          </w:p>
        </w:tc>
        <w:tc>
          <w:tcPr>
            <w:tcW w:w="812" w:type="dxa"/>
            <w:tcBorders>
              <w:top w:val="single" w:color="auto" w:sz="4" w:space="0"/>
              <w:left w:val="single" w:color="auto" w:sz="4" w:space="0"/>
              <w:bottom w:val="single" w:color="auto" w:sz="4" w:space="0"/>
              <w:right w:val="single" w:color="auto" w:sz="4" w:space="0"/>
            </w:tcBorders>
            <w:vAlign w:val="center"/>
          </w:tcPr>
          <w:p w14:paraId="5342719C">
            <w:pPr>
              <w:ind w:right="-107" w:rightChars="-51"/>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已含</w:t>
            </w:r>
          </w:p>
        </w:tc>
        <w:tc>
          <w:tcPr>
            <w:tcW w:w="812" w:type="dxa"/>
            <w:tcBorders>
              <w:top w:val="single" w:color="auto" w:sz="4" w:space="0"/>
              <w:left w:val="single" w:color="auto" w:sz="4" w:space="0"/>
              <w:bottom w:val="single" w:color="auto" w:sz="4" w:space="0"/>
              <w:right w:val="single" w:color="auto" w:sz="4" w:space="0"/>
            </w:tcBorders>
            <w:vAlign w:val="center"/>
          </w:tcPr>
          <w:p w14:paraId="370D40D8">
            <w:pPr>
              <w:ind w:right="-107" w:rightChars="-51"/>
              <w:jc w:val="center"/>
              <w:rPr>
                <w:rFonts w:hint="default" w:ascii="Times New Roman" w:hAnsi="Times New Roman" w:eastAsia="宋体" w:cs="Times New Roman"/>
                <w:bCs/>
                <w:color w:val="auto"/>
                <w:szCs w:val="21"/>
                <w:highlight w:val="none"/>
              </w:rPr>
            </w:pPr>
            <w:r>
              <w:rPr>
                <w:rFonts w:hint="default" w:ascii="Times New Roman" w:hAnsi="Times New Roman" w:eastAsia="宋体" w:cs="Times New Roman"/>
                <w:bCs/>
                <w:color w:val="auto"/>
                <w:szCs w:val="21"/>
                <w:highlight w:val="none"/>
              </w:rPr>
              <w:t>已含</w:t>
            </w:r>
          </w:p>
        </w:tc>
        <w:tc>
          <w:tcPr>
            <w:tcW w:w="691" w:type="dxa"/>
            <w:tcBorders>
              <w:top w:val="single" w:color="auto" w:sz="4" w:space="0"/>
              <w:left w:val="single" w:color="auto" w:sz="4" w:space="0"/>
              <w:bottom w:val="single" w:color="auto" w:sz="4" w:space="0"/>
              <w:right w:val="single" w:color="auto" w:sz="4" w:space="0"/>
            </w:tcBorders>
            <w:vAlign w:val="center"/>
          </w:tcPr>
          <w:p w14:paraId="127D69C6">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已含</w:t>
            </w:r>
          </w:p>
        </w:tc>
        <w:tc>
          <w:tcPr>
            <w:tcW w:w="1314" w:type="dxa"/>
            <w:tcBorders>
              <w:top w:val="single" w:color="auto" w:sz="4" w:space="0"/>
              <w:left w:val="single" w:color="auto" w:sz="4" w:space="0"/>
              <w:bottom w:val="single" w:color="auto" w:sz="4" w:space="0"/>
              <w:right w:val="single" w:color="auto" w:sz="4" w:space="0"/>
            </w:tcBorders>
            <w:vAlign w:val="center"/>
          </w:tcPr>
          <w:p w14:paraId="704F997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合同签订后</w:t>
            </w:r>
          </w:p>
          <w:p w14:paraId="38BF171D">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30</w:t>
            </w:r>
            <w:r>
              <w:rPr>
                <w:rFonts w:hint="default" w:ascii="Times New Roman" w:hAnsi="Times New Roman" w:eastAsia="宋体" w:cs="Times New Roman"/>
                <w:color w:val="auto"/>
                <w:szCs w:val="21"/>
                <w:highlight w:val="none"/>
              </w:rPr>
              <w:t>日内</w:t>
            </w:r>
          </w:p>
        </w:tc>
        <w:tc>
          <w:tcPr>
            <w:tcW w:w="1241" w:type="dxa"/>
            <w:tcBorders>
              <w:top w:val="single" w:color="auto" w:sz="4" w:space="0"/>
              <w:left w:val="single" w:color="auto" w:sz="4" w:space="0"/>
              <w:bottom w:val="single" w:color="auto" w:sz="4" w:space="0"/>
              <w:right w:val="single" w:color="auto" w:sz="4" w:space="0"/>
            </w:tcBorders>
          </w:tcPr>
          <w:p w14:paraId="15E685E2">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郑东新区河南中医药大学</w:t>
            </w:r>
          </w:p>
        </w:tc>
        <w:tc>
          <w:tcPr>
            <w:tcW w:w="606" w:type="dxa"/>
            <w:tcBorders>
              <w:top w:val="single" w:color="auto" w:sz="4" w:space="0"/>
              <w:left w:val="single" w:color="auto" w:sz="4" w:space="0"/>
              <w:bottom w:val="single" w:color="auto" w:sz="4" w:space="0"/>
              <w:right w:val="single" w:color="auto" w:sz="4" w:space="0"/>
            </w:tcBorders>
            <w:vAlign w:val="center"/>
          </w:tcPr>
          <w:p w14:paraId="47AAFA7B">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w:t>
            </w:r>
          </w:p>
        </w:tc>
      </w:tr>
      <w:tr w14:paraId="413DF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tcPr>
          <w:p w14:paraId="4FE96E93">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w:t>
            </w:r>
          </w:p>
        </w:tc>
        <w:tc>
          <w:tcPr>
            <w:tcW w:w="1573" w:type="dxa"/>
            <w:tcBorders>
              <w:top w:val="single" w:color="auto" w:sz="4" w:space="0"/>
              <w:left w:val="single" w:color="auto" w:sz="4" w:space="0"/>
              <w:bottom w:val="single" w:color="auto" w:sz="4" w:space="0"/>
              <w:right w:val="single" w:color="auto" w:sz="4" w:space="0"/>
            </w:tcBorders>
          </w:tcPr>
          <w:p w14:paraId="4943CAA7">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备品备件</w:t>
            </w:r>
          </w:p>
          <w:p w14:paraId="48C24CEC">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及其他</w:t>
            </w:r>
          </w:p>
        </w:tc>
        <w:tc>
          <w:tcPr>
            <w:tcW w:w="13110" w:type="dxa"/>
            <w:gridSpan w:val="13"/>
            <w:tcBorders>
              <w:top w:val="single" w:color="auto" w:sz="4" w:space="0"/>
              <w:left w:val="single" w:color="auto" w:sz="4" w:space="0"/>
              <w:bottom w:val="single" w:color="auto" w:sz="4" w:space="0"/>
              <w:right w:val="single" w:color="auto" w:sz="4" w:space="0"/>
            </w:tcBorders>
            <w:vAlign w:val="center"/>
          </w:tcPr>
          <w:p w14:paraId="610DD4EC">
            <w:pP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配件</w:t>
            </w:r>
          </w:p>
          <w:p w14:paraId="6AAE3DBE">
            <w:pP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消耗品</w:t>
            </w:r>
          </w:p>
          <w:p w14:paraId="6AF7D89D">
            <w:pPr>
              <w:jc w:val="both"/>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b/>
                <w:color w:val="auto"/>
                <w:szCs w:val="21"/>
                <w:highlight w:val="none"/>
              </w:rPr>
              <w:t>维护工具盒：</w:t>
            </w:r>
            <w:r>
              <w:rPr>
                <w:rFonts w:hint="default" w:ascii="Times New Roman" w:hAnsi="Times New Roman" w:eastAsia="宋体" w:cs="Times New Roman"/>
                <w:b/>
                <w:color w:val="auto"/>
                <w:szCs w:val="21"/>
                <w:highlight w:val="none"/>
                <w:lang w:val="en-US" w:eastAsia="zh-CN"/>
              </w:rPr>
              <w:t>总价已含</w:t>
            </w:r>
          </w:p>
        </w:tc>
      </w:tr>
      <w:tr w14:paraId="628A6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540" w:type="dxa"/>
            <w:tcBorders>
              <w:top w:val="single" w:color="auto" w:sz="4" w:space="0"/>
              <w:left w:val="single" w:color="auto" w:sz="4" w:space="0"/>
              <w:bottom w:val="single" w:color="auto" w:sz="4" w:space="0"/>
              <w:right w:val="single" w:color="auto" w:sz="4" w:space="0"/>
            </w:tcBorders>
          </w:tcPr>
          <w:p w14:paraId="02309C04">
            <w:pPr>
              <w:jc w:val="center"/>
              <w:rPr>
                <w:rFonts w:hint="default" w:ascii="Times New Roman" w:hAnsi="Times New Roman" w:eastAsia="宋体" w:cs="Times New Roman"/>
                <w:color w:val="auto"/>
                <w:szCs w:val="21"/>
                <w:highlight w:val="none"/>
              </w:rPr>
            </w:pPr>
          </w:p>
        </w:tc>
        <w:tc>
          <w:tcPr>
            <w:tcW w:w="1573" w:type="dxa"/>
            <w:tcBorders>
              <w:top w:val="single" w:color="auto" w:sz="4" w:space="0"/>
              <w:left w:val="single" w:color="auto" w:sz="4" w:space="0"/>
              <w:bottom w:val="single" w:color="auto" w:sz="4" w:space="0"/>
              <w:right w:val="single" w:color="auto" w:sz="4" w:space="0"/>
            </w:tcBorders>
          </w:tcPr>
          <w:p w14:paraId="1DDDEF44">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合计</w:t>
            </w:r>
          </w:p>
        </w:tc>
        <w:tc>
          <w:tcPr>
            <w:tcW w:w="2712" w:type="dxa"/>
            <w:gridSpan w:val="2"/>
            <w:tcBorders>
              <w:top w:val="single" w:color="auto" w:sz="4" w:space="0"/>
              <w:left w:val="single" w:color="auto" w:sz="4" w:space="0"/>
              <w:bottom w:val="single" w:color="auto" w:sz="4" w:space="0"/>
              <w:right w:val="single" w:color="auto" w:sz="4" w:space="0"/>
            </w:tcBorders>
            <w:vAlign w:val="center"/>
          </w:tcPr>
          <w:p w14:paraId="6630C4D1">
            <w:pPr>
              <w:rPr>
                <w:rFonts w:hint="default" w:ascii="Times New Roman" w:hAnsi="Times New Roman" w:eastAsia="宋体" w:cs="Times New Roman"/>
                <w:bCs/>
                <w:color w:val="auto"/>
                <w:kern w:val="0"/>
                <w:szCs w:val="21"/>
                <w:highlight w:val="none"/>
              </w:rPr>
            </w:pPr>
          </w:p>
        </w:tc>
        <w:tc>
          <w:tcPr>
            <w:tcW w:w="606" w:type="dxa"/>
            <w:tcBorders>
              <w:top w:val="single" w:color="auto" w:sz="4" w:space="0"/>
              <w:left w:val="single" w:color="auto" w:sz="4" w:space="0"/>
              <w:bottom w:val="single" w:color="auto" w:sz="4" w:space="0"/>
              <w:right w:val="single" w:color="auto" w:sz="4" w:space="0"/>
            </w:tcBorders>
            <w:vAlign w:val="center"/>
          </w:tcPr>
          <w:p w14:paraId="77FB70D8">
            <w:pPr>
              <w:jc w:val="center"/>
              <w:rPr>
                <w:rFonts w:hint="default" w:ascii="Times New Roman" w:hAnsi="Times New Roman" w:eastAsia="宋体" w:cs="Times New Roman"/>
                <w:bCs/>
                <w:color w:val="auto"/>
                <w:szCs w:val="21"/>
                <w:highlight w:val="none"/>
              </w:rPr>
            </w:pPr>
          </w:p>
        </w:tc>
        <w:tc>
          <w:tcPr>
            <w:tcW w:w="606" w:type="dxa"/>
            <w:tcBorders>
              <w:top w:val="single" w:color="auto" w:sz="4" w:space="0"/>
              <w:left w:val="single" w:color="auto" w:sz="4" w:space="0"/>
              <w:bottom w:val="single" w:color="auto" w:sz="4" w:space="0"/>
              <w:right w:val="single" w:color="auto" w:sz="4" w:space="0"/>
            </w:tcBorders>
            <w:vAlign w:val="center"/>
          </w:tcPr>
          <w:p w14:paraId="04251665">
            <w:pPr>
              <w:jc w:val="center"/>
              <w:rPr>
                <w:rFonts w:hint="default" w:ascii="Times New Roman" w:hAnsi="Times New Roman" w:eastAsia="宋体" w:cs="Times New Roman"/>
                <w:color w:val="auto"/>
                <w:szCs w:val="21"/>
                <w:highlight w:val="none"/>
              </w:rPr>
            </w:pPr>
          </w:p>
        </w:tc>
        <w:tc>
          <w:tcPr>
            <w:tcW w:w="496" w:type="dxa"/>
            <w:tcBorders>
              <w:top w:val="single" w:color="auto" w:sz="4" w:space="0"/>
              <w:left w:val="single" w:color="auto" w:sz="4" w:space="0"/>
              <w:bottom w:val="single" w:color="auto" w:sz="4" w:space="0"/>
              <w:right w:val="single" w:color="auto" w:sz="4" w:space="0"/>
            </w:tcBorders>
            <w:vAlign w:val="center"/>
          </w:tcPr>
          <w:p w14:paraId="1DD8C0FD">
            <w:pPr>
              <w:jc w:val="center"/>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4</w:t>
            </w:r>
          </w:p>
        </w:tc>
        <w:tc>
          <w:tcPr>
            <w:tcW w:w="1734" w:type="dxa"/>
            <w:tcBorders>
              <w:top w:val="single" w:color="auto" w:sz="4" w:space="0"/>
              <w:left w:val="single" w:color="auto" w:sz="4" w:space="0"/>
              <w:bottom w:val="single" w:color="auto" w:sz="4" w:space="0"/>
              <w:right w:val="single" w:color="auto" w:sz="4" w:space="0"/>
            </w:tcBorders>
            <w:vAlign w:val="center"/>
          </w:tcPr>
          <w:p w14:paraId="1F706867">
            <w:pPr>
              <w:widowControl/>
              <w:jc w:val="center"/>
              <w:rPr>
                <w:rFonts w:hint="default" w:ascii="Times New Roman" w:hAnsi="Times New Roman" w:eastAsia="宋体" w:cs="Times New Roman"/>
                <w:color w:val="auto"/>
                <w:szCs w:val="21"/>
                <w:highlight w:val="none"/>
              </w:rPr>
            </w:pPr>
          </w:p>
        </w:tc>
        <w:tc>
          <w:tcPr>
            <w:tcW w:w="1480" w:type="dxa"/>
            <w:tcBorders>
              <w:top w:val="single" w:color="auto" w:sz="4" w:space="0"/>
              <w:left w:val="single" w:color="auto" w:sz="4" w:space="0"/>
              <w:bottom w:val="single" w:color="auto" w:sz="4" w:space="0"/>
              <w:right w:val="single" w:color="auto" w:sz="4" w:space="0"/>
            </w:tcBorders>
            <w:vAlign w:val="center"/>
          </w:tcPr>
          <w:p w14:paraId="3661FDA0">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4469800.00</w:t>
            </w:r>
          </w:p>
        </w:tc>
        <w:tc>
          <w:tcPr>
            <w:tcW w:w="812" w:type="dxa"/>
            <w:tcBorders>
              <w:top w:val="single" w:color="auto" w:sz="4" w:space="0"/>
              <w:left w:val="single" w:color="auto" w:sz="4" w:space="0"/>
              <w:bottom w:val="single" w:color="auto" w:sz="4" w:space="0"/>
              <w:right w:val="single" w:color="auto" w:sz="4" w:space="0"/>
            </w:tcBorders>
            <w:vAlign w:val="center"/>
          </w:tcPr>
          <w:p w14:paraId="684BC488">
            <w:pPr>
              <w:ind w:right="-107" w:rightChars="-51"/>
              <w:jc w:val="center"/>
              <w:rPr>
                <w:rFonts w:hint="default" w:ascii="Times New Roman" w:hAnsi="Times New Roman" w:eastAsia="宋体" w:cs="Times New Roman"/>
                <w:bCs/>
                <w:color w:val="auto"/>
                <w:szCs w:val="21"/>
                <w:highlight w:val="none"/>
              </w:rPr>
            </w:pPr>
          </w:p>
        </w:tc>
        <w:tc>
          <w:tcPr>
            <w:tcW w:w="812" w:type="dxa"/>
            <w:tcBorders>
              <w:top w:val="single" w:color="auto" w:sz="4" w:space="0"/>
              <w:left w:val="single" w:color="auto" w:sz="4" w:space="0"/>
              <w:bottom w:val="single" w:color="auto" w:sz="4" w:space="0"/>
              <w:right w:val="single" w:color="auto" w:sz="4" w:space="0"/>
            </w:tcBorders>
            <w:vAlign w:val="center"/>
          </w:tcPr>
          <w:p w14:paraId="3DBF7457">
            <w:pPr>
              <w:ind w:right="-107" w:rightChars="-51"/>
              <w:jc w:val="center"/>
              <w:rPr>
                <w:rFonts w:hint="default" w:ascii="Times New Roman" w:hAnsi="Times New Roman" w:eastAsia="宋体" w:cs="Times New Roman"/>
                <w:bCs/>
                <w:color w:val="auto"/>
                <w:szCs w:val="21"/>
                <w:highlight w:val="none"/>
              </w:rPr>
            </w:pPr>
          </w:p>
        </w:tc>
        <w:tc>
          <w:tcPr>
            <w:tcW w:w="691" w:type="dxa"/>
            <w:tcBorders>
              <w:top w:val="single" w:color="auto" w:sz="4" w:space="0"/>
              <w:left w:val="single" w:color="auto" w:sz="4" w:space="0"/>
              <w:bottom w:val="single" w:color="auto" w:sz="4" w:space="0"/>
              <w:right w:val="single" w:color="auto" w:sz="4" w:space="0"/>
            </w:tcBorders>
            <w:vAlign w:val="center"/>
          </w:tcPr>
          <w:p w14:paraId="74DF0CC3">
            <w:pPr>
              <w:jc w:val="center"/>
              <w:rPr>
                <w:rFonts w:hint="default" w:ascii="Times New Roman" w:hAnsi="Times New Roman" w:eastAsia="宋体" w:cs="Times New Roman"/>
                <w:bCs/>
                <w:color w:val="auto"/>
                <w:szCs w:val="21"/>
                <w:highlight w:val="none"/>
              </w:rPr>
            </w:pPr>
          </w:p>
        </w:tc>
        <w:tc>
          <w:tcPr>
            <w:tcW w:w="1314" w:type="dxa"/>
            <w:tcBorders>
              <w:top w:val="single" w:color="auto" w:sz="4" w:space="0"/>
              <w:left w:val="single" w:color="auto" w:sz="4" w:space="0"/>
              <w:bottom w:val="single" w:color="auto" w:sz="4" w:space="0"/>
              <w:right w:val="single" w:color="auto" w:sz="4" w:space="0"/>
            </w:tcBorders>
            <w:vAlign w:val="center"/>
          </w:tcPr>
          <w:p w14:paraId="2BF988E8">
            <w:pPr>
              <w:jc w:val="center"/>
              <w:rPr>
                <w:rFonts w:hint="default" w:ascii="Times New Roman" w:hAnsi="Times New Roman" w:eastAsia="宋体" w:cs="Times New Roman"/>
                <w:color w:val="auto"/>
                <w:szCs w:val="21"/>
                <w:highlight w:val="none"/>
              </w:rPr>
            </w:pPr>
          </w:p>
        </w:tc>
        <w:tc>
          <w:tcPr>
            <w:tcW w:w="1241" w:type="dxa"/>
            <w:tcBorders>
              <w:top w:val="single" w:color="auto" w:sz="4" w:space="0"/>
              <w:left w:val="single" w:color="auto" w:sz="4" w:space="0"/>
              <w:bottom w:val="single" w:color="auto" w:sz="4" w:space="0"/>
              <w:right w:val="single" w:color="auto" w:sz="4" w:space="0"/>
            </w:tcBorders>
            <w:vAlign w:val="center"/>
          </w:tcPr>
          <w:p w14:paraId="1F05EDB2">
            <w:pPr>
              <w:jc w:val="center"/>
              <w:rPr>
                <w:rFonts w:hint="default" w:ascii="Times New Roman" w:hAnsi="Times New Roman" w:eastAsia="宋体" w:cs="Times New Roman"/>
                <w:color w:val="auto"/>
                <w:szCs w:val="21"/>
                <w:highlight w:val="none"/>
              </w:rPr>
            </w:pPr>
          </w:p>
        </w:tc>
        <w:tc>
          <w:tcPr>
            <w:tcW w:w="606" w:type="dxa"/>
            <w:tcBorders>
              <w:top w:val="single" w:color="auto" w:sz="4" w:space="0"/>
              <w:left w:val="single" w:color="auto" w:sz="4" w:space="0"/>
              <w:bottom w:val="single" w:color="auto" w:sz="4" w:space="0"/>
              <w:right w:val="single" w:color="auto" w:sz="4" w:space="0"/>
            </w:tcBorders>
          </w:tcPr>
          <w:p w14:paraId="417C8F18">
            <w:pPr>
              <w:jc w:val="center"/>
              <w:rPr>
                <w:rFonts w:hint="default" w:ascii="Times New Roman" w:hAnsi="Times New Roman" w:eastAsia="宋体" w:cs="Times New Roman"/>
                <w:color w:val="auto"/>
                <w:szCs w:val="21"/>
                <w:highlight w:val="none"/>
              </w:rPr>
            </w:pPr>
          </w:p>
        </w:tc>
      </w:tr>
      <w:tr w14:paraId="58473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113" w:type="dxa"/>
            <w:gridSpan w:val="2"/>
            <w:tcBorders>
              <w:top w:val="single" w:color="auto" w:sz="4" w:space="0"/>
              <w:left w:val="single" w:color="auto" w:sz="4" w:space="0"/>
              <w:bottom w:val="single" w:color="auto" w:sz="4" w:space="0"/>
              <w:right w:val="single" w:color="auto" w:sz="4" w:space="0"/>
            </w:tcBorders>
          </w:tcPr>
          <w:p w14:paraId="7272701A">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人民币总价</w:t>
            </w:r>
          </w:p>
        </w:tc>
        <w:tc>
          <w:tcPr>
            <w:tcW w:w="13110" w:type="dxa"/>
            <w:gridSpan w:val="13"/>
            <w:tcBorders>
              <w:top w:val="single" w:color="auto" w:sz="4" w:space="0"/>
              <w:left w:val="single" w:color="auto" w:sz="4" w:space="0"/>
              <w:bottom w:val="single" w:color="auto" w:sz="4" w:space="0"/>
              <w:right w:val="single" w:color="auto" w:sz="4" w:space="0"/>
            </w:tcBorders>
            <w:vAlign w:val="center"/>
          </w:tcPr>
          <w:p w14:paraId="2B4384B7">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肆佰肆拾陆万玖仟捌佰元整</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color w:val="auto"/>
                <w:szCs w:val="21"/>
                <w:highlight w:val="none"/>
                <w:lang w:val="en-US" w:eastAsia="zh-CN"/>
              </w:rPr>
              <w:t>4469800.00</w:t>
            </w:r>
            <w:r>
              <w:rPr>
                <w:rFonts w:hint="default" w:ascii="Times New Roman" w:hAnsi="Times New Roman" w:eastAsia="宋体" w:cs="Times New Roman"/>
                <w:color w:val="auto"/>
                <w:szCs w:val="21"/>
                <w:highlight w:val="none"/>
              </w:rPr>
              <w:t>）</w:t>
            </w:r>
          </w:p>
        </w:tc>
      </w:tr>
      <w:tr w14:paraId="64C57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2113" w:type="dxa"/>
            <w:gridSpan w:val="2"/>
            <w:tcBorders>
              <w:top w:val="single" w:color="auto" w:sz="4" w:space="0"/>
              <w:left w:val="single" w:color="auto" w:sz="4" w:space="0"/>
              <w:bottom w:val="single" w:color="auto" w:sz="4" w:space="0"/>
              <w:right w:val="single" w:color="auto" w:sz="4" w:space="0"/>
            </w:tcBorders>
          </w:tcPr>
          <w:p w14:paraId="3E13FECA">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备注</w:t>
            </w:r>
          </w:p>
        </w:tc>
        <w:tc>
          <w:tcPr>
            <w:tcW w:w="13110" w:type="dxa"/>
            <w:gridSpan w:val="13"/>
            <w:tcBorders>
              <w:top w:val="single" w:color="auto" w:sz="4" w:space="0"/>
              <w:left w:val="single" w:color="auto" w:sz="4" w:space="0"/>
              <w:bottom w:val="single" w:color="auto" w:sz="4" w:space="0"/>
              <w:right w:val="single" w:color="auto" w:sz="4" w:space="0"/>
            </w:tcBorders>
            <w:vAlign w:val="center"/>
          </w:tcPr>
          <w:p w14:paraId="202273E9">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另附</w:t>
            </w:r>
            <w:r>
              <w:rPr>
                <w:rFonts w:hint="default" w:ascii="Times New Roman" w:hAnsi="Times New Roman" w:eastAsia="宋体" w:cs="Times New Roman"/>
                <w:color w:val="auto"/>
                <w:kern w:val="0"/>
                <w:szCs w:val="21"/>
                <w:highlight w:val="none"/>
              </w:rPr>
              <w:t>制造商</w:t>
            </w:r>
            <w:r>
              <w:rPr>
                <w:rFonts w:hint="default" w:ascii="Times New Roman" w:hAnsi="Times New Roman" w:eastAsia="宋体" w:cs="Times New Roman"/>
                <w:color w:val="auto"/>
                <w:szCs w:val="21"/>
                <w:highlight w:val="none"/>
              </w:rPr>
              <w:t>：</w:t>
            </w:r>
            <w:r>
              <w:rPr>
                <w:rFonts w:hint="default" w:ascii="Times New Roman" w:hAnsi="Times New Roman" w:eastAsia="宋体" w:cs="Times New Roman"/>
                <w:bCs/>
                <w:color w:val="auto"/>
                <w:szCs w:val="21"/>
                <w:highlight w:val="none"/>
                <w:lang w:val="en-US" w:eastAsia="zh-CN"/>
              </w:rPr>
              <w:t>4台仪器</w:t>
            </w:r>
            <w:r>
              <w:rPr>
                <w:rFonts w:hint="default" w:ascii="Times New Roman" w:hAnsi="Times New Roman" w:eastAsia="宋体" w:cs="Times New Roman"/>
                <w:bCs/>
                <w:color w:val="auto"/>
                <w:szCs w:val="21"/>
                <w:highlight w:val="none"/>
              </w:rPr>
              <w:t>配置清单</w:t>
            </w:r>
          </w:p>
        </w:tc>
      </w:tr>
    </w:tbl>
    <w:p w14:paraId="06012E34">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76562574">
      <w:pP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甲方货物负责人签字：</w:t>
      </w:r>
    </w:p>
    <w:p w14:paraId="61E7C58E">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1392C084">
      <w:pPr>
        <w:rPr>
          <w:rFonts w:hint="default" w:ascii="Times New Roman" w:hAnsi="Times New Roman" w:eastAsia="宋体" w:cs="Times New Roman"/>
          <w:b/>
          <w:color w:val="auto"/>
          <w:kern w:val="0"/>
          <w:sz w:val="24"/>
          <w:szCs w:val="24"/>
          <w:highlight w:val="none"/>
        </w:rPr>
      </w:pPr>
      <w:r>
        <w:rPr>
          <w:rFonts w:hint="default" w:ascii="Times New Roman" w:hAnsi="Times New Roman" w:eastAsia="宋体" w:cs="Times New Roman"/>
          <w:b/>
          <w:color w:val="auto"/>
          <w:sz w:val="24"/>
          <w:szCs w:val="24"/>
          <w:highlight w:val="none"/>
        </w:rPr>
        <w:t xml:space="preserve"> </w:t>
      </w:r>
    </w:p>
    <w:p w14:paraId="7FF038F4">
      <w:pPr>
        <w:rPr>
          <w:rFonts w:hint="default" w:ascii="Times New Roman" w:hAnsi="Times New Roman" w:eastAsia="宋体" w:cs="Times New Roman"/>
          <w:color w:val="auto"/>
          <w:sz w:val="28"/>
          <w:szCs w:val="28"/>
          <w:highlight w:val="none"/>
          <w:lang w:val="en-US" w:eastAsia="zh-CN"/>
        </w:rPr>
      </w:pPr>
      <w:r>
        <w:rPr>
          <w:rFonts w:hint="default" w:ascii="Times New Roman" w:hAnsi="Times New Roman" w:eastAsia="宋体" w:cs="Times New Roman"/>
          <w:b/>
          <w:color w:val="auto"/>
          <w:kern w:val="0"/>
          <w:sz w:val="24"/>
          <w:szCs w:val="24"/>
          <w:highlight w:val="none"/>
        </w:rPr>
        <w:t>附件3：</w:t>
      </w:r>
      <w:r>
        <w:rPr>
          <w:rFonts w:hint="default" w:ascii="Times New Roman" w:hAnsi="Times New Roman" w:eastAsia="宋体" w:cs="Times New Roman"/>
          <w:b/>
          <w:color w:val="auto"/>
          <w:kern w:val="0"/>
          <w:sz w:val="28"/>
          <w:szCs w:val="28"/>
          <w:highlight w:val="none"/>
        </w:rPr>
        <w:t>制造商</w:t>
      </w:r>
      <w:r>
        <w:rPr>
          <w:rFonts w:hint="default" w:ascii="Times New Roman" w:hAnsi="Times New Roman" w:eastAsia="宋体" w:cs="Times New Roman"/>
          <w:b/>
          <w:color w:val="auto"/>
          <w:sz w:val="28"/>
          <w:szCs w:val="28"/>
          <w:highlight w:val="none"/>
          <w:lang w:val="en-US" w:eastAsia="zh-CN"/>
        </w:rPr>
        <w:t>配置清单</w:t>
      </w:r>
    </w:p>
    <w:p w14:paraId="3DC5E0E7">
      <w:pPr>
        <w:numPr>
          <w:ilvl w:val="0"/>
          <w:numId w:val="0"/>
        </w:numPr>
        <w:rPr>
          <w:rFonts w:hint="default" w:ascii="Times New Roman" w:hAnsi="Times New Roman" w:eastAsia="宋体" w:cs="Times New Roman"/>
          <w:bCs/>
          <w:color w:val="auto"/>
          <w:sz w:val="28"/>
          <w:szCs w:val="28"/>
          <w:highlight w:val="none"/>
        </w:rPr>
      </w:pPr>
      <w:r>
        <w:rPr>
          <w:rFonts w:hint="default" w:ascii="Times New Roman" w:hAnsi="Times New Roman" w:eastAsia="宋体" w:cs="Times New Roman"/>
          <w:bCs/>
          <w:color w:val="auto"/>
          <w:kern w:val="2"/>
          <w:sz w:val="28"/>
          <w:szCs w:val="28"/>
          <w:lang w:val="en-US" w:eastAsia="zh-CN" w:bidi="ar-SA"/>
        </w:rPr>
        <w:t>一、</w:t>
      </w:r>
      <w:r>
        <w:rPr>
          <w:rFonts w:hint="default" w:ascii="Times New Roman" w:hAnsi="Times New Roman" w:eastAsia="宋体" w:cs="Times New Roman"/>
          <w:bCs/>
          <w:color w:val="auto"/>
          <w:sz w:val="28"/>
          <w:szCs w:val="28"/>
          <w:highlight w:val="none"/>
        </w:rPr>
        <w:t>自动化数字PCR仪货物配置清单</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5693"/>
        <w:gridCol w:w="1057"/>
      </w:tblGrid>
      <w:tr w14:paraId="7BC9F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dxa"/>
            <w:noWrap w:val="0"/>
            <w:vAlign w:val="center"/>
          </w:tcPr>
          <w:p w14:paraId="5F8CCC3C">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5693" w:type="dxa"/>
            <w:noWrap w:val="0"/>
            <w:vAlign w:val="top"/>
          </w:tcPr>
          <w:p w14:paraId="0075E2FB">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配置名称</w:t>
            </w:r>
          </w:p>
        </w:tc>
        <w:tc>
          <w:tcPr>
            <w:tcW w:w="1057" w:type="dxa"/>
            <w:noWrap w:val="0"/>
            <w:vAlign w:val="center"/>
          </w:tcPr>
          <w:p w14:paraId="2F4F3467">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数量</w:t>
            </w:r>
          </w:p>
        </w:tc>
      </w:tr>
      <w:tr w14:paraId="34DEE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dxa"/>
            <w:noWrap w:val="0"/>
            <w:vAlign w:val="center"/>
          </w:tcPr>
          <w:p w14:paraId="287E59CC">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693" w:type="dxa"/>
            <w:noWrap w:val="0"/>
            <w:vAlign w:val="center"/>
          </w:tcPr>
          <w:p w14:paraId="4D932C9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数字PCR一体机及软件</w:t>
            </w:r>
          </w:p>
          <w:p w14:paraId="6A7A9E5A">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品牌：中科电子     型号：QX700 E</w:t>
            </w:r>
            <w:r>
              <w:rPr>
                <w:rFonts w:hint="default" w:ascii="Times New Roman" w:hAnsi="Times New Roman" w:eastAsia="宋体" w:cs="Times New Roman"/>
                <w:color w:val="auto"/>
                <w:sz w:val="21"/>
                <w:szCs w:val="21"/>
              </w:rPr>
              <w:t xml:space="preserve">   </w:t>
            </w:r>
            <w:r>
              <w:rPr>
                <w:rFonts w:hint="default" w:ascii="Times New Roman" w:hAnsi="Times New Roman" w:eastAsia="宋体" w:cs="Times New Roman"/>
                <w:color w:val="auto"/>
                <w:sz w:val="21"/>
                <w:szCs w:val="21"/>
                <w:lang w:val="en-US" w:eastAsia="zh-CN"/>
              </w:rPr>
              <w:t xml:space="preserve"> </w:t>
            </w:r>
          </w:p>
        </w:tc>
        <w:tc>
          <w:tcPr>
            <w:tcW w:w="1057" w:type="dxa"/>
            <w:noWrap w:val="0"/>
            <w:vAlign w:val="center"/>
          </w:tcPr>
          <w:p w14:paraId="4FAE848D">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1套</w:t>
            </w:r>
          </w:p>
        </w:tc>
      </w:tr>
      <w:tr w14:paraId="217D6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4" w:hRule="atLeast"/>
        </w:trPr>
        <w:tc>
          <w:tcPr>
            <w:tcW w:w="696" w:type="dxa"/>
            <w:noWrap w:val="0"/>
            <w:vAlign w:val="center"/>
          </w:tcPr>
          <w:p w14:paraId="7542D07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5693" w:type="dxa"/>
            <w:noWrap w:val="0"/>
            <w:vAlign w:val="center"/>
          </w:tcPr>
          <w:p w14:paraId="23956723">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数据处理工作</w:t>
            </w:r>
            <w:r>
              <w:rPr>
                <w:rFonts w:hint="default" w:ascii="Times New Roman" w:hAnsi="Times New Roman" w:eastAsia="宋体" w:cs="Times New Roman"/>
                <w:color w:val="auto"/>
                <w:sz w:val="21"/>
                <w:szCs w:val="21"/>
                <w:lang w:val="en-US" w:eastAsia="zh-CN"/>
              </w:rPr>
              <w:t>站</w:t>
            </w:r>
            <w:r>
              <w:rPr>
                <w:rFonts w:hint="default" w:ascii="Times New Roman" w:hAnsi="Times New Roman" w:eastAsia="宋体" w:cs="Times New Roman"/>
                <w:color w:val="auto"/>
                <w:sz w:val="21"/>
                <w:szCs w:val="21"/>
              </w:rPr>
              <w:t xml:space="preserve">          </w:t>
            </w:r>
          </w:p>
        </w:tc>
        <w:tc>
          <w:tcPr>
            <w:tcW w:w="1057" w:type="dxa"/>
            <w:noWrap w:val="0"/>
            <w:vAlign w:val="center"/>
          </w:tcPr>
          <w:p w14:paraId="4EFD323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1套</w:t>
            </w:r>
          </w:p>
        </w:tc>
      </w:tr>
      <w:tr w14:paraId="77318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dxa"/>
            <w:noWrap w:val="0"/>
            <w:vAlign w:val="center"/>
          </w:tcPr>
          <w:p w14:paraId="5B816A0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5693" w:type="dxa"/>
            <w:noWrap w:val="0"/>
            <w:vAlign w:val="center"/>
          </w:tcPr>
          <w:p w14:paraId="35CC9B4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蛋白处理模块  </w:t>
            </w:r>
          </w:p>
          <w:p w14:paraId="2D20B273">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 xml:space="preserve">品牌：中科电子   </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 xml:space="preserve">型号：Trans-Blot Turbo          </w:t>
            </w:r>
          </w:p>
        </w:tc>
        <w:tc>
          <w:tcPr>
            <w:tcW w:w="1057" w:type="dxa"/>
            <w:noWrap w:val="0"/>
            <w:vAlign w:val="center"/>
          </w:tcPr>
          <w:p w14:paraId="3634E60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1套</w:t>
            </w:r>
          </w:p>
        </w:tc>
      </w:tr>
      <w:tr w14:paraId="78149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dxa"/>
            <w:noWrap w:val="0"/>
            <w:vAlign w:val="center"/>
          </w:tcPr>
          <w:p w14:paraId="79915582">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5693" w:type="dxa"/>
            <w:noWrap w:val="0"/>
            <w:vAlign w:val="center"/>
          </w:tcPr>
          <w:p w14:paraId="381218A4">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核酸处理模块</w:t>
            </w:r>
            <w:r>
              <w:rPr>
                <w:rFonts w:hint="default" w:ascii="Times New Roman" w:hAnsi="Times New Roman" w:eastAsia="宋体" w:cs="Times New Roman"/>
                <w:color w:val="auto"/>
                <w:sz w:val="21"/>
                <w:szCs w:val="21"/>
                <w:lang w:val="en-US" w:eastAsia="zh-CN"/>
              </w:rPr>
              <w:t xml:space="preserve"> </w:t>
            </w:r>
          </w:p>
          <w:p w14:paraId="62F9392E">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 xml:space="preserve">品牌：中科电子  </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 xml:space="preserve">型号：C1000         </w:t>
            </w:r>
          </w:p>
        </w:tc>
        <w:tc>
          <w:tcPr>
            <w:tcW w:w="1057" w:type="dxa"/>
            <w:noWrap w:val="0"/>
            <w:vAlign w:val="center"/>
          </w:tcPr>
          <w:p w14:paraId="2E3BF977">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1套</w:t>
            </w:r>
          </w:p>
        </w:tc>
      </w:tr>
      <w:tr w14:paraId="79E8D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dxa"/>
            <w:noWrap w:val="0"/>
            <w:vAlign w:val="center"/>
          </w:tcPr>
          <w:p w14:paraId="1A3FEB14">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5693" w:type="dxa"/>
            <w:noWrap w:val="0"/>
            <w:vAlign w:val="center"/>
          </w:tcPr>
          <w:p w14:paraId="0F2BD5A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核酸蛋白检测模块 </w:t>
            </w:r>
          </w:p>
          <w:p w14:paraId="20344321">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 xml:space="preserve">品牌：赛默飞世尔   型号：NanoDrop One       </w:t>
            </w:r>
          </w:p>
        </w:tc>
        <w:tc>
          <w:tcPr>
            <w:tcW w:w="1057" w:type="dxa"/>
            <w:noWrap w:val="0"/>
            <w:vAlign w:val="center"/>
          </w:tcPr>
          <w:p w14:paraId="2B1C56B3">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1套</w:t>
            </w:r>
          </w:p>
        </w:tc>
      </w:tr>
      <w:tr w14:paraId="10599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dxa"/>
            <w:noWrap w:val="0"/>
            <w:vAlign w:val="center"/>
          </w:tcPr>
          <w:p w14:paraId="557AD76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5693" w:type="dxa"/>
            <w:noWrap w:val="0"/>
            <w:vAlign w:val="center"/>
          </w:tcPr>
          <w:p w14:paraId="4880130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密度梯度制备仪 </w:t>
            </w:r>
          </w:p>
          <w:p w14:paraId="1D3B8C9B">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品牌：质胜康华     型号：PW20</w:t>
            </w:r>
            <w:r>
              <w:rPr>
                <w:rFonts w:hint="default" w:ascii="Times New Roman" w:hAnsi="Times New Roman" w:eastAsia="宋体" w:cs="Times New Roman"/>
                <w:color w:val="auto"/>
                <w:sz w:val="21"/>
                <w:szCs w:val="21"/>
              </w:rPr>
              <w:t xml:space="preserve">        </w:t>
            </w:r>
          </w:p>
        </w:tc>
        <w:tc>
          <w:tcPr>
            <w:tcW w:w="1057" w:type="dxa"/>
            <w:noWrap w:val="0"/>
            <w:vAlign w:val="center"/>
          </w:tcPr>
          <w:p w14:paraId="5138446C">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1套</w:t>
            </w:r>
          </w:p>
        </w:tc>
      </w:tr>
      <w:tr w14:paraId="0911D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6" w:type="dxa"/>
            <w:noWrap w:val="0"/>
            <w:vAlign w:val="center"/>
          </w:tcPr>
          <w:p w14:paraId="1C22B24B">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5693" w:type="dxa"/>
            <w:noWrap w:val="0"/>
            <w:vAlign w:val="center"/>
          </w:tcPr>
          <w:p w14:paraId="543B9CB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移液器        </w:t>
            </w:r>
          </w:p>
          <w:p w14:paraId="414C3262">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品牌：艾本德       型号：Research plus</w:t>
            </w:r>
            <w:r>
              <w:rPr>
                <w:rFonts w:hint="default" w:ascii="Times New Roman" w:hAnsi="Times New Roman" w:eastAsia="宋体" w:cs="Times New Roman"/>
                <w:color w:val="auto"/>
                <w:sz w:val="21"/>
                <w:szCs w:val="21"/>
              </w:rPr>
              <w:t xml:space="preserve">       </w:t>
            </w:r>
          </w:p>
        </w:tc>
        <w:tc>
          <w:tcPr>
            <w:tcW w:w="1057" w:type="dxa"/>
            <w:noWrap w:val="0"/>
            <w:vAlign w:val="center"/>
          </w:tcPr>
          <w:p w14:paraId="3275EB84">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1套</w:t>
            </w:r>
          </w:p>
        </w:tc>
      </w:tr>
    </w:tbl>
    <w:p w14:paraId="3C6CD586">
      <w:pPr>
        <w:spacing w:line="240" w:lineRule="auto"/>
        <w:rPr>
          <w:rFonts w:hint="default" w:ascii="Times New Roman" w:hAnsi="Times New Roman" w:eastAsia="宋体" w:cs="Times New Roman"/>
          <w:color w:val="auto"/>
          <w:sz w:val="21"/>
          <w:szCs w:val="21"/>
          <w:lang w:val="en-US" w:eastAsia="zh-CN"/>
        </w:rPr>
      </w:pPr>
    </w:p>
    <w:p w14:paraId="3B22DDEE">
      <w:pPr>
        <w:rPr>
          <w:rFonts w:hint="default" w:ascii="Times New Roman" w:hAnsi="Times New Roman" w:eastAsia="宋体" w:cs="Times New Roman"/>
          <w:bCs/>
          <w:color w:val="auto"/>
          <w:sz w:val="28"/>
          <w:szCs w:val="28"/>
          <w:highlight w:val="none"/>
        </w:rPr>
      </w:pPr>
      <w:r>
        <w:rPr>
          <w:rFonts w:hint="default" w:ascii="Times New Roman" w:hAnsi="Times New Roman" w:eastAsia="宋体" w:cs="Times New Roman"/>
          <w:bCs/>
          <w:color w:val="auto"/>
          <w:sz w:val="28"/>
          <w:szCs w:val="28"/>
          <w:highlight w:val="none"/>
          <w:lang w:val="en-US" w:eastAsia="zh-CN"/>
        </w:rPr>
        <w:t>二、超速离心机</w:t>
      </w:r>
      <w:r>
        <w:rPr>
          <w:rFonts w:hint="default" w:ascii="Times New Roman" w:hAnsi="Times New Roman" w:eastAsia="宋体" w:cs="Times New Roman"/>
          <w:bCs/>
          <w:color w:val="auto"/>
          <w:sz w:val="28"/>
          <w:szCs w:val="28"/>
          <w:highlight w:val="none"/>
        </w:rPr>
        <w:t>货物配置清单</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3"/>
        <w:gridCol w:w="5136"/>
        <w:gridCol w:w="2133"/>
      </w:tblGrid>
      <w:tr w14:paraId="30D3A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noWrap w:val="0"/>
            <w:vAlign w:val="top"/>
          </w:tcPr>
          <w:p w14:paraId="05A917F5">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5136" w:type="dxa"/>
            <w:noWrap w:val="0"/>
            <w:vAlign w:val="top"/>
          </w:tcPr>
          <w:p w14:paraId="74C2BAD9">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配置名称</w:t>
            </w:r>
          </w:p>
        </w:tc>
        <w:tc>
          <w:tcPr>
            <w:tcW w:w="2133" w:type="dxa"/>
            <w:noWrap w:val="0"/>
            <w:vAlign w:val="top"/>
          </w:tcPr>
          <w:p w14:paraId="2BE46C5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数量</w:t>
            </w:r>
          </w:p>
        </w:tc>
      </w:tr>
      <w:tr w14:paraId="49456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noWrap w:val="0"/>
            <w:vAlign w:val="top"/>
          </w:tcPr>
          <w:p w14:paraId="0D375F85">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136" w:type="dxa"/>
            <w:noWrap w:val="0"/>
            <w:vAlign w:val="center"/>
          </w:tcPr>
          <w:p w14:paraId="76CEE404">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离心机主机</w:t>
            </w:r>
          </w:p>
          <w:p w14:paraId="327BE3C5">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品牌：贝克曼 型号：Optima XPN-100</w:t>
            </w:r>
          </w:p>
        </w:tc>
        <w:tc>
          <w:tcPr>
            <w:tcW w:w="2133" w:type="dxa"/>
            <w:noWrap w:val="0"/>
            <w:vAlign w:val="top"/>
          </w:tcPr>
          <w:p w14:paraId="7288B3A5">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r>
      <w:tr w14:paraId="5D543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noWrap w:val="0"/>
            <w:vAlign w:val="top"/>
          </w:tcPr>
          <w:p w14:paraId="3035822E">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5136" w:type="dxa"/>
            <w:noWrap w:val="0"/>
            <w:vAlign w:val="center"/>
          </w:tcPr>
          <w:p w14:paraId="76740BCC">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离心管热封器</w:t>
            </w:r>
          </w:p>
        </w:tc>
        <w:tc>
          <w:tcPr>
            <w:tcW w:w="2133" w:type="dxa"/>
            <w:noWrap w:val="0"/>
            <w:vAlign w:val="top"/>
          </w:tcPr>
          <w:p w14:paraId="490980C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2BDC4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noWrap w:val="0"/>
            <w:vAlign w:val="top"/>
          </w:tcPr>
          <w:p w14:paraId="337BFDB7">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5136" w:type="dxa"/>
            <w:noWrap w:val="0"/>
            <w:vAlign w:val="center"/>
          </w:tcPr>
          <w:p w14:paraId="3E93343A">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钛合金定角转子：最大容量8×39mL，K因子44；同品牌离心管100个，离心瓶12个及对应工具</w:t>
            </w:r>
          </w:p>
        </w:tc>
        <w:tc>
          <w:tcPr>
            <w:tcW w:w="2133" w:type="dxa"/>
            <w:noWrap w:val="0"/>
            <w:vAlign w:val="top"/>
          </w:tcPr>
          <w:p w14:paraId="7471C17A">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7CE1B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noWrap w:val="0"/>
            <w:vAlign w:val="top"/>
          </w:tcPr>
          <w:p w14:paraId="3A82867C">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5136" w:type="dxa"/>
            <w:noWrap w:val="0"/>
            <w:vAlign w:val="center"/>
          </w:tcPr>
          <w:p w14:paraId="64D14E55">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可离心最大容量8×6mL，K因子15；同品牌离心管100个</w:t>
            </w:r>
          </w:p>
        </w:tc>
        <w:tc>
          <w:tcPr>
            <w:tcW w:w="2133" w:type="dxa"/>
            <w:noWrap w:val="0"/>
            <w:vAlign w:val="top"/>
          </w:tcPr>
          <w:p w14:paraId="7CEBE340">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24235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noWrap w:val="0"/>
            <w:vAlign w:val="top"/>
          </w:tcPr>
          <w:p w14:paraId="2BEFC78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5136" w:type="dxa"/>
            <w:noWrap w:val="0"/>
            <w:vAlign w:val="center"/>
          </w:tcPr>
          <w:p w14:paraId="5622780C">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钛合金水平转子：最大容量6×38.5mL，K因子204；同品牌离心管50个</w:t>
            </w:r>
          </w:p>
        </w:tc>
        <w:tc>
          <w:tcPr>
            <w:tcW w:w="2133" w:type="dxa"/>
            <w:noWrap w:val="0"/>
            <w:vAlign w:val="top"/>
          </w:tcPr>
          <w:p w14:paraId="240CB37C">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4E2DB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noWrap w:val="0"/>
            <w:vAlign w:val="top"/>
          </w:tcPr>
          <w:p w14:paraId="61F449F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5136" w:type="dxa"/>
            <w:noWrap w:val="0"/>
            <w:vAlign w:val="center"/>
          </w:tcPr>
          <w:p w14:paraId="54CAD0D2">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可离心最大容量 6×13.2mL，k因子124；同品牌离心管50个</w:t>
            </w:r>
          </w:p>
        </w:tc>
        <w:tc>
          <w:tcPr>
            <w:tcW w:w="2133" w:type="dxa"/>
            <w:noWrap w:val="0"/>
            <w:vAlign w:val="top"/>
          </w:tcPr>
          <w:p w14:paraId="15BC0F0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4243A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3" w:type="dxa"/>
            <w:noWrap w:val="0"/>
            <w:vAlign w:val="top"/>
          </w:tcPr>
          <w:p w14:paraId="6633D509">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5136" w:type="dxa"/>
            <w:noWrap w:val="0"/>
            <w:vAlign w:val="center"/>
          </w:tcPr>
          <w:p w14:paraId="3932A229">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离心后样品穿刺标记及取样设备</w:t>
            </w:r>
          </w:p>
          <w:p w14:paraId="2D27B084">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品牌：质胜康华  型号：PW-CC6</w:t>
            </w:r>
          </w:p>
        </w:tc>
        <w:tc>
          <w:tcPr>
            <w:tcW w:w="2133" w:type="dxa"/>
            <w:noWrap w:val="0"/>
            <w:vAlign w:val="top"/>
          </w:tcPr>
          <w:p w14:paraId="2998E77F">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bl>
    <w:p w14:paraId="0EF141D8">
      <w:pPr>
        <w:rPr>
          <w:rFonts w:hint="default" w:ascii="Times New Roman" w:hAnsi="Times New Roman" w:eastAsia="宋体" w:cs="Times New Roman"/>
          <w:bCs/>
          <w:color w:val="auto"/>
          <w:sz w:val="21"/>
          <w:szCs w:val="21"/>
          <w:highlight w:val="none"/>
        </w:rPr>
      </w:pPr>
    </w:p>
    <w:p w14:paraId="08025D1D">
      <w:pPr>
        <w:rPr>
          <w:rFonts w:hint="default" w:ascii="Times New Roman" w:hAnsi="Times New Roman" w:eastAsia="宋体" w:cs="Times New Roman"/>
          <w:bCs/>
          <w:color w:val="auto"/>
          <w:sz w:val="28"/>
          <w:szCs w:val="28"/>
          <w:highlight w:val="none"/>
          <w:lang w:val="en-US" w:eastAsia="zh-CN"/>
        </w:rPr>
      </w:pPr>
      <w:r>
        <w:rPr>
          <w:rFonts w:hint="default" w:ascii="Times New Roman" w:hAnsi="Times New Roman" w:eastAsia="宋体" w:cs="Times New Roman"/>
          <w:bCs/>
          <w:color w:val="auto"/>
          <w:sz w:val="28"/>
          <w:szCs w:val="28"/>
          <w:highlight w:val="none"/>
          <w:lang w:val="en-US" w:eastAsia="zh-CN"/>
        </w:rPr>
        <w:t>三、箱内高内涵活细胞成像系统</w:t>
      </w:r>
      <w:r>
        <w:rPr>
          <w:rFonts w:hint="default" w:ascii="Times New Roman" w:hAnsi="Times New Roman" w:eastAsia="宋体" w:cs="Times New Roman"/>
          <w:bCs/>
          <w:color w:val="auto"/>
          <w:sz w:val="28"/>
          <w:szCs w:val="28"/>
          <w:highlight w:val="none"/>
        </w:rPr>
        <w:t>配置清单</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6596"/>
        <w:gridCol w:w="1192"/>
      </w:tblGrid>
      <w:tr w14:paraId="2D1DA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dxa"/>
            <w:noWrap w:val="0"/>
            <w:vAlign w:val="top"/>
          </w:tcPr>
          <w:p w14:paraId="12589F4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6596" w:type="dxa"/>
            <w:noWrap w:val="0"/>
            <w:vAlign w:val="top"/>
          </w:tcPr>
          <w:p w14:paraId="603960C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配置名称</w:t>
            </w:r>
          </w:p>
        </w:tc>
        <w:tc>
          <w:tcPr>
            <w:tcW w:w="1192" w:type="dxa"/>
            <w:noWrap w:val="0"/>
            <w:vAlign w:val="top"/>
          </w:tcPr>
          <w:p w14:paraId="3E12F2B8">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数量</w:t>
            </w:r>
          </w:p>
        </w:tc>
      </w:tr>
      <w:tr w14:paraId="63623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dxa"/>
            <w:noWrap w:val="0"/>
            <w:vAlign w:val="top"/>
          </w:tcPr>
          <w:p w14:paraId="655F9DF4">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6596" w:type="dxa"/>
            <w:noWrap w:val="0"/>
            <w:vAlign w:val="center"/>
          </w:tcPr>
          <w:p w14:paraId="49C0CB5D">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主机（包含数据分析单元、显微成像单元及连接配件）</w:t>
            </w:r>
          </w:p>
          <w:p w14:paraId="175D3D13">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品牌：艾克韦     型号：AcvBiocyte LCSX1</w:t>
            </w:r>
          </w:p>
        </w:tc>
        <w:tc>
          <w:tcPr>
            <w:tcW w:w="1192" w:type="dxa"/>
            <w:noWrap w:val="0"/>
            <w:vAlign w:val="top"/>
          </w:tcPr>
          <w:p w14:paraId="6EC9B459">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6132A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dxa"/>
            <w:noWrap w:val="0"/>
            <w:vAlign w:val="top"/>
          </w:tcPr>
          <w:p w14:paraId="77EDDD5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596" w:type="dxa"/>
            <w:noWrap w:val="0"/>
            <w:vAlign w:val="center"/>
          </w:tcPr>
          <w:p w14:paraId="32B1827C">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气套式CO2培养箱                     </w:t>
            </w:r>
          </w:p>
        </w:tc>
        <w:tc>
          <w:tcPr>
            <w:tcW w:w="1192" w:type="dxa"/>
            <w:noWrap w:val="0"/>
            <w:vAlign w:val="top"/>
          </w:tcPr>
          <w:p w14:paraId="5FA8D76A">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1台 </w:t>
            </w:r>
          </w:p>
        </w:tc>
      </w:tr>
      <w:tr w14:paraId="7FEC6B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dxa"/>
            <w:noWrap w:val="0"/>
            <w:vAlign w:val="top"/>
          </w:tcPr>
          <w:p w14:paraId="4DF47C62">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6596" w:type="dxa"/>
            <w:noWrap w:val="0"/>
            <w:vAlign w:val="center"/>
          </w:tcPr>
          <w:p w14:paraId="15750E2D">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基础成像及荧光成像分析软件                 </w:t>
            </w:r>
          </w:p>
        </w:tc>
        <w:tc>
          <w:tcPr>
            <w:tcW w:w="1192" w:type="dxa"/>
            <w:noWrap w:val="0"/>
            <w:vAlign w:val="top"/>
          </w:tcPr>
          <w:p w14:paraId="47F8E41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453D2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dxa"/>
            <w:noWrap w:val="0"/>
            <w:vAlign w:val="top"/>
          </w:tcPr>
          <w:p w14:paraId="3763B10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6596" w:type="dxa"/>
            <w:noWrap w:val="0"/>
            <w:vAlign w:val="center"/>
          </w:tcPr>
          <w:p w14:paraId="604FCDF1">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高清物镜模块（4×，10×，20×）   </w:t>
            </w:r>
          </w:p>
        </w:tc>
        <w:tc>
          <w:tcPr>
            <w:tcW w:w="1192" w:type="dxa"/>
            <w:noWrap w:val="0"/>
            <w:vAlign w:val="top"/>
          </w:tcPr>
          <w:p w14:paraId="4B8DC829">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4F296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dxa"/>
            <w:noWrap w:val="0"/>
            <w:vAlign w:val="top"/>
          </w:tcPr>
          <w:p w14:paraId="6CB7FEBD">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6596" w:type="dxa"/>
            <w:noWrap w:val="0"/>
            <w:vAlign w:val="center"/>
          </w:tcPr>
          <w:p w14:paraId="3B1AE223">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肿瘤球及其他分析模块                      </w:t>
            </w:r>
          </w:p>
        </w:tc>
        <w:tc>
          <w:tcPr>
            <w:tcW w:w="1192" w:type="dxa"/>
            <w:noWrap w:val="0"/>
            <w:vAlign w:val="top"/>
          </w:tcPr>
          <w:p w14:paraId="58CBAD68">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69AF1F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dxa"/>
            <w:noWrap w:val="0"/>
            <w:vAlign w:val="top"/>
          </w:tcPr>
          <w:p w14:paraId="4FDB0815">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6596" w:type="dxa"/>
            <w:noWrap w:val="0"/>
            <w:vAlign w:val="center"/>
          </w:tcPr>
          <w:p w14:paraId="49F354F9">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微孔板载架（培养皿、培养瓶、腔室载玻片）     </w:t>
            </w:r>
          </w:p>
        </w:tc>
        <w:tc>
          <w:tcPr>
            <w:tcW w:w="1192" w:type="dxa"/>
            <w:noWrap w:val="0"/>
            <w:vAlign w:val="top"/>
          </w:tcPr>
          <w:p w14:paraId="06AEE63E">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5878F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dxa"/>
            <w:noWrap w:val="0"/>
            <w:vAlign w:val="top"/>
          </w:tcPr>
          <w:p w14:paraId="2AD2210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6596" w:type="dxa"/>
            <w:noWrap w:val="0"/>
            <w:vAlign w:val="center"/>
          </w:tcPr>
          <w:p w14:paraId="1FFF335D">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配套移液器</w:t>
            </w:r>
          </w:p>
          <w:p w14:paraId="4D42F42E">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品牌：艾本德       型号：Research plus                    </w:t>
            </w:r>
          </w:p>
        </w:tc>
        <w:tc>
          <w:tcPr>
            <w:tcW w:w="1192" w:type="dxa"/>
            <w:noWrap w:val="0"/>
            <w:vAlign w:val="top"/>
          </w:tcPr>
          <w:p w14:paraId="0ED54BFD">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72DE5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4" w:type="dxa"/>
            <w:noWrap w:val="0"/>
            <w:vAlign w:val="top"/>
          </w:tcPr>
          <w:p w14:paraId="2AF6AF0E">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6596" w:type="dxa"/>
            <w:noWrap w:val="0"/>
            <w:vAlign w:val="center"/>
          </w:tcPr>
          <w:p w14:paraId="2A322B0C">
            <w:pPr>
              <w:spacing w:line="240" w:lineRule="auto"/>
              <w:jc w:val="both"/>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配备实验所需6/12/24/96孔板各规格200个、培养瓶（T25/T75/T175）各规格100个、培养皿（35/60/90/100mm）各规格200个</w:t>
            </w:r>
          </w:p>
        </w:tc>
        <w:tc>
          <w:tcPr>
            <w:tcW w:w="1192" w:type="dxa"/>
            <w:noWrap w:val="0"/>
            <w:vAlign w:val="top"/>
          </w:tcPr>
          <w:p w14:paraId="5F72E555">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bl>
    <w:p w14:paraId="3E3154A4">
      <w:pPr>
        <w:rPr>
          <w:rFonts w:hint="default" w:ascii="Times New Roman" w:hAnsi="Times New Roman" w:eastAsia="宋体" w:cs="Times New Roman"/>
          <w:bCs/>
          <w:color w:val="auto"/>
          <w:sz w:val="28"/>
          <w:szCs w:val="28"/>
          <w:highlight w:val="none"/>
          <w:lang w:val="en-US" w:eastAsia="zh-CN"/>
        </w:rPr>
      </w:pPr>
    </w:p>
    <w:p w14:paraId="4953010D">
      <w:pPr>
        <w:rPr>
          <w:rFonts w:hint="default" w:ascii="Times New Roman" w:hAnsi="Times New Roman" w:eastAsia="宋体" w:cs="Times New Roman"/>
          <w:bCs/>
          <w:color w:val="auto"/>
          <w:sz w:val="28"/>
          <w:szCs w:val="28"/>
          <w:highlight w:val="none"/>
          <w:lang w:val="en-US" w:eastAsia="zh-CN"/>
        </w:rPr>
      </w:pPr>
    </w:p>
    <w:p w14:paraId="01134AEE">
      <w:pPr>
        <w:rPr>
          <w:rFonts w:hint="default" w:ascii="Times New Roman" w:hAnsi="Times New Roman" w:eastAsia="宋体" w:cs="Times New Roman"/>
          <w:bCs/>
          <w:color w:val="auto"/>
          <w:sz w:val="28"/>
          <w:szCs w:val="28"/>
          <w:highlight w:val="none"/>
          <w:lang w:val="en-US" w:eastAsia="zh-CN"/>
        </w:rPr>
      </w:pPr>
    </w:p>
    <w:p w14:paraId="3B497222">
      <w:pPr>
        <w:rPr>
          <w:rFonts w:hint="default" w:ascii="Times New Roman" w:hAnsi="Times New Roman" w:eastAsia="宋体" w:cs="Times New Roman"/>
          <w:bCs/>
          <w:color w:val="auto"/>
          <w:sz w:val="28"/>
          <w:szCs w:val="28"/>
          <w:highlight w:val="none"/>
          <w:lang w:val="en-US" w:eastAsia="zh-CN"/>
        </w:rPr>
      </w:pPr>
      <w:r>
        <w:rPr>
          <w:rFonts w:hint="default" w:ascii="Times New Roman" w:hAnsi="Times New Roman" w:eastAsia="宋体" w:cs="Times New Roman"/>
          <w:bCs/>
          <w:color w:val="auto"/>
          <w:sz w:val="28"/>
          <w:szCs w:val="28"/>
          <w:highlight w:val="none"/>
          <w:lang w:val="en-US" w:eastAsia="zh-CN"/>
        </w:rPr>
        <w:t>四、聚焦式超声破碎系统配置清单</w:t>
      </w:r>
    </w:p>
    <w:tbl>
      <w:tblPr>
        <w:tblStyle w:val="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6437"/>
        <w:gridCol w:w="750"/>
      </w:tblGrid>
      <w:tr w14:paraId="32C4D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14:paraId="30D8800F">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序号</w:t>
            </w:r>
          </w:p>
        </w:tc>
        <w:tc>
          <w:tcPr>
            <w:tcW w:w="6437" w:type="dxa"/>
            <w:noWrap w:val="0"/>
            <w:vAlign w:val="top"/>
          </w:tcPr>
          <w:p w14:paraId="7768EEAA">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配置名称</w:t>
            </w:r>
          </w:p>
        </w:tc>
        <w:tc>
          <w:tcPr>
            <w:tcW w:w="750" w:type="dxa"/>
            <w:noWrap w:val="0"/>
            <w:vAlign w:val="center"/>
          </w:tcPr>
          <w:p w14:paraId="7387ED79">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数量</w:t>
            </w:r>
          </w:p>
        </w:tc>
      </w:tr>
      <w:tr w14:paraId="6CD65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14:paraId="6CCA40FA">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6437" w:type="dxa"/>
            <w:noWrap w:val="0"/>
            <w:vAlign w:val="center"/>
          </w:tcPr>
          <w:p w14:paraId="6E70E0FD">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主机   （内置冷却系统，带软件）</w:t>
            </w:r>
          </w:p>
          <w:p w14:paraId="1FCB663E">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品牌：贝晶       型号：ME220</w:t>
            </w:r>
          </w:p>
        </w:tc>
        <w:tc>
          <w:tcPr>
            <w:tcW w:w="750" w:type="dxa"/>
            <w:noWrap w:val="0"/>
            <w:vAlign w:val="center"/>
          </w:tcPr>
          <w:p w14:paraId="0FE2573B">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r>
      <w:tr w14:paraId="543EE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14:paraId="478C12D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6437" w:type="dxa"/>
            <w:noWrap w:val="0"/>
            <w:vAlign w:val="center"/>
          </w:tcPr>
          <w:p w14:paraId="3ADDA26E">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数据处理工作站</w:t>
            </w:r>
          </w:p>
        </w:tc>
        <w:tc>
          <w:tcPr>
            <w:tcW w:w="750" w:type="dxa"/>
            <w:noWrap w:val="0"/>
            <w:vAlign w:val="center"/>
          </w:tcPr>
          <w:p w14:paraId="2D00D026">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r>
      <w:tr w14:paraId="49DE3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14:paraId="00682A4A">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6437" w:type="dxa"/>
            <w:noWrap w:val="0"/>
            <w:vAlign w:val="center"/>
          </w:tcPr>
          <w:p w14:paraId="6BC2A919">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耗材管  2包（24个1 mL，带适配器；25个130 μL，带适配器）</w:t>
            </w:r>
          </w:p>
        </w:tc>
        <w:tc>
          <w:tcPr>
            <w:tcW w:w="750" w:type="dxa"/>
            <w:noWrap w:val="0"/>
            <w:vAlign w:val="center"/>
          </w:tcPr>
          <w:p w14:paraId="0354FF21">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42284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14:paraId="5EE56A50">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6437" w:type="dxa"/>
            <w:noWrap w:val="0"/>
            <w:vAlign w:val="center"/>
          </w:tcPr>
          <w:p w14:paraId="13524809">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移液器</w:t>
            </w:r>
          </w:p>
          <w:p w14:paraId="30902EBE">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品牌：艾本德     型号：Research plus          </w:t>
            </w:r>
          </w:p>
        </w:tc>
        <w:tc>
          <w:tcPr>
            <w:tcW w:w="750" w:type="dxa"/>
            <w:noWrap w:val="0"/>
            <w:vAlign w:val="center"/>
          </w:tcPr>
          <w:p w14:paraId="2DFBDE2F">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1套</w:t>
            </w:r>
          </w:p>
        </w:tc>
      </w:tr>
      <w:tr w14:paraId="76178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14:paraId="63B4D7BE">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6437" w:type="dxa"/>
            <w:noWrap w:val="0"/>
            <w:vAlign w:val="center"/>
          </w:tcPr>
          <w:p w14:paraId="42DBB4CF">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 xml:space="preserve">低速台式离心机  </w:t>
            </w:r>
          </w:p>
          <w:p w14:paraId="0E60A0F7">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品牌：湘仪       型号：TDZ5WS</w:t>
            </w:r>
          </w:p>
        </w:tc>
        <w:tc>
          <w:tcPr>
            <w:tcW w:w="750" w:type="dxa"/>
            <w:noWrap w:val="0"/>
            <w:vAlign w:val="center"/>
          </w:tcPr>
          <w:p w14:paraId="554D9362">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1台</w:t>
            </w:r>
          </w:p>
        </w:tc>
      </w:tr>
      <w:tr w14:paraId="41079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noWrap w:val="0"/>
            <w:vAlign w:val="top"/>
          </w:tcPr>
          <w:p w14:paraId="1FFB7EF0">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6437" w:type="dxa"/>
            <w:noWrap w:val="0"/>
            <w:vAlign w:val="center"/>
          </w:tcPr>
          <w:p w14:paraId="636611EF">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脱色摇床</w:t>
            </w:r>
          </w:p>
          <w:p w14:paraId="195AA9FC">
            <w:pPr>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w:t>
            </w:r>
            <w:r>
              <w:rPr>
                <w:rFonts w:hint="eastAsia" w:ascii="Times New Roman" w:hAnsi="Times New Roman" w:eastAsia="宋体" w:cs="Times New Roman"/>
                <w:color w:val="auto"/>
                <w:sz w:val="21"/>
                <w:szCs w:val="21"/>
                <w:lang w:val="en-US" w:eastAsia="zh-CN"/>
              </w:rPr>
              <w:t>杭州米欧</w:t>
            </w:r>
            <w:r>
              <w:rPr>
                <w:rFonts w:hint="default" w:ascii="Times New Roman" w:hAnsi="Times New Roman" w:eastAsia="宋体" w:cs="Times New Roman"/>
                <w:color w:val="auto"/>
                <w:sz w:val="21"/>
                <w:szCs w:val="21"/>
                <w:lang w:val="en-US" w:eastAsia="zh-CN"/>
              </w:rPr>
              <w:t xml:space="preserve">       型号：TS-300S</w:t>
            </w:r>
          </w:p>
        </w:tc>
        <w:tc>
          <w:tcPr>
            <w:tcW w:w="750" w:type="dxa"/>
            <w:noWrap w:val="0"/>
            <w:vAlign w:val="center"/>
          </w:tcPr>
          <w:p w14:paraId="5F28E23F">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2台</w:t>
            </w:r>
          </w:p>
        </w:tc>
      </w:tr>
    </w:tbl>
    <w:p w14:paraId="24E3D6CE">
      <w:pPr>
        <w:rPr>
          <w:rFonts w:hint="default" w:ascii="Times New Roman" w:hAnsi="Times New Roman" w:eastAsia="宋体" w:cs="Times New Roman"/>
          <w:bCs/>
          <w:color w:val="auto"/>
          <w:sz w:val="21"/>
          <w:szCs w:val="21"/>
          <w:lang w:val="en-US" w:eastAsia="zh-CN"/>
        </w:rPr>
      </w:pPr>
    </w:p>
    <w:p w14:paraId="0BAC4843">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6B5CF7DF">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689E156E">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54A6616B">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0DF42F26">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6BC18025">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795E063F">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60415B14">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464FFECF">
      <w:pP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甲方货物负责人签字：</w:t>
      </w:r>
    </w:p>
    <w:p w14:paraId="05EF1E4C">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416A0DF2">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1CA5C991">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1F32928C">
      <w:pPr>
        <w:widowControl/>
        <w:jc w:val="left"/>
        <w:rPr>
          <w:rFonts w:hint="default" w:ascii="Times New Roman" w:hAnsi="Times New Roman" w:eastAsia="宋体" w:cs="Times New Roman"/>
          <w:b/>
          <w:color w:val="auto"/>
          <w:sz w:val="24"/>
          <w:szCs w:val="24"/>
          <w:highlight w:val="none"/>
        </w:rPr>
        <w:sectPr>
          <w:pgSz w:w="16838" w:h="11906" w:orient="landscape"/>
          <w:pgMar w:top="1440" w:right="1800" w:bottom="1440" w:left="1800" w:header="851" w:footer="992" w:gutter="0"/>
          <w:cols w:space="720" w:num="1"/>
          <w:docGrid w:type="lines" w:linePitch="312" w:charSpace="0"/>
        </w:sectPr>
      </w:pPr>
    </w:p>
    <w:p w14:paraId="722CDAA6">
      <w:pP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附件4：                                         货物技术参数及配置表</w:t>
      </w:r>
    </w:p>
    <w:tbl>
      <w:tblPr>
        <w:tblStyle w:val="4"/>
        <w:tblW w:w="14506" w:type="dxa"/>
        <w:tblInd w:w="-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418"/>
        <w:gridCol w:w="1100"/>
        <w:gridCol w:w="1325"/>
        <w:gridCol w:w="688"/>
        <w:gridCol w:w="8287"/>
        <w:gridCol w:w="425"/>
        <w:gridCol w:w="838"/>
        <w:gridCol w:w="587"/>
        <w:gridCol w:w="838"/>
      </w:tblGrid>
      <w:tr w14:paraId="413854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418" w:type="dxa"/>
            <w:tcBorders>
              <w:top w:val="single" w:color="auto" w:sz="4" w:space="0"/>
              <w:left w:val="single" w:color="auto" w:sz="4" w:space="0"/>
              <w:bottom w:val="single" w:color="auto" w:sz="4" w:space="0"/>
              <w:right w:val="single" w:color="auto" w:sz="4" w:space="0"/>
            </w:tcBorders>
            <w:vAlign w:val="center"/>
          </w:tcPr>
          <w:p w14:paraId="3DCD11AF">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序号</w:t>
            </w:r>
          </w:p>
        </w:tc>
        <w:tc>
          <w:tcPr>
            <w:tcW w:w="1100" w:type="dxa"/>
            <w:tcBorders>
              <w:top w:val="single" w:color="auto" w:sz="4" w:space="0"/>
              <w:left w:val="nil"/>
              <w:bottom w:val="single" w:color="auto" w:sz="4" w:space="0"/>
              <w:right w:val="single" w:color="auto" w:sz="4" w:space="0"/>
            </w:tcBorders>
            <w:vAlign w:val="center"/>
          </w:tcPr>
          <w:p w14:paraId="7F2C3851">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货物或配置名称</w:t>
            </w:r>
          </w:p>
        </w:tc>
        <w:tc>
          <w:tcPr>
            <w:tcW w:w="1325" w:type="dxa"/>
            <w:tcBorders>
              <w:top w:val="single" w:color="auto" w:sz="4" w:space="0"/>
              <w:left w:val="nil"/>
              <w:bottom w:val="single" w:color="auto" w:sz="4" w:space="0"/>
              <w:right w:val="single" w:color="auto" w:sz="4" w:space="0"/>
            </w:tcBorders>
            <w:vAlign w:val="center"/>
          </w:tcPr>
          <w:p w14:paraId="5E798225">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图片</w:t>
            </w:r>
          </w:p>
        </w:tc>
        <w:tc>
          <w:tcPr>
            <w:tcW w:w="688" w:type="dxa"/>
            <w:tcBorders>
              <w:top w:val="single" w:color="auto" w:sz="4" w:space="0"/>
              <w:left w:val="nil"/>
              <w:bottom w:val="single" w:color="auto" w:sz="4" w:space="0"/>
              <w:right w:val="single" w:color="auto" w:sz="4" w:space="0"/>
            </w:tcBorders>
            <w:vAlign w:val="center"/>
          </w:tcPr>
          <w:p w14:paraId="7682B60E">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型号规格</w:t>
            </w:r>
          </w:p>
        </w:tc>
        <w:tc>
          <w:tcPr>
            <w:tcW w:w="8287" w:type="dxa"/>
            <w:tcBorders>
              <w:top w:val="single" w:color="auto" w:sz="4" w:space="0"/>
              <w:left w:val="nil"/>
              <w:bottom w:val="single" w:color="auto" w:sz="4" w:space="0"/>
              <w:right w:val="single" w:color="auto" w:sz="4" w:space="0"/>
            </w:tcBorders>
            <w:vAlign w:val="center"/>
          </w:tcPr>
          <w:p w14:paraId="0F8F3784">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规格参数</w:t>
            </w:r>
          </w:p>
        </w:tc>
        <w:tc>
          <w:tcPr>
            <w:tcW w:w="425" w:type="dxa"/>
            <w:tcBorders>
              <w:top w:val="single" w:color="auto" w:sz="4" w:space="0"/>
              <w:left w:val="nil"/>
              <w:bottom w:val="single" w:color="auto" w:sz="4" w:space="0"/>
              <w:right w:val="single" w:color="auto" w:sz="4" w:space="0"/>
            </w:tcBorders>
            <w:vAlign w:val="center"/>
          </w:tcPr>
          <w:p w14:paraId="04518352">
            <w:pPr>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数量</w:t>
            </w:r>
          </w:p>
        </w:tc>
        <w:tc>
          <w:tcPr>
            <w:tcW w:w="838" w:type="dxa"/>
            <w:tcBorders>
              <w:top w:val="single" w:color="auto" w:sz="4" w:space="0"/>
              <w:left w:val="nil"/>
              <w:bottom w:val="single" w:color="auto" w:sz="4" w:space="0"/>
              <w:right w:val="single" w:color="auto" w:sz="4" w:space="0"/>
            </w:tcBorders>
            <w:vAlign w:val="center"/>
          </w:tcPr>
          <w:p w14:paraId="46279564">
            <w:pPr>
              <w:ind w:right="-107" w:rightChars="-51"/>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制造厂(商)</w:t>
            </w:r>
          </w:p>
        </w:tc>
        <w:tc>
          <w:tcPr>
            <w:tcW w:w="587" w:type="dxa"/>
            <w:tcBorders>
              <w:top w:val="single" w:color="auto" w:sz="4" w:space="0"/>
              <w:left w:val="nil"/>
              <w:bottom w:val="single" w:color="auto" w:sz="4" w:space="0"/>
              <w:right w:val="single" w:color="auto" w:sz="4" w:space="0"/>
            </w:tcBorders>
            <w:vAlign w:val="center"/>
          </w:tcPr>
          <w:p w14:paraId="779AE46F">
            <w:pPr>
              <w:ind w:right="-107" w:rightChars="-51"/>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原产地</w:t>
            </w:r>
          </w:p>
          <w:p w14:paraId="0C3A5EA1">
            <w:pPr>
              <w:ind w:right="-107" w:rightChars="-51"/>
              <w:jc w:val="cente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(国)</w:t>
            </w:r>
          </w:p>
        </w:tc>
        <w:tc>
          <w:tcPr>
            <w:tcW w:w="838" w:type="dxa"/>
            <w:tcBorders>
              <w:top w:val="single" w:color="auto" w:sz="4" w:space="0"/>
              <w:left w:val="nil"/>
              <w:bottom w:val="single" w:color="auto" w:sz="4" w:space="0"/>
              <w:right w:val="single" w:color="auto" w:sz="4" w:space="0"/>
            </w:tcBorders>
          </w:tcPr>
          <w:p w14:paraId="364CF3F8">
            <w:pPr>
              <w:ind w:right="-107" w:rightChars="-51"/>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甲方货物负责人签字确认</w:t>
            </w:r>
          </w:p>
        </w:tc>
      </w:tr>
      <w:tr w14:paraId="72096FA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94" w:hRule="atLeast"/>
        </w:trPr>
        <w:tc>
          <w:tcPr>
            <w:tcW w:w="418" w:type="dxa"/>
            <w:tcBorders>
              <w:top w:val="single" w:color="auto" w:sz="4" w:space="0"/>
              <w:left w:val="single" w:color="auto" w:sz="4" w:space="0"/>
              <w:bottom w:val="single" w:color="auto" w:sz="4" w:space="0"/>
              <w:right w:val="single" w:color="auto" w:sz="4" w:space="0"/>
            </w:tcBorders>
            <w:vAlign w:val="center"/>
          </w:tcPr>
          <w:p w14:paraId="2918138E">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1100" w:type="dxa"/>
            <w:tcBorders>
              <w:top w:val="single" w:color="auto" w:sz="4" w:space="0"/>
              <w:left w:val="nil"/>
              <w:bottom w:val="single" w:color="auto" w:sz="4" w:space="0"/>
              <w:right w:val="single" w:color="auto" w:sz="4" w:space="0"/>
            </w:tcBorders>
            <w:vAlign w:val="center"/>
          </w:tcPr>
          <w:p w14:paraId="1BB3053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自动化数字PCR仪</w:t>
            </w:r>
          </w:p>
        </w:tc>
        <w:tc>
          <w:tcPr>
            <w:tcW w:w="1325" w:type="dxa"/>
            <w:tcBorders>
              <w:top w:val="single" w:color="auto" w:sz="4" w:space="0"/>
              <w:left w:val="nil"/>
              <w:bottom w:val="single" w:color="auto" w:sz="4" w:space="0"/>
              <w:right w:val="single" w:color="auto" w:sz="4" w:space="0"/>
            </w:tcBorders>
            <w:vAlign w:val="center"/>
          </w:tcPr>
          <w:p w14:paraId="3DDB74D5">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rPr>
              <w:drawing>
                <wp:inline distT="0" distB="0" distL="114300" distR="114300">
                  <wp:extent cx="702945" cy="582295"/>
                  <wp:effectExtent l="0" t="0" r="1905" b="8255"/>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8"/>
                          <a:stretch>
                            <a:fillRect/>
                          </a:stretch>
                        </pic:blipFill>
                        <pic:spPr>
                          <a:xfrm>
                            <a:off x="0" y="0"/>
                            <a:ext cx="702945" cy="582295"/>
                          </a:xfrm>
                          <a:prstGeom prst="rect">
                            <a:avLst/>
                          </a:prstGeom>
                          <a:noFill/>
                          <a:ln>
                            <a:noFill/>
                          </a:ln>
                        </pic:spPr>
                      </pic:pic>
                    </a:graphicData>
                  </a:graphic>
                </wp:inline>
              </w:drawing>
            </w:r>
          </w:p>
        </w:tc>
        <w:tc>
          <w:tcPr>
            <w:tcW w:w="688" w:type="dxa"/>
            <w:tcBorders>
              <w:top w:val="single" w:color="auto" w:sz="4" w:space="0"/>
              <w:left w:val="nil"/>
              <w:bottom w:val="single" w:color="auto" w:sz="4" w:space="0"/>
              <w:right w:val="single" w:color="auto" w:sz="4" w:space="0"/>
            </w:tcBorders>
            <w:vAlign w:val="center"/>
          </w:tcPr>
          <w:p w14:paraId="271DDA29">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QX700 E</w:t>
            </w:r>
          </w:p>
        </w:tc>
        <w:tc>
          <w:tcPr>
            <w:tcW w:w="8287" w:type="dxa"/>
            <w:tcBorders>
              <w:top w:val="single" w:color="auto" w:sz="4" w:space="0"/>
              <w:left w:val="nil"/>
              <w:bottom w:val="single" w:color="auto" w:sz="4" w:space="0"/>
              <w:right w:val="single" w:color="auto" w:sz="4" w:space="0"/>
            </w:tcBorders>
            <w:vAlign w:val="center"/>
          </w:tcPr>
          <w:p w14:paraId="68028218">
            <w:pPr>
              <w:spacing w:line="240" w:lineRule="auto"/>
              <w:jc w:val="left"/>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一.仪器设备的使用用途、范围及要求：</w:t>
            </w:r>
          </w:p>
          <w:p w14:paraId="76E4F41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自动化数字PCR仪具有高灵敏度核酸绝对定量功能，在中医药研究中发挥关键作用。解析中药分子机制，可精准检测中药干预后细胞或动物组织中关键基因的拷贝数变化为阐释中药药效的科学原理提供数据支撑。保障中药质量，能通过特异性基因检测鉴别易混淆中药材，或检测中药材中病原菌的核酸残留，从分子层面建立中药质量控制标准，避免传统鉴别方法的局限性。</w:t>
            </w:r>
          </w:p>
          <w:p w14:paraId="44A20C70">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二.配置（或系统组成）</w:t>
            </w:r>
          </w:p>
          <w:p w14:paraId="70A0F89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 数字PCR一体机及软件   1套</w:t>
            </w:r>
          </w:p>
          <w:p w14:paraId="7FB28EC2">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 数据处理工作站          1套</w:t>
            </w:r>
          </w:p>
          <w:p w14:paraId="4EA53550">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 蛋白处理模块            1套</w:t>
            </w:r>
          </w:p>
          <w:p w14:paraId="5C9CCFD8">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 核酸处理模块            1套</w:t>
            </w:r>
          </w:p>
          <w:p w14:paraId="0C77B3A9">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 核酸蛋白检测模块        1套</w:t>
            </w:r>
          </w:p>
          <w:p w14:paraId="0429485F">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 密度梯度制备仪          1套</w:t>
            </w:r>
          </w:p>
          <w:p w14:paraId="579F8457">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 xml:space="preserve">7. </w:t>
            </w:r>
            <w:r>
              <w:rPr>
                <w:rFonts w:hint="default" w:ascii="Times New Roman" w:hAnsi="Times New Roman" w:eastAsia="宋体" w:cs="Times New Roman"/>
                <w:bCs/>
                <w:color w:val="auto"/>
                <w:sz w:val="21"/>
                <w:szCs w:val="21"/>
              </w:rPr>
              <w:t>移液器                  1套</w:t>
            </w:r>
          </w:p>
          <w:p w14:paraId="6CE2984A">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三、各项配置（或系统组成）的技术指标参数</w:t>
            </w:r>
          </w:p>
          <w:p w14:paraId="13728CC7">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*1.独立激发独立检测物理荧光通道7色，(FAM/ EvaGreen/ Atto550/ HEX/ ROX/ CY5/ CY5.5/ Atto590及相同波普的其他染料)；</w:t>
            </w:r>
          </w:p>
          <w:p w14:paraId="3BACA77C">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2.八小时可上样检测192个样本，每个样品的反应体系分为17000个纳升级的油包水微滴；</w:t>
            </w:r>
          </w:p>
          <w:p w14:paraId="6100D9DF">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*3.一体机包含彩色触屏：微滴生成、扩增、检测在同一台机器中执行；</w:t>
            </w:r>
          </w:p>
          <w:p w14:paraId="1264470F">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4.一步加样操作极简不需转移样本，一次实验可实现1-48任意样本量上样；</w:t>
            </w:r>
          </w:p>
          <w:p w14:paraId="14A4D7B0">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*5.单次实验可独立运行PCR程序3个，可供多人使用；</w:t>
            </w:r>
          </w:p>
          <w:p w14:paraId="0CEE4D3A">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6.7色荧光通道可检测20种荧光靶标；</w:t>
            </w:r>
          </w:p>
          <w:p w14:paraId="532F4D0A">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*7.可实现同时多板上机：上样板数3块；</w:t>
            </w:r>
          </w:p>
          <w:p w14:paraId="01ADF0DD">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8.无需滚轮封膜，避免滚轮封膜不彻底导致交叉污染及假阳性；</w:t>
            </w:r>
          </w:p>
          <w:p w14:paraId="4C4092A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*9.样品检测速度：单样本微滴数17000微滴时，48个样品2小时。</w:t>
            </w:r>
          </w:p>
          <w:p w14:paraId="605966CF">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10.灵敏度：能检测到单拷贝基因；</w:t>
            </w:r>
          </w:p>
          <w:p w14:paraId="1B3D5886">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*11.内置光源：7个独立的高能LED光源；</w:t>
            </w:r>
          </w:p>
          <w:p w14:paraId="6F3D7927">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12.检测成像分辨率7mm；可调节曝光时间，曝光时间调节步进3ms；</w:t>
            </w:r>
          </w:p>
          <w:p w14:paraId="6536848D">
            <w:pPr>
              <w:adjustRightInd w:val="0"/>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*13.配套试剂：兼容染料法和探针法；可提供10×、5× MIX</w:t>
            </w:r>
          </w:p>
          <w:p w14:paraId="32AD2ACF">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14.具备Pooling功能，可一次联合分析＞200个样品的数据，联合分析微滴数＞300万微滴；</w:t>
            </w:r>
          </w:p>
          <w:p w14:paraId="1FE93E4D">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15.微滴扩增产物可回收，进行跑胶或测序验证；</w:t>
            </w:r>
          </w:p>
          <w:p w14:paraId="7A4430BC">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16.动态范围：5个数量级；</w:t>
            </w:r>
          </w:p>
          <w:p w14:paraId="4DFA3723">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17.触屏：21.5英寸触屏界面；</w:t>
            </w:r>
          </w:p>
          <w:p w14:paraId="403F33B6">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18.具有原厂开发的Kits或Assay库，包括：突变检测（大于3000个）、拷贝数变异分析（大于1000个）、基因表达分析（大于4000个）、融合基因、微卫星不稳定性、病毒滴度、NGS文库质控检测试剂盒等；</w:t>
            </w:r>
          </w:p>
          <w:p w14:paraId="29A32B94">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19.微滴质控：软件可识别每一个微滴的体积、形状和分布。准确计算反应体积；</w:t>
            </w:r>
          </w:p>
          <w:p w14:paraId="331B78B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软件功能：拥有免费安装的客户端软件能进行机器的操控和数据的软件。软件能显示每个微滴通道的荧光信号，计算给出每个样品中含有靶分子的起始拷贝数或浓度(copies/ul)、拷贝数变异CNV、稀有突变百分比分度和连锁分析功能，且结果可直接打印输出或导入Excel表格；</w:t>
            </w:r>
          </w:p>
          <w:p w14:paraId="557E31BA">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21.软件功能：阈值线可自动也可手动，每个样本可单独设定阈值线；具有一维图、二维图、三维图；</w:t>
            </w:r>
          </w:p>
          <w:p w14:paraId="36245F17">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22.“Polygons”阈值设定模式，以简化复杂、高度多重检测的分析。</w:t>
            </w:r>
          </w:p>
          <w:p w14:paraId="628FC85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23.蛋白处理模块：</w:t>
            </w:r>
          </w:p>
          <w:p w14:paraId="75559B19">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品牌：中科电子   型号：Trans-Blot Turbo</w:t>
            </w:r>
          </w:p>
          <w:p w14:paraId="3AAF0075">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23.1转移通量：4块小胶或2块中型胶；2个转印盘设计，可运行2个独立的转印程序；</w:t>
            </w:r>
          </w:p>
          <w:p w14:paraId="3C0304E9">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23.2应用性：可兼容传统实验试剂和耗材；</w:t>
            </w:r>
          </w:p>
          <w:p w14:paraId="22D6C8DD">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23.3坚固耐用：耐用的聚碳酸酯外壳；阳极镀铂和阴极不锈钢能够重复使用，且便于清洗；使用周期试验弹簧确保了可重现性；紧凑型手柄设计，便于移动；</w:t>
            </w:r>
          </w:p>
          <w:p w14:paraId="1D1E17A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23.4 转印速度：3min内完成2块TGX小胶的转印；7min内完成4块普通小胶或2块中型胶的转印。</w:t>
            </w:r>
          </w:p>
          <w:p w14:paraId="099C013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24.核酸处理模块</w:t>
            </w:r>
          </w:p>
          <w:p w14:paraId="5CBB280D">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品牌：中科电子  型号：C1000</w:t>
            </w:r>
          </w:p>
          <w:p w14:paraId="3C49867F">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24.1可以升级为六通道荧光定量PCR仪；</w:t>
            </w:r>
          </w:p>
          <w:p w14:paraId="34428DFA">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24.2</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8</w:t>
            </w:r>
            <w:r>
              <w:rPr>
                <w:rFonts w:hint="default"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寸高分辨率超大彩色液晶显示屏，实验过程中实时显示温控及运行状态；</w:t>
            </w:r>
          </w:p>
          <w:p w14:paraId="616482D1">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24.3具有动态温度梯度功能，可同时运行8个不同的温度，每个温度孵育时间相同；</w:t>
            </w:r>
          </w:p>
          <w:p w14:paraId="60392FB4">
            <w:pPr>
              <w:adjustRightInd w:val="0"/>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24.4更换的反应模块，包括96×0.2 mL梯度单槽模块、96×0.2 mL/48×0.5 mL梯度深槽模块、48/48×0.2 mL双槽梯度模块、384孔单槽梯度模块、定量PCR梯度模块等；</w:t>
            </w:r>
          </w:p>
          <w:p w14:paraId="79F2FD6F">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24.5温控准确度：±0.2℃；</w:t>
            </w:r>
          </w:p>
          <w:p w14:paraId="4B493925">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24.6温控均一性：±0.4℃（90℃ 10秒内达到）。</w:t>
            </w:r>
          </w:p>
          <w:p w14:paraId="127EC36C">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25.核酸蛋白检测模块</w:t>
            </w:r>
          </w:p>
          <w:p w14:paraId="3F869B18">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品牌：赛默飞世尔    型号：NanoDrop One</w:t>
            </w:r>
          </w:p>
          <w:p w14:paraId="4516E998">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25.1连续波长全光谱分析，波长范围：190-850 nm，适合所有可见/紫外分析，可对未知样本做光谱扫描；</w:t>
            </w:r>
          </w:p>
          <w:p w14:paraId="02DC5882">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25.2可对少至1μL的微量样品进行快速测定，耗费样本更少，节省样品；</w:t>
            </w:r>
          </w:p>
          <w:p w14:paraId="7F7306E8">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25.3低波长下亦可准确检测蛋白质，如205 nm下可准确检测多肽的浓度；</w:t>
            </w:r>
          </w:p>
          <w:p w14:paraId="45FEE70E">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25.4 检测范围：dsDNA（2 ng/μL-27500 ng/μL），不用稀释均可直接测量；</w:t>
            </w:r>
          </w:p>
          <w:p w14:paraId="753638B7">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25.5光程：内含5个光程，根据样品浓度进行自动匹配最佳光程，无需手工设置，光程调节器不会曝露在空气中，避免灰尘，纸屑或液体进入生锈导致光程不准确；</w:t>
            </w:r>
          </w:p>
          <w:p w14:paraId="502055CF">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25.6检测下限：2 ng/μL（dsDNA），0.06mg/mL（BSA），0.03mg/mL（IgG）；</w:t>
            </w:r>
          </w:p>
          <w:p w14:paraId="67FA01A6">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25.7检测上限：27,500 ng/μL（dsDNA），820 mg/mL（BSA），400 mg/mL（IgG）；</w:t>
            </w:r>
          </w:p>
          <w:p w14:paraId="064F4944">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25.8波长精度：±1nm；光谱分辨率：1.8 nm (FWHM at Hg 253.7 nm)；</w:t>
            </w:r>
          </w:p>
          <w:p w14:paraId="1390F42A">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25.9检测重复性：≤0.002A (1.00mm光程)或1%CV。</w:t>
            </w:r>
          </w:p>
          <w:p w14:paraId="07F9705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26.自动密度梯度制备仪：连续梯度液制备内置程序100种；7寸触屏式软件操作界面，分辨率1024×600，梯度液制备程序2min内同时完成8个离心管样品的线性梯度制备；</w:t>
            </w:r>
          </w:p>
          <w:p w14:paraId="15E84103">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品牌：致胜康华    型号：PW20</w:t>
            </w:r>
          </w:p>
          <w:p w14:paraId="050BB4F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27.自动化数字PCR配套试剂耗材：</w:t>
            </w:r>
            <w:r>
              <w:rPr>
                <w:rFonts w:hint="default" w:ascii="Times New Roman" w:hAnsi="Times New Roman" w:eastAsia="宋体" w:cs="Times New Roman"/>
                <w:color w:val="auto"/>
                <w:sz w:val="21"/>
                <w:szCs w:val="21"/>
                <w:lang w:val="en-US" w:eastAsia="zh-CN"/>
              </w:rPr>
              <w:t>2510</w:t>
            </w:r>
            <w:r>
              <w:rPr>
                <w:rFonts w:hint="default" w:ascii="Times New Roman" w:hAnsi="Times New Roman" w:eastAsia="宋体" w:cs="Times New Roman"/>
                <w:color w:val="auto"/>
                <w:sz w:val="21"/>
                <w:szCs w:val="21"/>
              </w:rPr>
              <w:t>份；</w:t>
            </w:r>
          </w:p>
          <w:p w14:paraId="66553E3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28.</w:t>
            </w:r>
            <w:r>
              <w:rPr>
                <w:rFonts w:hint="default" w:ascii="Times New Roman" w:hAnsi="Times New Roman" w:eastAsia="宋体" w:cs="Times New Roman"/>
                <w:color w:val="auto"/>
                <w:sz w:val="21"/>
                <w:szCs w:val="21"/>
                <w:lang w:val="en-US" w:eastAsia="zh-CN"/>
              </w:rPr>
              <w:t>艾本德</w:t>
            </w:r>
            <w:r>
              <w:rPr>
                <w:rFonts w:hint="default" w:ascii="Times New Roman" w:hAnsi="Times New Roman" w:eastAsia="宋体" w:cs="Times New Roman"/>
                <w:color w:val="auto"/>
                <w:sz w:val="21"/>
                <w:szCs w:val="21"/>
              </w:rPr>
              <w:t>移液器  1套：单通道体积范围分别为0.1-2.5 µL、0.5-10 µL、10-100 µL、20-200 µL、100-1000 µL、0.5-5 mL，8通道体积范围为0.5-10 µL；</w:t>
            </w:r>
          </w:p>
          <w:p w14:paraId="3EE1EDB6">
            <w:pPr>
              <w:adjustRightInd w:val="0"/>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29.数据处理工作站：数据处理工作站：配置i7，内存32G，硬盘8T，显示器</w:t>
            </w:r>
            <w:r>
              <w:rPr>
                <w:rFonts w:hint="default" w:ascii="Times New Roman" w:hAnsi="Times New Roman" w:eastAsia="宋体" w:cs="Times New Roman"/>
                <w:color w:val="auto"/>
                <w:sz w:val="21"/>
                <w:szCs w:val="21"/>
                <w:lang w:val="en-US" w:eastAsia="zh-CN"/>
              </w:rPr>
              <w:t>27</w:t>
            </w:r>
            <w:r>
              <w:rPr>
                <w:rFonts w:hint="default" w:ascii="Times New Roman" w:hAnsi="Times New Roman" w:eastAsia="宋体" w:cs="Times New Roman"/>
                <w:color w:val="auto"/>
                <w:sz w:val="21"/>
                <w:szCs w:val="21"/>
              </w:rPr>
              <w:t>英寸。</w:t>
            </w:r>
          </w:p>
          <w:p w14:paraId="11AE1F26">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四、附件、特殊工具、备用配件及要求：</w:t>
            </w:r>
          </w:p>
          <w:p w14:paraId="0333389B">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1.提供随机保证仪器正常使用和维护所需的标准配件、附件及维修工具等。</w:t>
            </w:r>
          </w:p>
          <w:p w14:paraId="58C2B835">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2.提供保证机器正常运行2年所需的备用配件。</w:t>
            </w:r>
          </w:p>
          <w:p w14:paraId="7803D487">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r>
              <w:rPr>
                <w:rFonts w:hint="default" w:ascii="Times New Roman" w:hAnsi="Times New Roman" w:eastAsia="宋体" w:cs="Times New Roman"/>
                <w:bCs/>
                <w:color w:val="auto"/>
                <w:sz w:val="21"/>
                <w:szCs w:val="21"/>
              </w:rPr>
              <w:t>提供放置仪器的试验台，并按照仪器所需环境对实验室进行改造。</w:t>
            </w:r>
          </w:p>
          <w:p w14:paraId="578932D0">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五、技术服务:</w:t>
            </w:r>
            <w:r>
              <w:rPr>
                <w:rFonts w:hint="default" w:ascii="Times New Roman" w:hAnsi="Times New Roman" w:eastAsia="宋体" w:cs="Times New Roman"/>
                <w:color w:val="auto"/>
                <w:sz w:val="21"/>
                <w:szCs w:val="21"/>
              </w:rPr>
              <w:t>每年免费巡检回访不少于2次。</w:t>
            </w:r>
          </w:p>
          <w:p w14:paraId="58A0FD9A">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六、质量保证期：</w:t>
            </w:r>
            <w:r>
              <w:rPr>
                <w:rFonts w:hint="default" w:ascii="Times New Roman" w:hAnsi="Times New Roman" w:eastAsia="宋体" w:cs="Times New Roman"/>
                <w:color w:val="auto"/>
                <w:sz w:val="21"/>
                <w:szCs w:val="21"/>
              </w:rPr>
              <w:t>整机免费</w:t>
            </w:r>
            <w:r>
              <w:rPr>
                <w:rFonts w:hint="default" w:ascii="Times New Roman" w:hAnsi="Times New Roman" w:eastAsia="宋体" w:cs="Times New Roman"/>
                <w:color w:val="auto"/>
                <w:sz w:val="21"/>
                <w:szCs w:val="21"/>
                <w:lang w:val="en-US" w:eastAsia="zh-CN"/>
              </w:rPr>
              <w:t>质保</w:t>
            </w:r>
            <w:r>
              <w:rPr>
                <w:rFonts w:hint="default" w:ascii="Times New Roman" w:hAnsi="Times New Roman" w:eastAsia="宋体" w:cs="Times New Roman"/>
                <w:color w:val="auto"/>
                <w:sz w:val="21"/>
                <w:szCs w:val="21"/>
              </w:rPr>
              <w:t>叁年，</w:t>
            </w:r>
            <w:r>
              <w:rPr>
                <w:rFonts w:hint="default" w:ascii="Times New Roman" w:hAnsi="Times New Roman" w:eastAsia="宋体" w:cs="Times New Roman"/>
                <w:color w:val="auto"/>
                <w:sz w:val="21"/>
                <w:szCs w:val="21"/>
                <w:lang w:val="en-US" w:eastAsia="zh-CN"/>
              </w:rPr>
              <w:t>我公司</w:t>
            </w:r>
            <w:r>
              <w:rPr>
                <w:rFonts w:hint="default" w:ascii="Times New Roman" w:hAnsi="Times New Roman" w:eastAsia="宋体" w:cs="Times New Roman"/>
                <w:color w:val="auto"/>
                <w:sz w:val="21"/>
                <w:szCs w:val="21"/>
              </w:rPr>
              <w:t>提供原厂售后服务承诺。本地化技术支持可两个小时内上门服务。</w:t>
            </w:r>
          </w:p>
          <w:p w14:paraId="38A50CAB">
            <w:pPr>
              <w:pStyle w:val="7"/>
              <w:tabs>
                <w:tab w:val="left" w:pos="312"/>
              </w:tabs>
              <w:spacing w:line="240" w:lineRule="auto"/>
              <w:ind w:firstLine="0" w:firstLineChars="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七、售后服务要求：</w:t>
            </w:r>
          </w:p>
          <w:p w14:paraId="1844B3C3">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我</w:t>
            </w:r>
            <w:r>
              <w:rPr>
                <w:rFonts w:hint="default" w:ascii="Times New Roman" w:hAnsi="Times New Roman" w:eastAsia="宋体" w:cs="Times New Roman"/>
                <w:color w:val="auto"/>
                <w:sz w:val="21"/>
                <w:szCs w:val="21"/>
              </w:rPr>
              <w:t>方到买方提供的现场免费安装、调试设备，进行操作试验，直至运行正常并验收，为2名以上仪器操作人员提供免费的上机操作及日常维护培训直至操作人员完全掌握仪器的使用方法；</w:t>
            </w:r>
          </w:p>
          <w:p w14:paraId="00D8C87C">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2.质量及验收标准：技术指标符合买方要求和厂家规定的出厂要求；</w:t>
            </w:r>
          </w:p>
          <w:p w14:paraId="2F0E42EE">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3.仪器故障响应时间不超过2个小时，48小时内到达现场排除故障；</w:t>
            </w:r>
          </w:p>
          <w:p w14:paraId="6A078FFD">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4.及时免费提供技术咨询和仪器终身免费软件升级服务；</w:t>
            </w:r>
          </w:p>
          <w:p w14:paraId="4893B404">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5.免费上门提供仪器应用技术培训服务，每年两次；</w:t>
            </w:r>
          </w:p>
          <w:p w14:paraId="44594D91">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6.质保期满，零配件及配套试剂以出厂价收取费用，且厂家免费上门安装调试。</w:t>
            </w:r>
          </w:p>
          <w:p w14:paraId="713B2553">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八、其他</w:t>
            </w:r>
          </w:p>
          <w:p w14:paraId="1522B3B0">
            <w:pPr>
              <w:tabs>
                <w:tab w:val="left" w:pos="312"/>
              </w:tabs>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1.交货：合同签订后</w:t>
            </w: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天内；安装调试：1个月内；</w:t>
            </w:r>
          </w:p>
          <w:p w14:paraId="7FFD0CF4">
            <w:pPr>
              <w:adjustRightInd w:val="0"/>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2.提供产品和服务与中华人民共和国相关法律法规无抵触，满足现行安全、环保、伦理等要求。</w:t>
            </w:r>
          </w:p>
        </w:tc>
        <w:tc>
          <w:tcPr>
            <w:tcW w:w="425" w:type="dxa"/>
            <w:tcBorders>
              <w:top w:val="single" w:color="auto" w:sz="4" w:space="0"/>
              <w:left w:val="nil"/>
              <w:bottom w:val="single" w:color="auto" w:sz="4" w:space="0"/>
              <w:right w:val="single" w:color="auto" w:sz="4" w:space="0"/>
            </w:tcBorders>
            <w:vAlign w:val="center"/>
          </w:tcPr>
          <w:p w14:paraId="24FDDDD2">
            <w:pPr>
              <w:adjustRightInd w:val="0"/>
              <w:snapToGrid w:val="0"/>
              <w:spacing w:line="260" w:lineRule="exac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c>
          <w:tcPr>
            <w:tcW w:w="838" w:type="dxa"/>
            <w:tcBorders>
              <w:top w:val="single" w:color="auto" w:sz="4" w:space="0"/>
              <w:left w:val="nil"/>
              <w:bottom w:val="single" w:color="auto" w:sz="4" w:space="0"/>
              <w:right w:val="single" w:color="auto" w:sz="4" w:space="0"/>
            </w:tcBorders>
            <w:vAlign w:val="center"/>
          </w:tcPr>
          <w:p w14:paraId="3A3390F0">
            <w:pPr>
              <w:ind w:right="-107" w:rightChars="-51"/>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bCs/>
                <w:color w:val="auto"/>
                <w:sz w:val="21"/>
                <w:szCs w:val="21"/>
              </w:rPr>
              <w:t>济南中科电子科技有限公司</w:t>
            </w:r>
          </w:p>
        </w:tc>
        <w:tc>
          <w:tcPr>
            <w:tcW w:w="587" w:type="dxa"/>
            <w:tcBorders>
              <w:top w:val="single" w:color="auto" w:sz="4" w:space="0"/>
              <w:left w:val="nil"/>
              <w:bottom w:val="single" w:color="auto" w:sz="4" w:space="0"/>
              <w:right w:val="single" w:color="auto" w:sz="4" w:space="0"/>
            </w:tcBorders>
            <w:vAlign w:val="center"/>
          </w:tcPr>
          <w:p w14:paraId="674C243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中国</w:t>
            </w:r>
          </w:p>
        </w:tc>
        <w:tc>
          <w:tcPr>
            <w:tcW w:w="838" w:type="dxa"/>
            <w:tcBorders>
              <w:top w:val="single" w:color="auto" w:sz="4" w:space="0"/>
              <w:left w:val="nil"/>
              <w:bottom w:val="single" w:color="auto" w:sz="4" w:space="0"/>
              <w:right w:val="single" w:color="auto" w:sz="4" w:space="0"/>
            </w:tcBorders>
          </w:tcPr>
          <w:p w14:paraId="6F1775A7">
            <w:pPr>
              <w:jc w:val="center"/>
              <w:rPr>
                <w:rFonts w:hint="default" w:ascii="Times New Roman" w:hAnsi="Times New Roman" w:eastAsia="宋体" w:cs="Times New Roman"/>
                <w:color w:val="auto"/>
                <w:szCs w:val="21"/>
                <w:highlight w:val="none"/>
              </w:rPr>
            </w:pPr>
          </w:p>
        </w:tc>
      </w:tr>
      <w:tr w14:paraId="241B7BA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447" w:hRule="atLeast"/>
        </w:trPr>
        <w:tc>
          <w:tcPr>
            <w:tcW w:w="418" w:type="dxa"/>
            <w:tcBorders>
              <w:top w:val="single" w:color="auto" w:sz="4" w:space="0"/>
              <w:left w:val="single" w:color="auto" w:sz="4" w:space="0"/>
              <w:bottom w:val="single" w:color="auto" w:sz="4" w:space="0"/>
              <w:right w:val="single" w:color="auto" w:sz="4" w:space="0"/>
            </w:tcBorders>
            <w:vAlign w:val="center"/>
          </w:tcPr>
          <w:p w14:paraId="6F0DD174">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1100" w:type="dxa"/>
            <w:tcBorders>
              <w:top w:val="single" w:color="auto" w:sz="4" w:space="0"/>
              <w:left w:val="nil"/>
              <w:bottom w:val="single" w:color="auto" w:sz="4" w:space="0"/>
              <w:right w:val="single" w:color="auto" w:sz="4" w:space="0"/>
            </w:tcBorders>
            <w:vAlign w:val="center"/>
          </w:tcPr>
          <w:p w14:paraId="0029435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超速离心机</w:t>
            </w:r>
          </w:p>
        </w:tc>
        <w:tc>
          <w:tcPr>
            <w:tcW w:w="1325" w:type="dxa"/>
            <w:tcBorders>
              <w:top w:val="single" w:color="auto" w:sz="4" w:space="0"/>
              <w:left w:val="nil"/>
              <w:bottom w:val="single" w:color="auto" w:sz="4" w:space="0"/>
              <w:right w:val="single" w:color="auto" w:sz="4" w:space="0"/>
            </w:tcBorders>
            <w:vAlign w:val="center"/>
          </w:tcPr>
          <w:p w14:paraId="4A09C968">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rPr>
              <w:drawing>
                <wp:inline distT="0" distB="0" distL="114300" distR="114300">
                  <wp:extent cx="701675" cy="944880"/>
                  <wp:effectExtent l="0" t="0" r="3175" b="762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9"/>
                          <a:stretch>
                            <a:fillRect/>
                          </a:stretch>
                        </pic:blipFill>
                        <pic:spPr>
                          <a:xfrm>
                            <a:off x="0" y="0"/>
                            <a:ext cx="701675" cy="944880"/>
                          </a:xfrm>
                          <a:prstGeom prst="rect">
                            <a:avLst/>
                          </a:prstGeom>
                          <a:noFill/>
                          <a:ln>
                            <a:noFill/>
                          </a:ln>
                        </pic:spPr>
                      </pic:pic>
                    </a:graphicData>
                  </a:graphic>
                </wp:inline>
              </w:drawing>
            </w:r>
          </w:p>
        </w:tc>
        <w:tc>
          <w:tcPr>
            <w:tcW w:w="688" w:type="dxa"/>
            <w:tcBorders>
              <w:top w:val="single" w:color="auto" w:sz="4" w:space="0"/>
              <w:left w:val="nil"/>
              <w:bottom w:val="single" w:color="auto" w:sz="4" w:space="0"/>
              <w:right w:val="single" w:color="auto" w:sz="4" w:space="0"/>
            </w:tcBorders>
            <w:vAlign w:val="center"/>
          </w:tcPr>
          <w:p w14:paraId="7480825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Optima XPN-100</w:t>
            </w:r>
          </w:p>
        </w:tc>
        <w:tc>
          <w:tcPr>
            <w:tcW w:w="8287" w:type="dxa"/>
            <w:tcBorders>
              <w:top w:val="single" w:color="auto" w:sz="4" w:space="0"/>
              <w:left w:val="nil"/>
              <w:bottom w:val="single" w:color="auto" w:sz="4" w:space="0"/>
              <w:right w:val="single" w:color="auto" w:sz="4" w:space="0"/>
            </w:tcBorders>
            <w:vAlign w:val="center"/>
          </w:tcPr>
          <w:p w14:paraId="10490ADB">
            <w:pPr>
              <w:spacing w:line="240" w:lineRule="auto"/>
              <w:jc w:val="left"/>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一、仪器设备的使用用途、范围及要求：</w:t>
            </w:r>
          </w:p>
          <w:p w14:paraId="4EE14720">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Cs/>
                <w:color w:val="auto"/>
                <w:sz w:val="21"/>
                <w:szCs w:val="21"/>
              </w:rPr>
              <w:t>完成各种细胞、核酸、蛋白等大分子物质的分离和纯化工作以及各种亚细胞器和病毒组分分离，是细胞生物学及分子生物学研究的基本工具；是外泌体纯化，病毒载体纯化，细胞器、细胞膜分离，膜蛋白、脂蛋白分离，质粒DNA提取，噬菌体相关研究等基础必需基础设备之一。</w:t>
            </w:r>
          </w:p>
          <w:p w14:paraId="70FC7E1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二、配置（或系统组成）</w:t>
            </w:r>
          </w:p>
          <w:p w14:paraId="0469ECE2">
            <w:pPr>
              <w:spacing w:line="240" w:lineRule="auto"/>
              <w:jc w:val="left"/>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1.</w:t>
            </w:r>
            <w:r>
              <w:rPr>
                <w:rFonts w:hint="default" w:ascii="Times New Roman" w:hAnsi="Times New Roman" w:eastAsia="宋体" w:cs="Times New Roman"/>
                <w:bCs/>
                <w:color w:val="auto"/>
                <w:sz w:val="21"/>
                <w:szCs w:val="21"/>
                <w:highlight w:val="none"/>
              </w:rPr>
              <w:t>离心机主机1台</w:t>
            </w:r>
          </w:p>
          <w:p w14:paraId="3E101B3D">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highlight w:val="none"/>
                <w:lang w:val="en-US" w:eastAsia="zh-CN"/>
              </w:rPr>
              <w:t>2.</w:t>
            </w:r>
            <w:r>
              <w:rPr>
                <w:rFonts w:hint="default" w:ascii="Times New Roman" w:hAnsi="Times New Roman" w:eastAsia="宋体" w:cs="Times New Roman"/>
                <w:bCs/>
                <w:color w:val="auto"/>
                <w:sz w:val="21"/>
                <w:szCs w:val="21"/>
                <w:highlight w:val="none"/>
              </w:rPr>
              <w:t>离心管热封器1套</w:t>
            </w:r>
          </w:p>
          <w:p w14:paraId="2151515C">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highlight w:val="none"/>
                <w:lang w:val="en-US" w:eastAsia="zh-CN"/>
              </w:rPr>
              <w:t>3.</w:t>
            </w:r>
            <w:r>
              <w:rPr>
                <w:rFonts w:hint="default" w:ascii="Times New Roman" w:hAnsi="Times New Roman" w:eastAsia="宋体" w:cs="Times New Roman"/>
                <w:bCs/>
                <w:color w:val="auto"/>
                <w:sz w:val="21"/>
                <w:szCs w:val="21"/>
                <w:highlight w:val="none"/>
              </w:rPr>
              <w:t>钛合金定角转子：最大容量8×39mL，K因子44；同品牌离心管100个，离心瓶12个及对应工具1套</w:t>
            </w:r>
          </w:p>
          <w:p w14:paraId="1A411C10">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highlight w:val="none"/>
                <w:lang w:val="en-US" w:eastAsia="zh-CN"/>
              </w:rPr>
              <w:t>4.</w:t>
            </w:r>
            <w:r>
              <w:rPr>
                <w:rFonts w:hint="default" w:ascii="Times New Roman" w:hAnsi="Times New Roman" w:eastAsia="宋体" w:cs="Times New Roman"/>
                <w:bCs/>
                <w:color w:val="auto"/>
                <w:sz w:val="21"/>
                <w:szCs w:val="21"/>
                <w:highlight w:val="none"/>
              </w:rPr>
              <w:t>可离心最大容量8×6mL，K因子</w:t>
            </w:r>
            <w:r>
              <w:rPr>
                <w:rFonts w:hint="default" w:ascii="Times New Roman" w:hAnsi="Times New Roman" w:eastAsia="宋体" w:cs="Times New Roman"/>
                <w:bCs/>
                <w:color w:val="auto"/>
                <w:sz w:val="21"/>
                <w:szCs w:val="21"/>
                <w:highlight w:val="none"/>
                <w:lang w:val="en-US" w:eastAsia="zh-CN"/>
              </w:rPr>
              <w:t>15</w:t>
            </w:r>
            <w:r>
              <w:rPr>
                <w:rFonts w:hint="default" w:ascii="Times New Roman" w:hAnsi="Times New Roman" w:eastAsia="宋体" w:cs="Times New Roman"/>
                <w:bCs/>
                <w:color w:val="auto"/>
                <w:sz w:val="21"/>
                <w:szCs w:val="21"/>
                <w:highlight w:val="none"/>
              </w:rPr>
              <w:t>；同品牌离心管100个</w:t>
            </w:r>
          </w:p>
          <w:p w14:paraId="6E34A794">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highlight w:val="none"/>
                <w:lang w:val="en-US" w:eastAsia="zh-CN"/>
              </w:rPr>
              <w:t>5.</w:t>
            </w:r>
            <w:r>
              <w:rPr>
                <w:rFonts w:hint="default" w:ascii="Times New Roman" w:hAnsi="Times New Roman" w:eastAsia="宋体" w:cs="Times New Roman"/>
                <w:bCs/>
                <w:color w:val="auto"/>
                <w:sz w:val="21"/>
                <w:szCs w:val="21"/>
                <w:highlight w:val="none"/>
              </w:rPr>
              <w:t>钛合金水平转子：最大容量6×38.5mL，K因子204；同品牌离心管50个</w:t>
            </w:r>
          </w:p>
          <w:p w14:paraId="7A7F5AE2">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highlight w:val="none"/>
                <w:lang w:val="en-US" w:eastAsia="zh-CN"/>
              </w:rPr>
              <w:t>6.</w:t>
            </w:r>
            <w:r>
              <w:rPr>
                <w:rFonts w:hint="default" w:ascii="Times New Roman" w:hAnsi="Times New Roman" w:eastAsia="宋体" w:cs="Times New Roman"/>
                <w:bCs/>
                <w:color w:val="auto"/>
                <w:sz w:val="21"/>
                <w:szCs w:val="21"/>
                <w:highlight w:val="none"/>
              </w:rPr>
              <w:t>可离心最大容量 6×13.2mL，k因子</w:t>
            </w:r>
            <w:r>
              <w:rPr>
                <w:rFonts w:hint="default" w:ascii="Times New Roman" w:hAnsi="Times New Roman" w:eastAsia="宋体" w:cs="Times New Roman"/>
                <w:bCs/>
                <w:color w:val="auto"/>
                <w:sz w:val="21"/>
                <w:szCs w:val="21"/>
                <w:highlight w:val="none"/>
                <w:lang w:val="en-US" w:eastAsia="zh-CN"/>
              </w:rPr>
              <w:t>124</w:t>
            </w:r>
            <w:r>
              <w:rPr>
                <w:rFonts w:hint="default" w:ascii="Times New Roman" w:hAnsi="Times New Roman" w:eastAsia="宋体" w:cs="Times New Roman"/>
                <w:bCs/>
                <w:color w:val="auto"/>
                <w:sz w:val="21"/>
                <w:szCs w:val="21"/>
                <w:highlight w:val="none"/>
              </w:rPr>
              <w:t>；同品牌离心管50个</w:t>
            </w:r>
          </w:p>
          <w:p w14:paraId="50591461">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highlight w:val="none"/>
                <w:lang w:val="en-US" w:eastAsia="zh-CN"/>
              </w:rPr>
              <w:t>7.</w:t>
            </w:r>
            <w:r>
              <w:rPr>
                <w:rFonts w:hint="default" w:ascii="Times New Roman" w:hAnsi="Times New Roman" w:eastAsia="宋体" w:cs="Times New Roman"/>
                <w:bCs/>
                <w:color w:val="auto"/>
                <w:sz w:val="21"/>
                <w:szCs w:val="21"/>
                <w:highlight w:val="none"/>
              </w:rPr>
              <w:t>离心后样品穿刺标记及取样设备1套</w:t>
            </w:r>
          </w:p>
          <w:p w14:paraId="194C271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三、各项配置（或系统组成）的技术指标参数</w:t>
            </w:r>
          </w:p>
          <w:p w14:paraId="4D056CD9">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w:t>
            </w:r>
            <w:r>
              <w:rPr>
                <w:rFonts w:hint="default" w:ascii="Times New Roman" w:hAnsi="Times New Roman" w:eastAsia="宋体" w:cs="Times New Roman"/>
                <w:bCs/>
                <w:color w:val="auto"/>
                <w:sz w:val="21"/>
                <w:szCs w:val="21"/>
              </w:rPr>
              <w:t>最高转速</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rPr>
              <w:t>100,000 rpm，最大相对离心力</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rPr>
              <w:t>80</w:t>
            </w:r>
            <w:r>
              <w:rPr>
                <w:rFonts w:hint="default" w:ascii="Times New Roman" w:hAnsi="Times New Roman" w:eastAsia="宋体" w:cs="Times New Roman"/>
                <w:bCs/>
                <w:color w:val="auto"/>
                <w:sz w:val="21"/>
                <w:szCs w:val="21"/>
                <w:lang w:val="en-US" w:eastAsia="zh-CN"/>
              </w:rPr>
              <w:t>2</w:t>
            </w:r>
            <w:r>
              <w:rPr>
                <w:rFonts w:hint="default" w:ascii="Times New Roman" w:hAnsi="Times New Roman" w:eastAsia="宋体" w:cs="Times New Roman"/>
                <w:bCs/>
                <w:color w:val="auto"/>
                <w:sz w:val="21"/>
                <w:szCs w:val="21"/>
              </w:rPr>
              <w:t>,</w:t>
            </w:r>
            <w:r>
              <w:rPr>
                <w:rFonts w:hint="default" w:ascii="Times New Roman" w:hAnsi="Times New Roman" w:eastAsia="宋体" w:cs="Times New Roman"/>
                <w:bCs/>
                <w:color w:val="auto"/>
                <w:sz w:val="21"/>
                <w:szCs w:val="21"/>
                <w:lang w:val="en-US" w:eastAsia="zh-CN"/>
              </w:rPr>
              <w:t>0</w:t>
            </w:r>
            <w:r>
              <w:rPr>
                <w:rFonts w:hint="default" w:ascii="Times New Roman" w:hAnsi="Times New Roman" w:eastAsia="宋体" w:cs="Times New Roman"/>
                <w:bCs/>
                <w:color w:val="auto"/>
                <w:sz w:val="21"/>
                <w:szCs w:val="21"/>
              </w:rPr>
              <w:t>00×g；</w:t>
            </w:r>
          </w:p>
          <w:p w14:paraId="4DE44B18">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2.</w:t>
            </w:r>
            <w:r>
              <w:rPr>
                <w:rFonts w:hint="default" w:ascii="Times New Roman" w:hAnsi="Times New Roman" w:eastAsia="宋体" w:cs="Times New Roman"/>
                <w:bCs/>
                <w:color w:val="auto"/>
                <w:sz w:val="21"/>
                <w:szCs w:val="21"/>
              </w:rPr>
              <w:t>定角转子最大容量</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rPr>
              <w:t>6×</w:t>
            </w:r>
            <w:r>
              <w:rPr>
                <w:rFonts w:hint="default" w:ascii="Times New Roman" w:hAnsi="Times New Roman" w:eastAsia="宋体" w:cs="Times New Roman"/>
                <w:bCs/>
                <w:color w:val="auto"/>
                <w:sz w:val="21"/>
                <w:szCs w:val="21"/>
                <w:lang w:val="en-US" w:eastAsia="zh-CN"/>
              </w:rPr>
              <w:t>250</w:t>
            </w:r>
            <w:r>
              <w:rPr>
                <w:rFonts w:hint="default" w:ascii="Times New Roman" w:hAnsi="Times New Roman" w:eastAsia="宋体" w:cs="Times New Roman"/>
                <w:bCs/>
                <w:color w:val="auto"/>
                <w:sz w:val="21"/>
                <w:szCs w:val="21"/>
              </w:rPr>
              <w:t xml:space="preserve"> mL</w:t>
            </w:r>
          </w:p>
          <w:p w14:paraId="591DF3F5">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3.</w:t>
            </w:r>
            <w:r>
              <w:rPr>
                <w:rFonts w:hint="default" w:ascii="Times New Roman" w:hAnsi="Times New Roman" w:eastAsia="宋体" w:cs="Times New Roman"/>
                <w:bCs/>
                <w:color w:val="auto"/>
                <w:sz w:val="21"/>
                <w:szCs w:val="21"/>
              </w:rPr>
              <w:t>转速控制精度</w:t>
            </w:r>
            <w:r>
              <w:rPr>
                <w:rFonts w:hint="default" w:ascii="Times New Roman" w:hAnsi="Times New Roman" w:eastAsia="宋体" w:cs="Times New Roman"/>
                <w:bCs/>
                <w:color w:val="auto"/>
                <w:sz w:val="21"/>
                <w:szCs w:val="21"/>
                <w:lang w:eastAsia="zh-CN"/>
              </w:rPr>
              <w:t>：</w:t>
            </w:r>
            <w:r>
              <w:rPr>
                <w:rFonts w:hint="default" w:ascii="Times New Roman" w:hAnsi="Times New Roman" w:eastAsia="宋体" w:cs="Times New Roman"/>
                <w:bCs/>
                <w:color w:val="auto"/>
                <w:sz w:val="21"/>
                <w:szCs w:val="21"/>
              </w:rPr>
              <w:t>±2 rpm；</w:t>
            </w:r>
          </w:p>
          <w:p w14:paraId="33B0BD67">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4.</w:t>
            </w:r>
            <w:r>
              <w:rPr>
                <w:rFonts w:hint="default" w:ascii="Times New Roman" w:hAnsi="Times New Roman" w:eastAsia="宋体" w:cs="Times New Roman"/>
                <w:bCs/>
                <w:color w:val="auto"/>
                <w:sz w:val="21"/>
                <w:szCs w:val="21"/>
              </w:rPr>
              <w:t>采用</w:t>
            </w:r>
            <w:r>
              <w:rPr>
                <w:rFonts w:hint="default" w:ascii="Times New Roman" w:hAnsi="Times New Roman" w:eastAsia="宋体" w:cs="Times New Roman"/>
                <w:bCs/>
                <w:color w:val="auto"/>
                <w:sz w:val="21"/>
                <w:szCs w:val="21"/>
                <w:lang w:val="en-US" w:eastAsia="zh-CN"/>
              </w:rPr>
              <w:t>15</w:t>
            </w:r>
            <w:r>
              <w:rPr>
                <w:rFonts w:hint="default" w:ascii="Times New Roman" w:hAnsi="Times New Roman" w:eastAsia="宋体" w:cs="Times New Roman"/>
                <w:bCs/>
                <w:color w:val="auto"/>
                <w:sz w:val="21"/>
                <w:szCs w:val="21"/>
              </w:rPr>
              <w:t>英寸触幕式液晶显示屏，触摸屏可垂直/水平移动45°，便于操作；</w:t>
            </w:r>
          </w:p>
          <w:p w14:paraId="2A8C269F">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5.</w:t>
            </w:r>
            <w:r>
              <w:rPr>
                <w:rFonts w:hint="default" w:ascii="Times New Roman" w:hAnsi="Times New Roman" w:eastAsia="宋体" w:cs="Times New Roman"/>
                <w:bCs/>
                <w:color w:val="auto"/>
                <w:sz w:val="21"/>
                <w:szCs w:val="21"/>
              </w:rPr>
              <w:t>具备中文操作界面，以方便使用，9种语言可供选择；</w:t>
            </w:r>
          </w:p>
          <w:p w14:paraId="0CA6F012">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6.</w:t>
            </w:r>
            <w:r>
              <w:rPr>
                <w:rFonts w:hint="default" w:ascii="Times New Roman" w:hAnsi="Times New Roman" w:eastAsia="宋体" w:cs="Times New Roman"/>
                <w:bCs/>
                <w:color w:val="auto"/>
                <w:sz w:val="21"/>
                <w:szCs w:val="21"/>
              </w:rPr>
              <w:t>主机具有</w:t>
            </w:r>
            <w:r>
              <w:rPr>
                <w:rFonts w:hint="default" w:ascii="Times New Roman" w:hAnsi="Times New Roman" w:eastAsia="宋体" w:cs="Times New Roman"/>
                <w:bCs/>
                <w:color w:val="auto"/>
                <w:sz w:val="21"/>
                <w:szCs w:val="21"/>
                <w:lang w:val="en-US" w:eastAsia="zh-CN"/>
              </w:rPr>
              <w:t>8</w:t>
            </w:r>
            <w:r>
              <w:rPr>
                <w:rFonts w:hint="default" w:ascii="Times New Roman" w:hAnsi="Times New Roman" w:eastAsia="宋体" w:cs="Times New Roman"/>
                <w:bCs/>
                <w:color w:val="auto"/>
                <w:sz w:val="21"/>
                <w:szCs w:val="21"/>
              </w:rPr>
              <w:t>块制冷模块，提高制冷效率；</w:t>
            </w:r>
          </w:p>
          <w:p w14:paraId="582C9DF6">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7.</w:t>
            </w:r>
            <w:r>
              <w:rPr>
                <w:rFonts w:hint="default" w:ascii="Times New Roman" w:hAnsi="Times New Roman" w:eastAsia="宋体" w:cs="Times New Roman"/>
                <w:bCs/>
                <w:color w:val="auto"/>
                <w:sz w:val="21"/>
                <w:szCs w:val="21"/>
              </w:rPr>
              <w:t>真空系统：真空度0.9Pa，并能实时在非售后模式下数字化实时显示真空度的具体数值；</w:t>
            </w:r>
          </w:p>
          <w:p w14:paraId="05CEA9A1">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8.</w:t>
            </w:r>
            <w:r>
              <w:rPr>
                <w:rFonts w:hint="default" w:ascii="Times New Roman" w:hAnsi="Times New Roman" w:eastAsia="宋体" w:cs="Times New Roman"/>
                <w:bCs/>
                <w:color w:val="auto"/>
                <w:sz w:val="21"/>
                <w:szCs w:val="21"/>
              </w:rPr>
              <w:t>驱动装置和腔室置于同一真空系统中，提高寿命大大降低轴磨损，使样品不平衡允许度±5ml或样品体积10%；</w:t>
            </w:r>
          </w:p>
          <w:p w14:paraId="259CD214">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9.</w:t>
            </w:r>
            <w:r>
              <w:rPr>
                <w:rFonts w:hint="default" w:ascii="Times New Roman" w:hAnsi="Times New Roman" w:eastAsia="宋体" w:cs="Times New Roman"/>
                <w:bCs/>
                <w:color w:val="auto"/>
                <w:sz w:val="21"/>
                <w:szCs w:val="21"/>
              </w:rPr>
              <w:t>加速/减速选择：10档加速/11档减速；</w:t>
            </w:r>
          </w:p>
          <w:p w14:paraId="6152328F">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rPr>
              <w:t>温度设定范围：0-40℃，温度步进1℃；</w:t>
            </w:r>
          </w:p>
          <w:p w14:paraId="05E9CA73">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11.</w:t>
            </w:r>
            <w:r>
              <w:rPr>
                <w:rFonts w:hint="default" w:ascii="Times New Roman" w:hAnsi="Times New Roman" w:eastAsia="宋体" w:cs="Times New Roman"/>
                <w:bCs/>
                <w:color w:val="auto"/>
                <w:sz w:val="21"/>
                <w:szCs w:val="21"/>
              </w:rPr>
              <w:t>离心时间设定范围为999小时59分连续离心；</w:t>
            </w:r>
          </w:p>
          <w:p w14:paraId="505A2845">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12.</w:t>
            </w:r>
            <w:r>
              <w:rPr>
                <w:rFonts w:hint="default" w:ascii="Times New Roman" w:hAnsi="Times New Roman" w:eastAsia="宋体" w:cs="Times New Roman"/>
                <w:bCs/>
                <w:color w:val="auto"/>
                <w:sz w:val="21"/>
                <w:szCs w:val="21"/>
              </w:rPr>
              <w:t>无需额外配置电脑，软件内置于主机中，具备帮助、转头及离心管数据库查询等功能；</w:t>
            </w:r>
          </w:p>
          <w:p w14:paraId="2374954A">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13.</w:t>
            </w:r>
            <w:r>
              <w:rPr>
                <w:rFonts w:hint="default" w:ascii="Times New Roman" w:hAnsi="Times New Roman" w:eastAsia="宋体" w:cs="Times New Roman"/>
                <w:bCs/>
                <w:color w:val="auto"/>
                <w:sz w:val="21"/>
                <w:szCs w:val="21"/>
              </w:rPr>
              <w:t>仪器具备转子动态惯量检测功能，若发现超载情况，仪器将降速到允许转速；</w:t>
            </w:r>
          </w:p>
          <w:p w14:paraId="2145D6AE">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14.</w:t>
            </w:r>
            <w:r>
              <w:rPr>
                <w:rFonts w:hint="default" w:ascii="Times New Roman" w:hAnsi="Times New Roman" w:eastAsia="宋体" w:cs="Times New Roman"/>
                <w:bCs/>
                <w:color w:val="auto"/>
                <w:sz w:val="21"/>
                <w:szCs w:val="21"/>
              </w:rPr>
              <w:t>仪器具备超速盘、光学传感器旋转监测和动态惯量检测三重防超速，超温保护；</w:t>
            </w:r>
          </w:p>
          <w:p w14:paraId="4A933C96">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15.</w:t>
            </w:r>
            <w:r>
              <w:rPr>
                <w:rFonts w:hint="default" w:ascii="Times New Roman" w:hAnsi="Times New Roman" w:eastAsia="宋体" w:cs="Times New Roman"/>
                <w:bCs/>
                <w:color w:val="auto"/>
                <w:sz w:val="21"/>
                <w:szCs w:val="21"/>
              </w:rPr>
              <w:t>稳固可靠：主机重量</w:t>
            </w:r>
            <w:r>
              <w:rPr>
                <w:rFonts w:hint="default" w:ascii="Times New Roman" w:hAnsi="Times New Roman" w:eastAsia="宋体" w:cs="Times New Roman"/>
                <w:bCs/>
                <w:color w:val="auto"/>
                <w:sz w:val="21"/>
                <w:szCs w:val="21"/>
                <w:lang w:val="en-US" w:eastAsia="zh-CN"/>
              </w:rPr>
              <w:t>485</w:t>
            </w:r>
            <w:r>
              <w:rPr>
                <w:rFonts w:hint="default" w:ascii="Times New Roman" w:hAnsi="Times New Roman" w:eastAsia="宋体" w:cs="Times New Roman"/>
                <w:bCs/>
                <w:color w:val="auto"/>
                <w:sz w:val="21"/>
                <w:szCs w:val="21"/>
              </w:rPr>
              <w:t>kg，配有4个防滑地脚，确保由意外事故导致位移幅度显著降低；</w:t>
            </w:r>
          </w:p>
          <w:p w14:paraId="683DD8BE">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16.</w:t>
            </w:r>
            <w:r>
              <w:rPr>
                <w:rFonts w:hint="default" w:ascii="Times New Roman" w:hAnsi="Times New Roman" w:eastAsia="宋体" w:cs="Times New Roman"/>
                <w:bCs/>
                <w:color w:val="auto"/>
                <w:sz w:val="21"/>
                <w:szCs w:val="21"/>
              </w:rPr>
              <w:t>仪器主机软件内标配所有可配转子和离心管目录；可自动确定所选离心管的最大转速设置，减少转速设置错误而引发的离心管损坏；</w:t>
            </w:r>
          </w:p>
          <w:p w14:paraId="5B70D3D3">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17.</w:t>
            </w:r>
            <w:r>
              <w:rPr>
                <w:rFonts w:hint="default" w:ascii="Times New Roman" w:hAnsi="Times New Roman" w:eastAsia="宋体" w:cs="Times New Roman"/>
                <w:bCs/>
                <w:color w:val="auto"/>
                <w:sz w:val="21"/>
                <w:szCs w:val="21"/>
              </w:rPr>
              <w:t>温度控制精度：±0.5℃，腔体内配有2个独立的温度传感器，可独立精确监测；</w:t>
            </w:r>
          </w:p>
          <w:p w14:paraId="5DD49177">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18.</w:t>
            </w:r>
            <w:r>
              <w:rPr>
                <w:rFonts w:hint="default" w:ascii="Times New Roman" w:hAnsi="Times New Roman" w:eastAsia="宋体" w:cs="Times New Roman"/>
                <w:bCs/>
                <w:color w:val="auto"/>
                <w:sz w:val="21"/>
                <w:szCs w:val="21"/>
              </w:rPr>
              <w:t>离心机主机和转子及适配器由同一厂家生产，转子材质为钛合金；</w:t>
            </w:r>
          </w:p>
          <w:p w14:paraId="0EC05912">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19.</w:t>
            </w:r>
            <w:r>
              <w:rPr>
                <w:rFonts w:hint="default" w:ascii="Times New Roman" w:hAnsi="Times New Roman" w:eastAsia="宋体" w:cs="Times New Roman"/>
                <w:bCs/>
                <w:color w:val="auto"/>
                <w:sz w:val="21"/>
                <w:szCs w:val="21"/>
              </w:rPr>
              <w:t>不平衡检测：接触式不平衡检测，保护运行安全；</w:t>
            </w:r>
          </w:p>
          <w:p w14:paraId="2DB542B8">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lang w:val="en-US" w:eastAsia="zh-CN"/>
              </w:rPr>
              <w:t>20.</w:t>
            </w:r>
            <w:r>
              <w:rPr>
                <w:rFonts w:hint="default" w:ascii="Times New Roman" w:hAnsi="Times New Roman" w:eastAsia="宋体" w:cs="Times New Roman"/>
                <w:bCs/>
                <w:color w:val="auto"/>
                <w:sz w:val="21"/>
                <w:szCs w:val="21"/>
              </w:rPr>
              <w:t>配置超速离心后穿刺取样系统，含LED灯带样品标记器和自动旋钮式步进穿刺器，采样针高低调节0-65mm，穿刺方向0-30mm，LED亮点调节范围0-3万lx（勒克斯）。</w:t>
            </w:r>
          </w:p>
          <w:p w14:paraId="5880B20B">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color w:val="auto"/>
                <w:sz w:val="21"/>
                <w:szCs w:val="21"/>
              </w:rPr>
              <w:t>四、附件、特殊工具、备用配件及要求：</w:t>
            </w:r>
          </w:p>
          <w:p w14:paraId="0E4DCEFB">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1.提供随机保证仪器正常使用和维护所需的标准配件、附件及维修工具等；</w:t>
            </w:r>
          </w:p>
          <w:p w14:paraId="5E22C320">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2.提供保证机器正常运行2年所需的备用配件；</w:t>
            </w:r>
          </w:p>
          <w:p w14:paraId="539F2D50">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r>
              <w:rPr>
                <w:rFonts w:hint="default" w:ascii="Times New Roman" w:hAnsi="Times New Roman" w:eastAsia="宋体" w:cs="Times New Roman"/>
                <w:bCs/>
                <w:color w:val="auto"/>
                <w:sz w:val="21"/>
                <w:szCs w:val="21"/>
              </w:rPr>
              <w:t>提供放置仪器的试验台，并按照仪器所需环境对实验室进行改造。</w:t>
            </w:r>
          </w:p>
          <w:p w14:paraId="2C8D9932">
            <w:pPr>
              <w:tabs>
                <w:tab w:val="left" w:pos="312"/>
              </w:tabs>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五、技术服务:</w:t>
            </w:r>
            <w:r>
              <w:rPr>
                <w:rFonts w:hint="default" w:ascii="Times New Roman" w:hAnsi="Times New Roman" w:eastAsia="宋体" w:cs="Times New Roman"/>
                <w:color w:val="auto"/>
                <w:sz w:val="21"/>
                <w:szCs w:val="21"/>
              </w:rPr>
              <w:t>每年免费巡检回访不少于2次。</w:t>
            </w:r>
          </w:p>
          <w:p w14:paraId="56D39B3D">
            <w:pPr>
              <w:pStyle w:val="7"/>
              <w:tabs>
                <w:tab w:val="left" w:pos="312"/>
              </w:tabs>
              <w:spacing w:line="240" w:lineRule="auto"/>
              <w:ind w:firstLine="0" w:firstLineChars="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六、质量保证期：</w:t>
            </w:r>
            <w:r>
              <w:rPr>
                <w:rFonts w:hint="default" w:ascii="Times New Roman" w:hAnsi="Times New Roman" w:eastAsia="宋体" w:cs="Times New Roman"/>
                <w:color w:val="auto"/>
                <w:sz w:val="21"/>
                <w:szCs w:val="21"/>
              </w:rPr>
              <w:t>整机免费质保叁</w:t>
            </w:r>
            <w:r>
              <w:rPr>
                <w:rFonts w:hint="default" w:ascii="Times New Roman" w:hAnsi="Times New Roman" w:eastAsia="宋体" w:cs="Times New Roman"/>
                <w:color w:val="auto"/>
                <w:kern w:val="0"/>
                <w:sz w:val="21"/>
                <w:szCs w:val="21"/>
              </w:rPr>
              <w:t>年</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我公司</w:t>
            </w:r>
            <w:r>
              <w:rPr>
                <w:rFonts w:hint="default" w:ascii="Times New Roman" w:hAnsi="Times New Roman" w:eastAsia="宋体" w:cs="Times New Roman"/>
                <w:color w:val="auto"/>
                <w:sz w:val="21"/>
                <w:szCs w:val="21"/>
              </w:rPr>
              <w:t>提供原厂售后服务承诺。本地化技术支持可两个小时内上门服务。</w:t>
            </w:r>
          </w:p>
          <w:p w14:paraId="75AB05C6">
            <w:pPr>
              <w:pStyle w:val="7"/>
              <w:tabs>
                <w:tab w:val="left" w:pos="312"/>
              </w:tabs>
              <w:spacing w:line="240" w:lineRule="auto"/>
              <w:ind w:left="435" w:leftChars="0" w:hanging="435" w:firstLineChars="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七、售后服务要求：</w:t>
            </w:r>
          </w:p>
          <w:p w14:paraId="7100E8B2">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我</w:t>
            </w:r>
            <w:r>
              <w:rPr>
                <w:rFonts w:hint="default" w:ascii="Times New Roman" w:hAnsi="Times New Roman" w:eastAsia="宋体" w:cs="Times New Roman"/>
                <w:color w:val="auto"/>
                <w:sz w:val="21"/>
                <w:szCs w:val="21"/>
              </w:rPr>
              <w:t>方到买方提供的现场免费安装、调试设备，进行操作试验，直至运行正常并验收，为2名以上仪器操作人员提供免费的上机操作及日常维护培训直至操作人员完全掌握仪器的使用方法；</w:t>
            </w:r>
          </w:p>
          <w:p w14:paraId="284B477A">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2.质量及验收标准：技术指标符合买方要求和厂家规定的出厂要求；</w:t>
            </w:r>
          </w:p>
          <w:p w14:paraId="07D1F543">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3.仪器故障响应时间不超过2个小时，48小时内到达现场排除故障；</w:t>
            </w:r>
          </w:p>
          <w:p w14:paraId="069C7ACF">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4.及时免费提供技术咨询和仪器终身免费软件升级服务；</w:t>
            </w:r>
          </w:p>
          <w:p w14:paraId="26D963B1">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5.免费上门提供仪器应用技术培训服务，每年不低于两次；</w:t>
            </w:r>
          </w:p>
          <w:p w14:paraId="092A03E9">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6.质保期满，零配件及配套试剂以出厂价收取费用，且厂家免费上门安装调试。；</w:t>
            </w:r>
          </w:p>
          <w:p w14:paraId="383E4ABB">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八、其他</w:t>
            </w:r>
          </w:p>
          <w:p w14:paraId="039A87DE">
            <w:pPr>
              <w:tabs>
                <w:tab w:val="left" w:pos="312"/>
              </w:tabs>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1.交货：合同签订后30天内；安装调试：1个月内；</w:t>
            </w:r>
          </w:p>
          <w:p w14:paraId="38BFCF7E">
            <w:pPr>
              <w:adjustRightInd w:val="0"/>
              <w:snapToGrid w:val="0"/>
              <w:spacing w:line="260" w:lineRule="exact"/>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 w:val="21"/>
                <w:szCs w:val="21"/>
              </w:rPr>
              <w:t>2.提供产品和服务与中华人民共和国相关法律法规无抵触，满足现行安全、环保、伦理等要求</w:t>
            </w:r>
            <w:r>
              <w:rPr>
                <w:rFonts w:hint="default" w:ascii="Times New Roman" w:hAnsi="Times New Roman" w:eastAsia="宋体" w:cs="Times New Roman"/>
                <w:color w:val="auto"/>
                <w:sz w:val="21"/>
                <w:szCs w:val="21"/>
                <w:lang w:eastAsia="zh-CN"/>
              </w:rPr>
              <w:t>。</w:t>
            </w:r>
          </w:p>
        </w:tc>
        <w:tc>
          <w:tcPr>
            <w:tcW w:w="425" w:type="dxa"/>
            <w:tcBorders>
              <w:top w:val="single" w:color="auto" w:sz="4" w:space="0"/>
              <w:left w:val="nil"/>
              <w:bottom w:val="single" w:color="auto" w:sz="4" w:space="0"/>
              <w:right w:val="single" w:color="auto" w:sz="4" w:space="0"/>
            </w:tcBorders>
            <w:vAlign w:val="center"/>
          </w:tcPr>
          <w:p w14:paraId="18E819F4">
            <w:pPr>
              <w:adjustRightInd w:val="0"/>
              <w:snapToGrid w:val="0"/>
              <w:spacing w:line="260" w:lineRule="exac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c>
          <w:tcPr>
            <w:tcW w:w="838" w:type="dxa"/>
            <w:tcBorders>
              <w:top w:val="single" w:color="auto" w:sz="4" w:space="0"/>
              <w:left w:val="nil"/>
              <w:bottom w:val="single" w:color="auto" w:sz="4" w:space="0"/>
              <w:right w:val="single" w:color="auto" w:sz="4" w:space="0"/>
            </w:tcBorders>
            <w:vAlign w:val="center"/>
          </w:tcPr>
          <w:p w14:paraId="1B385AB2">
            <w:pPr>
              <w:ind w:right="-107" w:rightChars="-51"/>
              <w:jc w:val="center"/>
              <w:rPr>
                <w:rFonts w:hint="default" w:ascii="Times New Roman" w:hAnsi="Times New Roman" w:eastAsia="宋体" w:cs="Times New Roman"/>
                <w:bCs/>
                <w:color w:val="auto"/>
                <w:kern w:val="0"/>
                <w:sz w:val="21"/>
                <w:szCs w:val="21"/>
                <w:highlight w:val="none"/>
              </w:rPr>
            </w:pPr>
            <w:r>
              <w:rPr>
                <w:rFonts w:hint="default" w:ascii="Times New Roman" w:hAnsi="Times New Roman" w:eastAsia="宋体" w:cs="Times New Roman"/>
                <w:color w:val="auto"/>
                <w:sz w:val="21"/>
                <w:szCs w:val="21"/>
              </w:rPr>
              <w:t>贝克曼库尔特生物科技(苏州)有限公司</w:t>
            </w:r>
          </w:p>
        </w:tc>
        <w:tc>
          <w:tcPr>
            <w:tcW w:w="587" w:type="dxa"/>
            <w:tcBorders>
              <w:top w:val="single" w:color="auto" w:sz="4" w:space="0"/>
              <w:left w:val="nil"/>
              <w:bottom w:val="single" w:color="auto" w:sz="4" w:space="0"/>
              <w:right w:val="single" w:color="auto" w:sz="4" w:space="0"/>
            </w:tcBorders>
            <w:vAlign w:val="center"/>
          </w:tcPr>
          <w:p w14:paraId="5BFC0E5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中国</w:t>
            </w:r>
          </w:p>
        </w:tc>
        <w:tc>
          <w:tcPr>
            <w:tcW w:w="838" w:type="dxa"/>
            <w:tcBorders>
              <w:top w:val="single" w:color="auto" w:sz="4" w:space="0"/>
              <w:left w:val="nil"/>
              <w:bottom w:val="single" w:color="auto" w:sz="4" w:space="0"/>
              <w:right w:val="single" w:color="auto" w:sz="4" w:space="0"/>
            </w:tcBorders>
          </w:tcPr>
          <w:p w14:paraId="6FBF9747">
            <w:pPr>
              <w:jc w:val="center"/>
              <w:rPr>
                <w:rFonts w:hint="default" w:ascii="Times New Roman" w:hAnsi="Times New Roman" w:eastAsia="宋体" w:cs="Times New Roman"/>
                <w:color w:val="auto"/>
                <w:szCs w:val="21"/>
                <w:highlight w:val="none"/>
              </w:rPr>
            </w:pPr>
          </w:p>
        </w:tc>
      </w:tr>
      <w:tr w14:paraId="598F621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09" w:hRule="atLeast"/>
        </w:trPr>
        <w:tc>
          <w:tcPr>
            <w:tcW w:w="418" w:type="dxa"/>
            <w:tcBorders>
              <w:top w:val="single" w:color="auto" w:sz="4" w:space="0"/>
              <w:left w:val="single" w:color="auto" w:sz="4" w:space="0"/>
              <w:bottom w:val="single" w:color="auto" w:sz="4" w:space="0"/>
              <w:right w:val="single" w:color="auto" w:sz="4" w:space="0"/>
            </w:tcBorders>
            <w:vAlign w:val="center"/>
          </w:tcPr>
          <w:p w14:paraId="4D627447">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1100" w:type="dxa"/>
            <w:tcBorders>
              <w:top w:val="single" w:color="auto" w:sz="4" w:space="0"/>
              <w:left w:val="nil"/>
              <w:bottom w:val="single" w:color="auto" w:sz="4" w:space="0"/>
              <w:right w:val="single" w:color="auto" w:sz="4" w:space="0"/>
            </w:tcBorders>
            <w:vAlign w:val="center"/>
          </w:tcPr>
          <w:p w14:paraId="5513A8C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箱内高内涵活细胞成像系统</w:t>
            </w:r>
          </w:p>
        </w:tc>
        <w:tc>
          <w:tcPr>
            <w:tcW w:w="1325" w:type="dxa"/>
            <w:tcBorders>
              <w:top w:val="single" w:color="auto" w:sz="4" w:space="0"/>
              <w:left w:val="nil"/>
              <w:bottom w:val="single" w:color="auto" w:sz="4" w:space="0"/>
              <w:right w:val="single" w:color="auto" w:sz="4" w:space="0"/>
            </w:tcBorders>
            <w:vAlign w:val="center"/>
          </w:tcPr>
          <w:p w14:paraId="6E3DA93C">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rPr>
              <w:drawing>
                <wp:inline distT="0" distB="0" distL="114300" distR="114300">
                  <wp:extent cx="701040" cy="522605"/>
                  <wp:effectExtent l="0" t="0" r="3810" b="10795"/>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0"/>
                          <a:stretch>
                            <a:fillRect/>
                          </a:stretch>
                        </pic:blipFill>
                        <pic:spPr>
                          <a:xfrm>
                            <a:off x="0" y="0"/>
                            <a:ext cx="701040" cy="522605"/>
                          </a:xfrm>
                          <a:prstGeom prst="rect">
                            <a:avLst/>
                          </a:prstGeom>
                          <a:noFill/>
                          <a:ln>
                            <a:noFill/>
                          </a:ln>
                        </pic:spPr>
                      </pic:pic>
                    </a:graphicData>
                  </a:graphic>
                </wp:inline>
              </w:drawing>
            </w:r>
          </w:p>
        </w:tc>
        <w:tc>
          <w:tcPr>
            <w:tcW w:w="688" w:type="dxa"/>
            <w:tcBorders>
              <w:top w:val="single" w:color="auto" w:sz="4" w:space="0"/>
              <w:left w:val="nil"/>
              <w:bottom w:val="single" w:color="auto" w:sz="4" w:space="0"/>
              <w:right w:val="single" w:color="auto" w:sz="4" w:space="0"/>
            </w:tcBorders>
            <w:vAlign w:val="center"/>
          </w:tcPr>
          <w:p w14:paraId="4E925AAE">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AcvBiocyte LCSX1</w:t>
            </w:r>
          </w:p>
        </w:tc>
        <w:tc>
          <w:tcPr>
            <w:tcW w:w="8287" w:type="dxa"/>
            <w:tcBorders>
              <w:top w:val="single" w:color="auto" w:sz="4" w:space="0"/>
              <w:left w:val="nil"/>
              <w:bottom w:val="single" w:color="auto" w:sz="4" w:space="0"/>
              <w:right w:val="single" w:color="auto" w:sz="4" w:space="0"/>
            </w:tcBorders>
            <w:vAlign w:val="center"/>
          </w:tcPr>
          <w:p w14:paraId="2B925F81">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一、仪器设备的使用用途、范围及要求</w:t>
            </w:r>
            <w:r>
              <w:rPr>
                <w:rFonts w:hint="default" w:ascii="Times New Roman" w:hAnsi="Times New Roman" w:eastAsia="宋体" w:cs="Times New Roman"/>
                <w:color w:val="auto"/>
                <w:sz w:val="21"/>
                <w:szCs w:val="21"/>
              </w:rPr>
              <w:t>：</w:t>
            </w:r>
          </w:p>
          <w:p w14:paraId="412427D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要用途为长时程动态观测活细胞及类器官等，通过高分辨率成像与多参数分析，捕捉细胞形态、分子表达及信号通路变化，支撑中药作用机制解析、药效评估与毒性检测，还可用于细胞生理过程研究。适用范围覆盖中医学、中药学、细胞生物学、药理学等领域，适配2D细胞、3D类器官样本，可满足单/多细胞动态追踪、中药药物筛选、细胞迁移、干细胞分化、细胞凋亡、免疫肿瘤杀伤、细胞毒性、3D细胞球体、细胞吞噬、癌细胞转移、伤口修复、神经生长及退行、细胞共培养等场景。</w:t>
            </w:r>
          </w:p>
          <w:p w14:paraId="65DC753D">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二、配置（或系统组成）</w:t>
            </w:r>
            <w:r>
              <w:rPr>
                <w:rFonts w:hint="default" w:ascii="Times New Roman" w:hAnsi="Times New Roman" w:eastAsia="宋体" w:cs="Times New Roman"/>
                <w:color w:val="auto"/>
                <w:sz w:val="21"/>
                <w:szCs w:val="21"/>
              </w:rPr>
              <w:t>：</w:t>
            </w:r>
          </w:p>
          <w:p w14:paraId="09545523">
            <w:pPr>
              <w:spacing w:line="240" w:lineRule="auto"/>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1.主机（包含数据分析单元、显微成像单元及连接配件）1套</w:t>
            </w:r>
          </w:p>
          <w:p w14:paraId="414EE1D6">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2.气套式CO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 xml:space="preserve">培养箱             </w:t>
            </w:r>
            <w:r>
              <w:rPr>
                <w:rFonts w:hint="default" w:ascii="Times New Roman" w:hAnsi="Times New Roman" w:eastAsia="宋体" w:cs="Times New Roman"/>
                <w:color w:val="auto"/>
                <w:sz w:val="21"/>
                <w:szCs w:val="21"/>
                <w:lang w:val="en-US" w:eastAsia="zh-CN"/>
              </w:rPr>
              <w:t xml:space="preserve">   </w:t>
            </w:r>
            <w:r>
              <w:rPr>
                <w:rFonts w:hint="default" w:ascii="Times New Roman" w:hAnsi="Times New Roman" w:eastAsia="宋体" w:cs="Times New Roman"/>
                <w:color w:val="auto"/>
                <w:sz w:val="21"/>
                <w:szCs w:val="21"/>
              </w:rPr>
              <w:t xml:space="preserve">1台                  </w:t>
            </w:r>
          </w:p>
          <w:p w14:paraId="60E3912F">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 xml:space="preserve">3.基础成像及荧光成像分析软件      1套                </w:t>
            </w:r>
          </w:p>
          <w:p w14:paraId="58301F63">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4.高清物镜模块（4×，10×，20×）    1套</w:t>
            </w:r>
          </w:p>
          <w:p w14:paraId="23C82E8E">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 xml:space="preserve">5.肿瘤球及其他分析模块             1套             </w:t>
            </w:r>
          </w:p>
          <w:p w14:paraId="62501133">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6.微孔板载架（培养皿、培养瓶、腔室载玻片）        1套</w:t>
            </w:r>
          </w:p>
          <w:p w14:paraId="21910C62">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 xml:space="preserve">7.配套移液器              1套                        </w:t>
            </w:r>
          </w:p>
          <w:p w14:paraId="00A7490A">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8.配备实验所需6/12/24/96孔板各规格200个、培养瓶（T25/T75/T175）各规格100个、培养皿（35/60/90/100mm）各规格200</w:t>
            </w:r>
            <w:r>
              <w:rPr>
                <w:rFonts w:hint="default" w:ascii="Times New Roman" w:hAnsi="Times New Roman" w:eastAsia="宋体" w:cs="Times New Roman"/>
                <w:color w:val="auto"/>
                <w:sz w:val="21"/>
                <w:szCs w:val="21"/>
                <w:lang w:val="en-US" w:eastAsia="zh-CN"/>
              </w:rPr>
              <w:t xml:space="preserve"> </w:t>
            </w:r>
          </w:p>
          <w:p w14:paraId="5E9EC4D2">
            <w:pPr>
              <w:spacing w:line="240" w:lineRule="auto"/>
              <w:jc w:val="left"/>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三、各项配置（或系统组成）的技术指标参数</w:t>
            </w:r>
          </w:p>
          <w:p w14:paraId="424CD11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工作条件：</w:t>
            </w:r>
          </w:p>
          <w:p w14:paraId="37D874A4">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1.工作环境温度：0-42℃，湿度：5-95%；</w:t>
            </w:r>
          </w:p>
          <w:p w14:paraId="169B7AA0">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2.电源：220V 10%，50Hz ± 1Hz；</w:t>
            </w:r>
          </w:p>
          <w:p w14:paraId="1E43BBB8">
            <w:pPr>
              <w:spacing w:line="240" w:lineRule="auto"/>
              <w:jc w:val="left"/>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技术参数：</w:t>
            </w:r>
          </w:p>
          <w:p w14:paraId="0C816EA6">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rPr>
              <w:t>相差、荧光光源：LED光源，寿命：≥20000h；</w:t>
            </w:r>
          </w:p>
          <w:p w14:paraId="0D9A8D38">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2.成像系统：高灵敏cMOS成像系统，传感器像素矩阵：5.8μm×5.8μm；</w:t>
            </w:r>
          </w:p>
          <w:p w14:paraId="756D6041">
            <w:pPr>
              <w:keepNext w:val="0"/>
              <w:keepLines w:val="0"/>
              <w:widowControl/>
              <w:suppressLineNumbers w:val="0"/>
              <w:spacing w:line="240" w:lineRule="auto"/>
              <w:jc w:val="both"/>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3.设备显微成像部分须在细胞培养箱中运行，单台设备可同时拍摄2块标准384孔板，细胞容器无需反复出入培养箱，拍摄过程中样品固定不动，物镜可自动逐孔移动实现孔板拍摄；</w:t>
            </w:r>
          </w:p>
          <w:p w14:paraId="09162E91">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4.物镜规格：具有4倍（NA为0.2）、10倍（NA为0.3）和20倍（NA为0.45）三种高清物镜，物镜采集的样本视野尺寸分别为:4倍物镜：4.34mm×3.25mm，10倍物镜：1.75mm ×1.29mm，20倍物镜：0.89mm×0.65mm，仪器配置三位物镜转盘，三种镜头可自动进行切换；</w:t>
            </w:r>
          </w:p>
          <w:p w14:paraId="4503A5A3">
            <w:pPr>
              <w:wordWrap w:val="0"/>
              <w:spacing w:line="240" w:lineRule="auto"/>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5.具备封闭式样品舱，具备2个板位载架的抽屉式样品仓，非加盖子封闭模式，可自动弹出和关闭，确保微孔板可以在封闭式成像主机的黑暗环境内对样本进行相差和荧光通道图像的采集；</w:t>
            </w:r>
          </w:p>
          <w:p w14:paraId="3D0D5C4E">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6.荧光光学模块：绿色/红色光学模块，兼容GFP/FITC/RFP/PE等荧光通道，其中；绿色荧光激发光波长：440-480nm，发射光波长：510-540nm；红色荧光激发光波长：565-605nm，发射光波长：625-705nm；</w:t>
            </w:r>
          </w:p>
          <w:p w14:paraId="111CE488">
            <w:pPr>
              <w:keepNext w:val="0"/>
              <w:keepLines w:val="0"/>
              <w:widowControl/>
              <w:suppressLineNumbers w:val="0"/>
              <w:spacing w:line="240" w:lineRule="auto"/>
              <w:jc w:val="both"/>
              <w:textAlignment w:val="center"/>
              <w:rPr>
                <w:rFonts w:hint="default" w:ascii="Times New Roman" w:hAnsi="Times New Roman" w:eastAsia="宋体" w:cs="Times New Roman"/>
                <w:i w:val="0"/>
                <w:iCs w:val="0"/>
                <w:color w:val="auto"/>
                <w:kern w:val="2"/>
                <w:sz w:val="21"/>
                <w:szCs w:val="21"/>
                <w:u w:val="none"/>
                <w:lang w:val="en-US" w:eastAsia="zh-CN" w:bidi="ar-SA"/>
              </w:rPr>
            </w:pPr>
            <w:r>
              <w:rPr>
                <w:rStyle w:val="8"/>
                <w:rFonts w:hint="default" w:ascii="Times New Roman" w:hAnsi="Times New Roman" w:eastAsia="宋体" w:cs="Times New Roman"/>
                <w:color w:val="auto"/>
                <w:sz w:val="21"/>
                <w:szCs w:val="21"/>
                <w:lang w:val="en-US" w:eastAsia="zh-CN" w:bidi="ar"/>
              </w:rPr>
              <w:t>7.成像速度：使用相差通道10×物镜，2min/96孔板，即可获得96孔板每个样本孔采集的聚焦清晰的图片</w:t>
            </w:r>
            <w:r>
              <w:rPr>
                <w:rStyle w:val="9"/>
                <w:rFonts w:hint="default" w:ascii="Times New Roman" w:hAnsi="Times New Roman" w:eastAsia="宋体" w:cs="Times New Roman"/>
                <w:color w:val="auto"/>
                <w:sz w:val="21"/>
                <w:szCs w:val="21"/>
                <w:lang w:val="en-US" w:eastAsia="zh-CN" w:bidi="ar"/>
              </w:rPr>
              <w:t>；</w:t>
            </w:r>
          </w:p>
          <w:p w14:paraId="057AD470">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8.仪器运行：能够进行全天候不间断长期成像监测并分析，实验全程中细胞无需反复进出培养环境，单个实验最长连续检测时间12天；</w:t>
            </w:r>
          </w:p>
          <w:p w14:paraId="4F30D5BE">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9.配置专门的服务器级别数据分析系统，适用于大规模数据分析及存储，存储系统为磁盘阵列结构；其中可用硬盘容量：27.2 TB；内存：64 GB，20核处理器；存储硬盘之间基于RAID技术设计；；</w:t>
            </w:r>
          </w:p>
          <w:p w14:paraId="75F01AF1">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10.具备数据自动备份功能，可定期自动备份，自动备份位置可选择本地硬盘或者本地网盘；</w:t>
            </w:r>
          </w:p>
          <w:p w14:paraId="641C413B">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11.相差通道支持已经利用大量图片训练生成的AI confluence算法，对于形态上比较伸展、对比度很弱的细胞支持一键精准识别，不需要用户重新训练算法或反复优化参数进行定量；</w:t>
            </w:r>
          </w:p>
          <w:p w14:paraId="329D97B9">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12.具备荧光共定位信号定量功能；支持荧光共表达信号的特异性定量，如红绿灯荧光共定位信号，并计算共定位信号的百分比，无须借助第三方软件；</w:t>
            </w:r>
          </w:p>
          <w:p w14:paraId="21EC7466">
            <w:pPr>
              <w:keepNext w:val="0"/>
              <w:keepLines w:val="0"/>
              <w:widowControl/>
              <w:suppressLineNumbers w:val="0"/>
              <w:spacing w:line="240" w:lineRule="auto"/>
              <w:jc w:val="both"/>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13.荧光数据分析中可选择采用Surface Fit/Top-Hat背景去除算法对荧光背景进行校正，提升对弱荧光信号的识别准确度；</w:t>
            </w:r>
          </w:p>
          <w:p w14:paraId="4627F2B1">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14.荧光分析后的图片可展示数据5种，图片可显示任意被定量细胞的面积、偏心度、荧光强度、平均荧光强度、积分荧光强度、并根据这些参数来优化定量的准确度；</w:t>
            </w:r>
          </w:p>
          <w:p w14:paraId="647D8D1D">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15.支持各种型号的细胞培养板（6/12/24/48/96/384孔板），细胞培养皿、细胞培养瓶和标准载玻片等；</w:t>
            </w:r>
          </w:p>
          <w:p w14:paraId="02C83AB1">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16.仪器软件内置有600多种培养耗材的z轴聚焦参数，试验时无需校正调整焦距，快速实时自动对焦，提高成像效率；</w:t>
            </w:r>
          </w:p>
          <w:p w14:paraId="1CF5D055">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17.具备EC50值自动拟合功能，单个时间点可生成浓度反应曲线并拟合EC50值，且支持生成不同时间点EC50曲线，无需借助第三方软件；</w:t>
            </w:r>
            <w:r>
              <w:rPr>
                <w:rFonts w:hint="default" w:ascii="Times New Roman" w:hAnsi="Times New Roman" w:eastAsia="宋体" w:cs="Times New Roman"/>
                <w:color w:val="auto"/>
                <w:sz w:val="21"/>
                <w:szCs w:val="21"/>
              </w:rPr>
              <w:t>提供软件功能截图佐证</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见后附资料</w:t>
            </w:r>
          </w:p>
          <w:p w14:paraId="175EEFC9">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18.可输出图像、视频等格式至少包含JPEG、PNG、TIFF、MetaMorph Multi Dimensional File v2.0、WMV、AVI、MPEG-4等；</w:t>
            </w:r>
          </w:p>
          <w:p w14:paraId="09A7773B">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19.具备连续动态免疫杀伤检测功能：对贴壁或悬浮的肿瘤细胞均可进行连续杀伤检测，在不更换检测板的情况下，向共培养体系中连续多轮补充新的肿瘤细胞，在一个实验里实时检测，完成效应细胞持久杀伤能力的评估；</w:t>
            </w:r>
          </w:p>
          <w:p w14:paraId="245B0F60">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20.具备全孔成像功能，能够全视野观察细胞，不需要用户设置拼接参数，对于6、12、24、96和384孔板可自动获得全孔图像及分析；</w:t>
            </w:r>
          </w:p>
          <w:p w14:paraId="591A984B">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21.具备药物梯度稀释功能：仅需输入最高浓度和稀释比例即可实现该药物所有样本孔信息的一键录入，减少用户工作量；</w:t>
            </w:r>
          </w:p>
          <w:p w14:paraId="31EE1DE3">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22.具备单细胞轨迹追踪功能：设备可固定视野的拍摄，可使用拍摄的图像对单个细胞的运动轨迹进行追踪；</w:t>
            </w:r>
            <w:r>
              <w:rPr>
                <w:rFonts w:hint="default" w:ascii="Times New Roman" w:hAnsi="Times New Roman" w:eastAsia="宋体" w:cs="Times New Roman"/>
                <w:color w:val="auto"/>
                <w:sz w:val="21"/>
                <w:szCs w:val="21"/>
              </w:rPr>
              <w:t>提供所投品牌仪器发表的单细胞轨迹追踪文献1篇佐证</w:t>
            </w:r>
            <w:r>
              <w:rPr>
                <w:rFonts w:hint="default" w:ascii="Times New Roman" w:hAnsi="Times New Roman" w:eastAsia="宋体" w:cs="Times New Roman"/>
                <w:color w:val="auto"/>
                <w:sz w:val="21"/>
                <w:szCs w:val="21"/>
                <w:lang w:val="en-US" w:eastAsia="zh-CN"/>
              </w:rPr>
              <w:t>见后附资料</w:t>
            </w:r>
          </w:p>
          <w:p w14:paraId="645F97AE">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23.标准操作分析软件无安装限制：可安装在用户任意电脑中，可保证10人以上同时远程控制，实现远程数据查看及分析，无须借助第三方软件；</w:t>
            </w:r>
          </w:p>
          <w:p w14:paraId="470363FF">
            <w:pPr>
              <w:keepNext w:val="0"/>
              <w:keepLines w:val="0"/>
              <w:widowControl/>
              <w:suppressLineNumbers w:val="0"/>
              <w:spacing w:line="240" w:lineRule="auto"/>
              <w:jc w:val="both"/>
              <w:textAlignment w:val="top"/>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24.支持4/10倍物镜自动切换成像，对培养在96/384孔超低吸附U底板里的肿瘤球样本进行z轴层扫，96孔板明场每孔均采集一个视野不大于5min（非拼接成像），可以定量肿瘤球的数量、总面积、最大球体面积、平均偏心度、荧光面积、荧光强度、最大球体内荧光强度以及3D水平特异性向基质胶内侵袭的面积等指标；</w:t>
            </w:r>
          </w:p>
          <w:p w14:paraId="11C66845">
            <w:pPr>
              <w:keepNext w:val="0"/>
              <w:keepLines w:val="0"/>
              <w:widowControl/>
              <w:suppressLineNumbers w:val="0"/>
              <w:spacing w:line="240" w:lineRule="auto"/>
              <w:jc w:val="left"/>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25.艾本德移液器1套：单通道体积范围分别为0.1-2.5 µL、0.5-10 µL、10-100 µL、20-200 µL、100-1000 µL、0.5-5 mL，8通道体积范围为30-300 µL。</w:t>
            </w:r>
          </w:p>
          <w:p w14:paraId="3D636050">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color w:val="auto"/>
                <w:sz w:val="21"/>
                <w:szCs w:val="21"/>
              </w:rPr>
              <w:t>四、附件、特殊工具、备用配件及要求：</w:t>
            </w:r>
          </w:p>
          <w:p w14:paraId="44579F84">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1.提供随机保证仪器正常使用和维护所需的标准配件、附件及维修工具等；</w:t>
            </w:r>
          </w:p>
          <w:p w14:paraId="1A4D0BC2">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2.提供保证机器正常运行2年所需的备用配件；</w:t>
            </w:r>
          </w:p>
          <w:p w14:paraId="66310E27">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r>
              <w:rPr>
                <w:rFonts w:hint="default" w:ascii="Times New Roman" w:hAnsi="Times New Roman" w:eastAsia="宋体" w:cs="Times New Roman"/>
                <w:bCs/>
                <w:color w:val="auto"/>
                <w:sz w:val="21"/>
                <w:szCs w:val="21"/>
              </w:rPr>
              <w:t>提供放置仪器的试验台，并按照仪器所需环境对实验室进行改造。</w:t>
            </w:r>
          </w:p>
          <w:p w14:paraId="114AE4D1">
            <w:pPr>
              <w:tabs>
                <w:tab w:val="left" w:pos="312"/>
              </w:tabs>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五、技术服务:</w:t>
            </w:r>
            <w:r>
              <w:rPr>
                <w:rFonts w:hint="default" w:ascii="Times New Roman" w:hAnsi="Times New Roman" w:eastAsia="宋体" w:cs="Times New Roman"/>
                <w:color w:val="auto"/>
                <w:sz w:val="21"/>
                <w:szCs w:val="21"/>
              </w:rPr>
              <w:t>每年免费巡检回访不少于2次。</w:t>
            </w:r>
          </w:p>
          <w:p w14:paraId="3ED4A601">
            <w:pPr>
              <w:pStyle w:val="7"/>
              <w:tabs>
                <w:tab w:val="left" w:pos="312"/>
              </w:tabs>
              <w:spacing w:line="240" w:lineRule="auto"/>
              <w:ind w:firstLine="0" w:firstLineChars="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六、质量保证期：</w:t>
            </w:r>
            <w:r>
              <w:rPr>
                <w:rFonts w:hint="default" w:ascii="Times New Roman" w:hAnsi="Times New Roman" w:eastAsia="宋体" w:cs="Times New Roman"/>
                <w:color w:val="auto"/>
                <w:sz w:val="21"/>
                <w:szCs w:val="21"/>
              </w:rPr>
              <w:t>整机免费质保叁</w:t>
            </w:r>
            <w:r>
              <w:rPr>
                <w:rFonts w:hint="default" w:ascii="Times New Roman" w:hAnsi="Times New Roman" w:eastAsia="宋体" w:cs="Times New Roman"/>
                <w:color w:val="auto"/>
                <w:kern w:val="0"/>
                <w:sz w:val="21"/>
                <w:szCs w:val="21"/>
              </w:rPr>
              <w:t>年</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我公司</w:t>
            </w:r>
            <w:r>
              <w:rPr>
                <w:rFonts w:hint="default" w:ascii="Times New Roman" w:hAnsi="Times New Roman" w:eastAsia="宋体" w:cs="Times New Roman"/>
                <w:color w:val="auto"/>
                <w:sz w:val="21"/>
                <w:szCs w:val="21"/>
              </w:rPr>
              <w:t>提供原厂售后服务承诺。本地化技术支持可两个小时内上门服务。</w:t>
            </w:r>
          </w:p>
          <w:p w14:paraId="16A10A2B">
            <w:pPr>
              <w:pStyle w:val="7"/>
              <w:tabs>
                <w:tab w:val="left" w:pos="312"/>
              </w:tabs>
              <w:spacing w:line="240" w:lineRule="auto"/>
              <w:ind w:left="435" w:leftChars="0" w:hanging="435" w:firstLineChars="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七、售后服务要求：</w:t>
            </w:r>
          </w:p>
          <w:p w14:paraId="2A6201CA">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我</w:t>
            </w:r>
            <w:r>
              <w:rPr>
                <w:rFonts w:hint="default" w:ascii="Times New Roman" w:hAnsi="Times New Roman" w:eastAsia="宋体" w:cs="Times New Roman"/>
                <w:color w:val="auto"/>
                <w:sz w:val="21"/>
                <w:szCs w:val="21"/>
              </w:rPr>
              <w:t>方到买方提供的现场免费安装、调试设备，进行操作试验，直至运行正常并验收，为2名以上仪器操作人员提供免费的上机操作及日常维护培训直至操作人员完全掌握仪器的使用方法；</w:t>
            </w:r>
          </w:p>
          <w:p w14:paraId="68B7B2A7">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2.质量及验收标准：技术指标符合买方要求和厂家规定的出厂要求；</w:t>
            </w:r>
          </w:p>
          <w:p w14:paraId="3CC5642C">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3.仪器故障响应时间不超过2个小时，48小时内到达现场排除故障；</w:t>
            </w:r>
          </w:p>
          <w:p w14:paraId="7860C215">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4.及时免费提供技术咨询和仪器终身免费软件升级服务；</w:t>
            </w:r>
          </w:p>
          <w:p w14:paraId="7AF075D6">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5.免费上门提供仪器应用技术培训服务，每年不低于两次；</w:t>
            </w:r>
          </w:p>
          <w:p w14:paraId="65DEF897">
            <w:pPr>
              <w:pStyle w:val="7"/>
              <w:spacing w:line="240" w:lineRule="auto"/>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6.质保期满，零配件及配套试剂以出厂价收取费用，且厂家免费上门安装调试。</w:t>
            </w:r>
          </w:p>
          <w:p w14:paraId="53D9BA2D">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八、其他</w:t>
            </w:r>
          </w:p>
          <w:p w14:paraId="7B90CB68">
            <w:pPr>
              <w:adjustRightInd w:val="0"/>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1.交货：合同签订后30天内；安装调试：1个月内；</w:t>
            </w:r>
          </w:p>
          <w:p w14:paraId="42266C52">
            <w:pPr>
              <w:adjustRightInd w:val="0"/>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2.提供产品和服务与中华人民共和国相关法律法规无抵触，满足现行安全、环保、伦理等要求。</w:t>
            </w:r>
          </w:p>
        </w:tc>
        <w:tc>
          <w:tcPr>
            <w:tcW w:w="425" w:type="dxa"/>
            <w:tcBorders>
              <w:top w:val="single" w:color="auto" w:sz="4" w:space="0"/>
              <w:left w:val="nil"/>
              <w:bottom w:val="single" w:color="auto" w:sz="4" w:space="0"/>
              <w:right w:val="single" w:color="auto" w:sz="4" w:space="0"/>
            </w:tcBorders>
            <w:vAlign w:val="center"/>
          </w:tcPr>
          <w:p w14:paraId="26535E03">
            <w:pPr>
              <w:adjustRightInd w:val="0"/>
              <w:snapToGrid w:val="0"/>
              <w:spacing w:line="260" w:lineRule="exac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c>
          <w:tcPr>
            <w:tcW w:w="838" w:type="dxa"/>
            <w:tcBorders>
              <w:top w:val="single" w:color="auto" w:sz="4" w:space="0"/>
              <w:left w:val="nil"/>
              <w:bottom w:val="single" w:color="auto" w:sz="4" w:space="0"/>
              <w:right w:val="single" w:color="auto" w:sz="4" w:space="0"/>
            </w:tcBorders>
            <w:vAlign w:val="center"/>
          </w:tcPr>
          <w:p w14:paraId="674A6417">
            <w:pPr>
              <w:ind w:right="-107" w:rightChars="-51"/>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sz w:val="21"/>
                <w:szCs w:val="21"/>
              </w:rPr>
              <w:t>山东艾克韦生物技术有限公司</w:t>
            </w:r>
          </w:p>
        </w:tc>
        <w:tc>
          <w:tcPr>
            <w:tcW w:w="587" w:type="dxa"/>
            <w:tcBorders>
              <w:top w:val="single" w:color="auto" w:sz="4" w:space="0"/>
              <w:left w:val="nil"/>
              <w:bottom w:val="single" w:color="auto" w:sz="4" w:space="0"/>
              <w:right w:val="single" w:color="auto" w:sz="4" w:space="0"/>
            </w:tcBorders>
            <w:vAlign w:val="center"/>
          </w:tcPr>
          <w:p w14:paraId="2BEEBFBE">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中国</w:t>
            </w:r>
          </w:p>
        </w:tc>
        <w:tc>
          <w:tcPr>
            <w:tcW w:w="838" w:type="dxa"/>
            <w:tcBorders>
              <w:top w:val="single" w:color="auto" w:sz="4" w:space="0"/>
              <w:left w:val="nil"/>
              <w:bottom w:val="single" w:color="auto" w:sz="4" w:space="0"/>
              <w:right w:val="single" w:color="auto" w:sz="4" w:space="0"/>
            </w:tcBorders>
          </w:tcPr>
          <w:p w14:paraId="013E9965">
            <w:pPr>
              <w:jc w:val="center"/>
              <w:rPr>
                <w:rFonts w:hint="default" w:ascii="Times New Roman" w:hAnsi="Times New Roman" w:eastAsia="宋体" w:cs="Times New Roman"/>
                <w:color w:val="auto"/>
                <w:szCs w:val="21"/>
                <w:highlight w:val="none"/>
              </w:rPr>
            </w:pPr>
          </w:p>
        </w:tc>
      </w:tr>
      <w:tr w14:paraId="6D0802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30" w:hRule="atLeast"/>
        </w:trPr>
        <w:tc>
          <w:tcPr>
            <w:tcW w:w="418" w:type="dxa"/>
            <w:tcBorders>
              <w:top w:val="single" w:color="auto" w:sz="4" w:space="0"/>
              <w:left w:val="single" w:color="auto" w:sz="4" w:space="0"/>
              <w:bottom w:val="single" w:color="auto" w:sz="4" w:space="0"/>
              <w:right w:val="single" w:color="auto" w:sz="4" w:space="0"/>
            </w:tcBorders>
            <w:vAlign w:val="center"/>
          </w:tcPr>
          <w:p w14:paraId="6CB351F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1100" w:type="dxa"/>
            <w:tcBorders>
              <w:top w:val="single" w:color="auto" w:sz="4" w:space="0"/>
              <w:left w:val="nil"/>
              <w:bottom w:val="single" w:color="auto" w:sz="4" w:space="0"/>
              <w:right w:val="single" w:color="auto" w:sz="4" w:space="0"/>
            </w:tcBorders>
            <w:vAlign w:val="center"/>
          </w:tcPr>
          <w:p w14:paraId="365B6F55">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聚焦式超声破碎系统</w:t>
            </w:r>
          </w:p>
        </w:tc>
        <w:tc>
          <w:tcPr>
            <w:tcW w:w="1325" w:type="dxa"/>
            <w:tcBorders>
              <w:top w:val="single" w:color="auto" w:sz="4" w:space="0"/>
              <w:left w:val="nil"/>
              <w:bottom w:val="single" w:color="auto" w:sz="4" w:space="0"/>
              <w:right w:val="single" w:color="auto" w:sz="4" w:space="0"/>
            </w:tcBorders>
            <w:vAlign w:val="center"/>
          </w:tcPr>
          <w:p w14:paraId="6CCACF31">
            <w:pPr>
              <w:jc w:val="center"/>
              <w:rPr>
                <w:rFonts w:hint="default" w:ascii="Times New Roman" w:hAnsi="Times New Roman" w:eastAsia="宋体" w:cs="Times New Roman"/>
                <w:color w:val="auto"/>
                <w:szCs w:val="21"/>
                <w:highlight w:val="none"/>
              </w:rPr>
            </w:pPr>
            <w:r>
              <w:rPr>
                <w:rFonts w:hint="default" w:ascii="Times New Roman" w:hAnsi="Times New Roman" w:cs="Times New Roman"/>
                <w:color w:val="auto"/>
              </w:rPr>
              <w:drawing>
                <wp:inline distT="0" distB="0" distL="114300" distR="114300">
                  <wp:extent cx="703580" cy="710565"/>
                  <wp:effectExtent l="0" t="0" r="1270" b="1333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11"/>
                          <a:stretch>
                            <a:fillRect/>
                          </a:stretch>
                        </pic:blipFill>
                        <pic:spPr>
                          <a:xfrm>
                            <a:off x="0" y="0"/>
                            <a:ext cx="703580" cy="710565"/>
                          </a:xfrm>
                          <a:prstGeom prst="rect">
                            <a:avLst/>
                          </a:prstGeom>
                          <a:noFill/>
                          <a:ln>
                            <a:noFill/>
                          </a:ln>
                        </pic:spPr>
                      </pic:pic>
                    </a:graphicData>
                  </a:graphic>
                </wp:inline>
              </w:drawing>
            </w:r>
          </w:p>
        </w:tc>
        <w:tc>
          <w:tcPr>
            <w:tcW w:w="688" w:type="dxa"/>
            <w:tcBorders>
              <w:top w:val="single" w:color="auto" w:sz="4" w:space="0"/>
              <w:left w:val="nil"/>
              <w:bottom w:val="single" w:color="auto" w:sz="4" w:space="0"/>
              <w:right w:val="single" w:color="auto" w:sz="4" w:space="0"/>
            </w:tcBorders>
            <w:vAlign w:val="center"/>
          </w:tcPr>
          <w:p w14:paraId="3B7B774C">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b/>
                <w:color w:val="auto"/>
                <w:szCs w:val="21"/>
                <w:highlight w:val="none"/>
                <w:lang w:val="en-US" w:eastAsia="zh-CN"/>
              </w:rPr>
              <w:t>ME220</w:t>
            </w:r>
          </w:p>
        </w:tc>
        <w:tc>
          <w:tcPr>
            <w:tcW w:w="8287" w:type="dxa"/>
            <w:tcBorders>
              <w:top w:val="single" w:color="auto" w:sz="4" w:space="0"/>
              <w:left w:val="nil"/>
              <w:bottom w:val="single" w:color="auto" w:sz="4" w:space="0"/>
              <w:right w:val="single" w:color="auto" w:sz="4" w:space="0"/>
            </w:tcBorders>
            <w:vAlign w:val="center"/>
          </w:tcPr>
          <w:p w14:paraId="0128C4B7">
            <w:pPr>
              <w:spacing w:line="240" w:lineRule="auto"/>
              <w:jc w:val="left"/>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一.仪器设备的使用用途、范围及要求：</w:t>
            </w:r>
          </w:p>
          <w:p w14:paraId="0369A5A1">
            <w:pPr>
              <w:spacing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主要应用于样本超声处理，可提升样本处理的可重复性、高效性，提高样本制备过程生物大分子的得率，最大限度保证生物大分子的活性。可用于染色质免疫共沉淀实验过程中的染色质片段化，均匀打断染色质用于后续抗体捕获等；可用于蛋白组学质谱前样本处理，进行蛋白提取、酶解片段化等过程，可有效提高蛋白得率，保护蛋白表位抗原完整性，且能够提升下游质谱鉴定的蛋白种类和数量；可用于NGS二代测序中的DNA剪切及组织系破碎及匀浆处理等。</w:t>
            </w:r>
          </w:p>
          <w:p w14:paraId="0F646CBD">
            <w:pPr>
              <w:tabs>
                <w:tab w:val="left" w:pos="312"/>
              </w:tabs>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二.配置（或系统组成）</w:t>
            </w:r>
          </w:p>
          <w:p w14:paraId="1AF65FD1">
            <w:pPr>
              <w:spacing w:line="240" w:lineRule="auto"/>
              <w:jc w:val="left"/>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1.主机            1台（内置冷却系统，带软件）</w:t>
            </w:r>
          </w:p>
          <w:p w14:paraId="1F0D1300">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rPr>
              <w:t>2.数据处理工作站  1台</w:t>
            </w:r>
          </w:p>
          <w:p w14:paraId="7A453ED4">
            <w:pPr>
              <w:tabs>
                <w:tab w:val="left" w:pos="312"/>
              </w:tabs>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Cs/>
                <w:color w:val="auto"/>
                <w:sz w:val="21"/>
                <w:szCs w:val="21"/>
              </w:rPr>
              <w:t>3.耗材管  2包（24个1 mL，带适配器；25个130 μL，带适配器）</w:t>
            </w:r>
          </w:p>
          <w:p w14:paraId="43AF1119">
            <w:pPr>
              <w:spacing w:line="240" w:lineRule="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4.移液器          1套</w:t>
            </w:r>
          </w:p>
          <w:p w14:paraId="39C34909">
            <w:pPr>
              <w:spacing w:line="240" w:lineRule="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5.低速台式离心机  1台</w:t>
            </w:r>
          </w:p>
          <w:p w14:paraId="50E903B5">
            <w:pPr>
              <w:spacing w:line="240" w:lineRule="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6.脱色摇床        2台</w:t>
            </w:r>
          </w:p>
          <w:p w14:paraId="2C031202">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sz w:val="21"/>
                <w:szCs w:val="21"/>
              </w:rPr>
              <w:t>三.各项配置（或系统组成）的技术指标参数</w:t>
            </w:r>
          </w:p>
          <w:p w14:paraId="6A1F9D55">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1.工作原理：基于AFA自动声波聚焦原理，利用几何聚焦声波能量，通过球面固态超声传感器可将声波能量聚焦在样品上；</w:t>
            </w:r>
          </w:p>
          <w:p w14:paraId="3C66825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2.样本上压强达到1 Mpa所需功率0.8 W；</w:t>
            </w:r>
          </w:p>
          <w:p w14:paraId="146CFF9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3.整合非线性、高强度、会聚性声学冲击波和高级计算机控制系统，可根据应用范围和样品量来选择波频率和波形来控制聚焦带的尺寸和声波强度；</w:t>
            </w:r>
          </w:p>
          <w:p w14:paraId="78925C4F">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4.等温过程：内置整合冷却水浴系统，样品处理在等温下进行，温度可调范围：8 ℃-20 ℃，温度精度±0.1 ℃步进，无热损伤；</w:t>
            </w:r>
          </w:p>
          <w:p w14:paraId="272951F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5.具备自动化水浴控制，自动排气，自动调节水位；</w:t>
            </w:r>
          </w:p>
          <w:p w14:paraId="2BFEC54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6.具备水浴温度监控，能实时显示水浴系统温度；</w:t>
            </w:r>
          </w:p>
          <w:p w14:paraId="64CE088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7.具备封闭无接触体系，样品在密闭的非接触体系中，无需探头，没有交叉污染，不同样本之间无需清洁；</w:t>
            </w:r>
          </w:p>
          <w:p w14:paraId="1B94D1E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8.能量可调且控制精准，超声波输出功率可自由调节；专业的软件参数控制及优化的Protocol；</w:t>
            </w:r>
          </w:p>
          <w:p w14:paraId="41E0F91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9.通量：1-8个样本/每轮，支持单管和8连排管；</w:t>
            </w:r>
          </w:p>
          <w:p w14:paraId="2CF7284D">
            <w:pPr>
              <w:spacing w:line="240" w:lineRule="auto"/>
              <w:rPr>
                <w:rFonts w:hint="default" w:ascii="Times New Roman" w:hAnsi="Times New Roman" w:eastAsia="宋体" w:cs="Times New Roman"/>
                <w:bCs/>
                <w:color w:val="auto"/>
                <w:sz w:val="21"/>
                <w:szCs w:val="21"/>
                <w:lang w:val="en-US" w:eastAsia="zh-CN"/>
              </w:rPr>
            </w:pPr>
            <w:r>
              <w:rPr>
                <w:rFonts w:hint="default" w:ascii="Times New Roman" w:hAnsi="Times New Roman" w:eastAsia="宋体" w:cs="Times New Roman"/>
                <w:bCs/>
                <w:color w:val="auto"/>
                <w:sz w:val="21"/>
                <w:szCs w:val="21"/>
              </w:rPr>
              <w:t>10.超声波传感器频率：500 k Hz，噪音低；</w:t>
            </w:r>
          </w:p>
          <w:p w14:paraId="7206336A">
            <w:pPr>
              <w:spacing w:line="240" w:lineRule="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bCs/>
                <w:color w:val="auto"/>
                <w:sz w:val="21"/>
                <w:szCs w:val="21"/>
              </w:rPr>
              <w:t>11.超声波波长：3 mm，处于处理生物大分子的理想波长范围内</w:t>
            </w:r>
          </w:p>
          <w:p w14:paraId="7F7F260E">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12.超声能量可调：可设置的超声能量6档</w:t>
            </w:r>
          </w:p>
          <w:p w14:paraId="4275581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13.DNA剪切</w:t>
            </w:r>
          </w:p>
          <w:p w14:paraId="432DBEEA">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13.1剪切片段范围：100 bp-5 kb，DNA剪切的片段均匀分布在预定大小内；</w:t>
            </w:r>
          </w:p>
          <w:p w14:paraId="7A7EAFAD">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13.2优化程序：15种，无需条件摸索；</w:t>
            </w:r>
          </w:p>
          <w:p w14:paraId="2CFAE1B1">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13.3专用剪切管DNA剪切长度最高可达20 kb；</w:t>
            </w:r>
          </w:p>
          <w:p w14:paraId="502B83A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13.4样本最小体积：15 μL；</w:t>
            </w:r>
          </w:p>
          <w:p w14:paraId="674C187B">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14.染色质剪切：可配套染色质片段化（ChIP）剪切试剂盒使用；单次处理最多3</w:t>
            </w:r>
            <w:r>
              <w:rPr>
                <w:rFonts w:hint="default" w:ascii="Times New Roman" w:hAnsi="Times New Roman" w:eastAsia="宋体" w:cs="Times New Roman"/>
                <w:color w:val="auto"/>
                <w:sz w:val="21"/>
                <w:szCs w:val="21"/>
              </w:rPr>
              <w:t>×</w:t>
            </w:r>
            <w:r>
              <w:rPr>
                <w:rFonts w:hint="default" w:ascii="Times New Roman" w:hAnsi="Times New Roman" w:eastAsia="宋体" w:cs="Times New Roman"/>
                <w:bCs/>
                <w:color w:val="auto"/>
                <w:sz w:val="21"/>
                <w:szCs w:val="21"/>
              </w:rPr>
              <w:t>10</w:t>
            </w:r>
            <w:r>
              <w:rPr>
                <w:rFonts w:hint="default" w:ascii="Times New Roman" w:hAnsi="Times New Roman" w:eastAsia="宋体" w:cs="Times New Roman"/>
                <w:bCs/>
                <w:color w:val="auto"/>
                <w:sz w:val="21"/>
                <w:szCs w:val="21"/>
                <w:vertAlign w:val="superscript"/>
              </w:rPr>
              <w:t>7</w:t>
            </w:r>
            <w:r>
              <w:rPr>
                <w:rFonts w:hint="default" w:ascii="Times New Roman" w:hAnsi="Times New Roman" w:eastAsia="宋体" w:cs="Times New Roman"/>
                <w:bCs/>
                <w:color w:val="auto"/>
                <w:sz w:val="21"/>
                <w:szCs w:val="21"/>
              </w:rPr>
              <w:t>个细胞；</w:t>
            </w:r>
          </w:p>
          <w:p w14:paraId="2A3CFA27">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r>
              <w:rPr>
                <w:rFonts w:hint="default" w:ascii="Times New Roman" w:hAnsi="Times New Roman" w:eastAsia="宋体" w:cs="Times New Roman"/>
                <w:color w:val="auto"/>
                <w:sz w:val="21"/>
                <w:szCs w:val="21"/>
                <w:lang w:val="en-US" w:eastAsia="zh-CN"/>
              </w:rPr>
              <w:t>艾本德</w:t>
            </w:r>
            <w:r>
              <w:rPr>
                <w:rFonts w:hint="default" w:ascii="Times New Roman" w:hAnsi="Times New Roman" w:eastAsia="宋体" w:cs="Times New Roman"/>
                <w:bCs/>
                <w:color w:val="auto"/>
                <w:sz w:val="21"/>
                <w:szCs w:val="21"/>
              </w:rPr>
              <w:t>移液器1套，单通道体积范围分别为0.1-2.5 µL、0.5-10 µL、10-100 µL、20-200 µL、100-1000 µL、0.5-5 mL，8通道体积范围为30-300 µL；</w:t>
            </w:r>
          </w:p>
          <w:p w14:paraId="0D872E03">
            <w:pPr>
              <w:spacing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16.低速台式离心机：最高转速5000 r/min，最大相对离心力4390×g，最大容量4×250 ml，转速精度±30 r/min，定时范围1 min-99 min，可适配1.5 mL、5 mL、10 mL、15 mL离心管。转子配置：32×10/15 mL转子及适配器一套，32×1.5/2 mL转子及适配器一套；</w:t>
            </w:r>
          </w:p>
          <w:p w14:paraId="15FE76D1">
            <w:pPr>
              <w:spacing w:line="24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品牌：湘仪    型号：TDZ5WS</w:t>
            </w:r>
          </w:p>
          <w:p w14:paraId="376B4722">
            <w:pPr>
              <w:spacing w:line="36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17.脱色摇床：转速范围50~300 rpm，定时范围1 min~99 h59 min，具备时间和转速数码显示；回转半径10 mm，最大载重</w:t>
            </w:r>
            <w:r>
              <w:rPr>
                <w:rFonts w:hint="default" w:ascii="Times New Roman" w:hAnsi="Times New Roman" w:eastAsia="宋体" w:cs="Times New Roman"/>
                <w:color w:val="auto"/>
                <w:sz w:val="21"/>
                <w:szCs w:val="21"/>
                <w:lang w:val="en-US" w:eastAsia="zh-CN"/>
              </w:rPr>
              <w:t>3.0</w:t>
            </w:r>
            <w:r>
              <w:rPr>
                <w:rFonts w:hint="default" w:ascii="Times New Roman" w:hAnsi="Times New Roman" w:eastAsia="宋体" w:cs="Times New Roman"/>
                <w:color w:val="auto"/>
                <w:sz w:val="21"/>
                <w:szCs w:val="21"/>
              </w:rPr>
              <w:t>Kg，采用直流无刷电机；托盘尺寸330 mm×430 mm，不锈钢托盘及橡胶托盘一套，万能托盘一个；有蜂鸣提示；</w:t>
            </w:r>
          </w:p>
          <w:p w14:paraId="5624F1F8">
            <w:pPr>
              <w:spacing w:line="360" w:lineRule="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品牌：杭州米欧 型号：TS-300S</w:t>
            </w:r>
          </w:p>
          <w:p w14:paraId="58F8E8E1">
            <w:pPr>
              <w:spacing w:line="36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18.数据处理工作站：数据处理工作站：配置i 7处理器，内存为16 G，硬盘内存8 T，显示器</w:t>
            </w:r>
            <w:r>
              <w:rPr>
                <w:rFonts w:hint="default" w:ascii="Times New Roman" w:hAnsi="Times New Roman" w:eastAsia="宋体" w:cs="Times New Roman"/>
                <w:color w:val="auto"/>
                <w:sz w:val="21"/>
                <w:szCs w:val="21"/>
                <w:lang w:val="en-US" w:eastAsia="zh-CN"/>
              </w:rPr>
              <w:t>27</w:t>
            </w:r>
            <w:r>
              <w:rPr>
                <w:rFonts w:hint="default" w:ascii="Times New Roman" w:hAnsi="Times New Roman" w:eastAsia="宋体" w:cs="Times New Roman"/>
                <w:color w:val="auto"/>
                <w:sz w:val="21"/>
                <w:szCs w:val="21"/>
              </w:rPr>
              <w:t>英寸。</w:t>
            </w:r>
          </w:p>
          <w:p w14:paraId="221C07A5">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color w:val="auto"/>
                <w:sz w:val="21"/>
                <w:szCs w:val="21"/>
              </w:rPr>
              <w:t>四、附件、特殊工具、备用配件及要求：</w:t>
            </w:r>
          </w:p>
          <w:p w14:paraId="43962646">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1.提供随机保证仪器正常使用和维护所需的标准配件、附件及维修工具等；</w:t>
            </w:r>
          </w:p>
          <w:p w14:paraId="45766C60">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2.提供保证机器正常运行2年所需的备用配件；</w:t>
            </w:r>
          </w:p>
          <w:p w14:paraId="745242EF">
            <w:pPr>
              <w:spacing w:line="240" w:lineRule="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w:t>
            </w:r>
            <w:r>
              <w:rPr>
                <w:rFonts w:hint="default" w:ascii="Times New Roman" w:hAnsi="Times New Roman" w:eastAsia="宋体" w:cs="Times New Roman"/>
                <w:bCs/>
                <w:color w:val="auto"/>
                <w:sz w:val="21"/>
                <w:szCs w:val="21"/>
              </w:rPr>
              <w:t>提供放置仪器的试验台，并按照仪器所需环境对实验室进行改造。</w:t>
            </w:r>
          </w:p>
          <w:p w14:paraId="6DEB16CE">
            <w:pPr>
              <w:tabs>
                <w:tab w:val="left" w:pos="312"/>
              </w:tabs>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 xml:space="preserve">五、技术服务: </w:t>
            </w:r>
            <w:r>
              <w:rPr>
                <w:rFonts w:hint="default" w:ascii="Times New Roman" w:hAnsi="Times New Roman" w:eastAsia="宋体" w:cs="Times New Roman"/>
                <w:color w:val="auto"/>
                <w:sz w:val="21"/>
                <w:szCs w:val="21"/>
              </w:rPr>
              <w:t>每年免费巡检回访不少于2次。</w:t>
            </w:r>
          </w:p>
          <w:p w14:paraId="093A76CB">
            <w:pPr>
              <w:pStyle w:val="7"/>
              <w:tabs>
                <w:tab w:val="left" w:pos="312"/>
              </w:tabs>
              <w:spacing w:line="240" w:lineRule="auto"/>
              <w:ind w:firstLine="0" w:firstLineChars="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六、质量保证期：</w:t>
            </w:r>
            <w:r>
              <w:rPr>
                <w:rFonts w:hint="default" w:ascii="Times New Roman" w:hAnsi="Times New Roman" w:eastAsia="宋体" w:cs="Times New Roman"/>
                <w:color w:val="auto"/>
                <w:sz w:val="21"/>
                <w:szCs w:val="21"/>
              </w:rPr>
              <w:t>整机免费质保叁</w:t>
            </w:r>
            <w:r>
              <w:rPr>
                <w:rFonts w:hint="default" w:ascii="Times New Roman" w:hAnsi="Times New Roman" w:eastAsia="宋体" w:cs="Times New Roman"/>
                <w:color w:val="auto"/>
                <w:kern w:val="0"/>
                <w:sz w:val="21"/>
                <w:szCs w:val="21"/>
              </w:rPr>
              <w:t>年</w:t>
            </w: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我公司</w:t>
            </w:r>
            <w:r>
              <w:rPr>
                <w:rFonts w:hint="default" w:ascii="Times New Roman" w:hAnsi="Times New Roman" w:eastAsia="宋体" w:cs="Times New Roman"/>
                <w:color w:val="auto"/>
                <w:sz w:val="21"/>
                <w:szCs w:val="21"/>
              </w:rPr>
              <w:t>提供原厂售后服务承诺。本地化技术支持可两个小时内上门服务。</w:t>
            </w:r>
          </w:p>
          <w:p w14:paraId="4378E462">
            <w:pPr>
              <w:pStyle w:val="7"/>
              <w:tabs>
                <w:tab w:val="left" w:pos="312"/>
              </w:tabs>
              <w:spacing w:line="240" w:lineRule="auto"/>
              <w:ind w:left="435" w:leftChars="0" w:hanging="435" w:firstLineChars="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七、售后服务要求：</w:t>
            </w:r>
          </w:p>
          <w:p w14:paraId="658BB885">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我</w:t>
            </w:r>
            <w:r>
              <w:rPr>
                <w:rFonts w:hint="default" w:ascii="Times New Roman" w:hAnsi="Times New Roman" w:eastAsia="宋体" w:cs="Times New Roman"/>
                <w:color w:val="auto"/>
                <w:sz w:val="21"/>
                <w:szCs w:val="21"/>
              </w:rPr>
              <w:t>方到买方提供的现场免费安装、调试设备，进行操作试验，直至运行正常并验收，为2名以上仪器操作人员提供免费的上机操作及日常维护培训直至操作人员完全掌握仪器的使用方法；</w:t>
            </w:r>
          </w:p>
          <w:p w14:paraId="0BF0FCCD">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2.质量及验收标准：技术指标符合买方要求和厂家规定的出厂要求；</w:t>
            </w:r>
          </w:p>
          <w:p w14:paraId="0F603CFC">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3.仪器故障响应时间不超过2个小时，48小时内到达现场排除故障；</w:t>
            </w:r>
          </w:p>
          <w:p w14:paraId="1EE2982E">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4.及时免费提供技术咨询和仪器终身免费软件升级服务；</w:t>
            </w:r>
          </w:p>
          <w:p w14:paraId="69DB3CD4">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5.免费上门提供仪器应用技术培训服务，每年不低于两次；</w:t>
            </w:r>
          </w:p>
          <w:p w14:paraId="5F89B67F">
            <w:pPr>
              <w:pStyle w:val="7"/>
              <w:spacing w:line="240" w:lineRule="auto"/>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6.质保期满，零配件及配套试剂以出厂价收取费用，且厂家免费上门安装调试。</w:t>
            </w:r>
          </w:p>
          <w:p w14:paraId="40ABDBB3">
            <w:pPr>
              <w:spacing w:line="240" w:lineRule="auto"/>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b/>
                <w:bCs/>
                <w:color w:val="auto"/>
                <w:sz w:val="21"/>
                <w:szCs w:val="21"/>
              </w:rPr>
              <w:t>八、其他</w:t>
            </w:r>
          </w:p>
          <w:p w14:paraId="03F9C4D9">
            <w:pPr>
              <w:adjustRightInd w:val="0"/>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1.交货：合同签订后30天内；安装调试：1个月内；</w:t>
            </w:r>
          </w:p>
          <w:p w14:paraId="664E11AD">
            <w:pPr>
              <w:adjustRightInd w:val="0"/>
              <w:snapToGrid w:val="0"/>
              <w:spacing w:line="260" w:lineRule="exac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2.提供产品和服务与中华人民共和国相关法律法规无抵触，满足现行安全、环保、伦理等要求。</w:t>
            </w:r>
          </w:p>
        </w:tc>
        <w:tc>
          <w:tcPr>
            <w:tcW w:w="425" w:type="dxa"/>
            <w:tcBorders>
              <w:top w:val="single" w:color="auto" w:sz="4" w:space="0"/>
              <w:left w:val="nil"/>
              <w:bottom w:val="single" w:color="auto" w:sz="4" w:space="0"/>
              <w:right w:val="single" w:color="auto" w:sz="4" w:space="0"/>
            </w:tcBorders>
            <w:vAlign w:val="center"/>
          </w:tcPr>
          <w:p w14:paraId="2FDCA46A">
            <w:pPr>
              <w:adjustRightInd w:val="0"/>
              <w:snapToGrid w:val="0"/>
              <w:spacing w:line="260" w:lineRule="exact"/>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w:t>
            </w:r>
          </w:p>
        </w:tc>
        <w:tc>
          <w:tcPr>
            <w:tcW w:w="838" w:type="dxa"/>
            <w:tcBorders>
              <w:top w:val="single" w:color="auto" w:sz="4" w:space="0"/>
              <w:left w:val="nil"/>
              <w:bottom w:val="single" w:color="auto" w:sz="4" w:space="0"/>
              <w:right w:val="single" w:color="auto" w:sz="4" w:space="0"/>
            </w:tcBorders>
            <w:vAlign w:val="center"/>
          </w:tcPr>
          <w:p w14:paraId="3E9C554B">
            <w:pPr>
              <w:ind w:right="-107" w:rightChars="-51"/>
              <w:jc w:val="center"/>
              <w:rPr>
                <w:rFonts w:hint="default" w:ascii="Times New Roman" w:hAnsi="Times New Roman" w:eastAsia="宋体" w:cs="Times New Roman"/>
                <w:bCs/>
                <w:color w:val="auto"/>
                <w:kern w:val="0"/>
                <w:szCs w:val="21"/>
                <w:highlight w:val="none"/>
              </w:rPr>
            </w:pPr>
            <w:r>
              <w:rPr>
                <w:rFonts w:hint="default" w:ascii="Times New Roman" w:hAnsi="Times New Roman" w:eastAsia="宋体" w:cs="Times New Roman"/>
                <w:bCs/>
                <w:color w:val="auto"/>
                <w:sz w:val="21"/>
                <w:szCs w:val="21"/>
                <w:lang w:val="en-US" w:eastAsia="zh-CN"/>
              </w:rPr>
              <w:t>上海贝晶生物技术有限公司</w:t>
            </w:r>
          </w:p>
        </w:tc>
        <w:tc>
          <w:tcPr>
            <w:tcW w:w="587" w:type="dxa"/>
            <w:tcBorders>
              <w:top w:val="single" w:color="auto" w:sz="4" w:space="0"/>
              <w:left w:val="nil"/>
              <w:bottom w:val="single" w:color="auto" w:sz="4" w:space="0"/>
              <w:right w:val="single" w:color="auto" w:sz="4" w:space="0"/>
            </w:tcBorders>
            <w:vAlign w:val="center"/>
          </w:tcPr>
          <w:p w14:paraId="0E80EF79">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lang w:val="en-US" w:eastAsia="zh-CN"/>
              </w:rPr>
              <w:t>中国</w:t>
            </w:r>
          </w:p>
        </w:tc>
        <w:tc>
          <w:tcPr>
            <w:tcW w:w="838" w:type="dxa"/>
            <w:tcBorders>
              <w:top w:val="single" w:color="auto" w:sz="4" w:space="0"/>
              <w:left w:val="nil"/>
              <w:bottom w:val="single" w:color="auto" w:sz="4" w:space="0"/>
              <w:right w:val="single" w:color="auto" w:sz="4" w:space="0"/>
            </w:tcBorders>
          </w:tcPr>
          <w:p w14:paraId="036FA48A">
            <w:pPr>
              <w:jc w:val="center"/>
              <w:rPr>
                <w:rFonts w:hint="default" w:ascii="Times New Roman" w:hAnsi="Times New Roman" w:eastAsia="宋体" w:cs="Times New Roman"/>
                <w:color w:val="auto"/>
                <w:szCs w:val="21"/>
                <w:highlight w:val="none"/>
              </w:rPr>
            </w:pPr>
          </w:p>
        </w:tc>
      </w:tr>
    </w:tbl>
    <w:p w14:paraId="6F116297">
      <w:pP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w:t>
      </w:r>
    </w:p>
    <w:p w14:paraId="0900337E">
      <w:pP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 xml:space="preserve"> </w:t>
      </w:r>
    </w:p>
    <w:p w14:paraId="67C42D55">
      <w:pPr>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甲方货物负责人签字：</w:t>
      </w:r>
    </w:p>
    <w:p w14:paraId="6C0BF76F">
      <w:pPr>
        <w:widowControl/>
        <w:jc w:val="left"/>
        <w:rPr>
          <w:rFonts w:hint="default" w:ascii="Times New Roman" w:hAnsi="Times New Roman" w:eastAsia="宋体" w:cs="Times New Roman"/>
          <w:b/>
          <w:color w:val="auto"/>
          <w:sz w:val="24"/>
          <w:szCs w:val="24"/>
          <w:highlight w:val="none"/>
        </w:rPr>
        <w:sectPr>
          <w:pgSz w:w="16838" w:h="11906" w:orient="landscape"/>
          <w:pgMar w:top="1440" w:right="1800" w:bottom="1440" w:left="1800" w:header="851" w:footer="992" w:gutter="0"/>
          <w:cols w:space="720" w:num="1"/>
          <w:docGrid w:type="lines" w:linePitch="312" w:charSpace="0"/>
        </w:sectPr>
      </w:pPr>
    </w:p>
    <w:p w14:paraId="22204A32">
      <w:pPr>
        <w:spacing w:line="360" w:lineRule="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附件5：            </w:t>
      </w:r>
    </w:p>
    <w:p w14:paraId="4BCB3728">
      <w:pPr>
        <w:spacing w:line="360" w:lineRule="auto"/>
        <w:jc w:val="center"/>
        <w:rPr>
          <w:rFonts w:hint="default" w:ascii="Times New Roman" w:hAnsi="Times New Roman" w:eastAsia="宋体" w:cs="Times New Roman"/>
          <w:b/>
          <w:color w:val="auto"/>
          <w:sz w:val="32"/>
          <w:szCs w:val="32"/>
          <w:highlight w:val="none"/>
        </w:rPr>
      </w:pPr>
      <w:r>
        <w:rPr>
          <w:rFonts w:hint="default" w:ascii="Times New Roman" w:hAnsi="Times New Roman" w:eastAsia="宋体" w:cs="Times New Roman"/>
          <w:b/>
          <w:color w:val="auto"/>
          <w:sz w:val="32"/>
          <w:szCs w:val="32"/>
          <w:highlight w:val="none"/>
        </w:rPr>
        <w:t>供货商：</w:t>
      </w:r>
      <w:r>
        <w:rPr>
          <w:rFonts w:hint="default" w:ascii="Times New Roman" w:hAnsi="Times New Roman" w:eastAsia="宋体" w:cs="Times New Roman"/>
          <w:b/>
          <w:color w:val="auto"/>
          <w:sz w:val="32"/>
          <w:szCs w:val="32"/>
          <w:highlight w:val="none"/>
          <w:lang w:val="en-US" w:eastAsia="zh-CN"/>
        </w:rPr>
        <w:t>河南研田仪器设备有限</w:t>
      </w:r>
      <w:r>
        <w:rPr>
          <w:rFonts w:hint="default" w:ascii="Times New Roman" w:hAnsi="Times New Roman" w:eastAsia="宋体" w:cs="Times New Roman"/>
          <w:b/>
          <w:color w:val="auto"/>
          <w:sz w:val="32"/>
          <w:szCs w:val="32"/>
          <w:highlight w:val="none"/>
        </w:rPr>
        <w:t>公司质量保障及服务表</w:t>
      </w:r>
    </w:p>
    <w:p w14:paraId="4E0FCEF3">
      <w:pPr>
        <w:spacing w:line="360" w:lineRule="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致：河南中医药大学： </w:t>
      </w:r>
    </w:p>
    <w:p w14:paraId="4F831CD0">
      <w:pPr>
        <w:spacing w:line="360" w:lineRule="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根据贵方招标编号为豫财招标采购-2025-1451</w:t>
      </w:r>
      <w:r>
        <w:rPr>
          <w:rFonts w:hint="default" w:ascii="Times New Roman" w:hAnsi="Times New Roman" w:eastAsia="宋体" w:cs="Times New Roman"/>
          <w:b/>
          <w:color w:val="auto"/>
          <w:sz w:val="24"/>
          <w:szCs w:val="24"/>
          <w:highlight w:val="none"/>
          <w:lang w:val="en-US" w:eastAsia="zh-CN"/>
        </w:rPr>
        <w:t>-C包</w:t>
      </w:r>
      <w:r>
        <w:rPr>
          <w:rFonts w:hint="default" w:ascii="Times New Roman" w:hAnsi="Times New Roman" w:eastAsia="宋体" w:cs="Times New Roman"/>
          <w:b/>
          <w:color w:val="auto"/>
          <w:sz w:val="24"/>
          <w:szCs w:val="24"/>
          <w:highlight w:val="none"/>
        </w:rPr>
        <w:t>的货物（具体货物见附件3），我公司对该项目售后产品做出如下质保及售后服务承诺：</w:t>
      </w:r>
    </w:p>
    <w:tbl>
      <w:tblPr>
        <w:tblStyle w:val="4"/>
        <w:tblW w:w="93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3758"/>
        <w:gridCol w:w="4016"/>
        <w:gridCol w:w="878"/>
      </w:tblGrid>
      <w:tr w14:paraId="3BF4F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73F53DE9">
            <w:pPr>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序号</w:t>
            </w:r>
          </w:p>
        </w:tc>
        <w:tc>
          <w:tcPr>
            <w:tcW w:w="3758" w:type="dxa"/>
            <w:tcBorders>
              <w:top w:val="single" w:color="auto" w:sz="4" w:space="0"/>
              <w:left w:val="single" w:color="auto" w:sz="4" w:space="0"/>
              <w:bottom w:val="single" w:color="auto" w:sz="4" w:space="0"/>
              <w:right w:val="single" w:color="auto" w:sz="4" w:space="0"/>
            </w:tcBorders>
            <w:vAlign w:val="center"/>
          </w:tcPr>
          <w:p w14:paraId="2255187F">
            <w:pPr>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质量保障措施及服务内容</w:t>
            </w:r>
          </w:p>
        </w:tc>
        <w:tc>
          <w:tcPr>
            <w:tcW w:w="4016" w:type="dxa"/>
            <w:tcBorders>
              <w:top w:val="single" w:color="auto" w:sz="4" w:space="0"/>
              <w:left w:val="single" w:color="auto" w:sz="4" w:space="0"/>
              <w:bottom w:val="single" w:color="auto" w:sz="4" w:space="0"/>
              <w:right w:val="single" w:color="auto" w:sz="4" w:space="0"/>
            </w:tcBorders>
            <w:vAlign w:val="center"/>
          </w:tcPr>
          <w:p w14:paraId="35997590">
            <w:pPr>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承诺</w:t>
            </w:r>
          </w:p>
        </w:tc>
        <w:tc>
          <w:tcPr>
            <w:tcW w:w="878" w:type="dxa"/>
            <w:tcBorders>
              <w:top w:val="single" w:color="auto" w:sz="4" w:space="0"/>
              <w:left w:val="single" w:color="auto" w:sz="4" w:space="0"/>
              <w:bottom w:val="single" w:color="auto" w:sz="4" w:space="0"/>
              <w:right w:val="single" w:color="auto" w:sz="4" w:space="0"/>
            </w:tcBorders>
            <w:vAlign w:val="center"/>
          </w:tcPr>
          <w:p w14:paraId="5B3FDC58">
            <w:pPr>
              <w:jc w:val="center"/>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备注</w:t>
            </w:r>
          </w:p>
        </w:tc>
      </w:tr>
      <w:tr w14:paraId="2D4BA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720" w:type="dxa"/>
            <w:tcBorders>
              <w:top w:val="single" w:color="auto" w:sz="4" w:space="0"/>
              <w:left w:val="single" w:color="auto" w:sz="4" w:space="0"/>
              <w:bottom w:val="single" w:color="auto" w:sz="4" w:space="0"/>
              <w:right w:val="single" w:color="auto" w:sz="4" w:space="0"/>
            </w:tcBorders>
            <w:vAlign w:val="center"/>
          </w:tcPr>
          <w:p w14:paraId="40A64AF0">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3758" w:type="dxa"/>
            <w:tcBorders>
              <w:top w:val="single" w:color="auto" w:sz="4" w:space="0"/>
              <w:left w:val="single" w:color="auto" w:sz="4" w:space="0"/>
              <w:bottom w:val="single" w:color="auto" w:sz="4" w:space="0"/>
              <w:right w:val="single" w:color="auto" w:sz="4" w:space="0"/>
            </w:tcBorders>
            <w:vAlign w:val="center"/>
          </w:tcPr>
          <w:p w14:paraId="4695BC78">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整机保修</w:t>
            </w:r>
          </w:p>
        </w:tc>
        <w:tc>
          <w:tcPr>
            <w:tcW w:w="4016" w:type="dxa"/>
            <w:tcBorders>
              <w:top w:val="single" w:color="auto" w:sz="4" w:space="0"/>
              <w:left w:val="single" w:color="auto" w:sz="4" w:space="0"/>
              <w:bottom w:val="single" w:color="auto" w:sz="4" w:space="0"/>
              <w:right w:val="single" w:color="auto" w:sz="4" w:space="0"/>
            </w:tcBorders>
            <w:vAlign w:val="center"/>
          </w:tcPr>
          <w:p w14:paraId="796C14EB">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三年</w:t>
            </w:r>
          </w:p>
        </w:tc>
        <w:tc>
          <w:tcPr>
            <w:tcW w:w="878" w:type="dxa"/>
            <w:tcBorders>
              <w:top w:val="single" w:color="auto" w:sz="4" w:space="0"/>
              <w:left w:val="single" w:color="auto" w:sz="4" w:space="0"/>
              <w:bottom w:val="single" w:color="auto" w:sz="4" w:space="0"/>
              <w:right w:val="single" w:color="auto" w:sz="4" w:space="0"/>
            </w:tcBorders>
            <w:vAlign w:val="center"/>
          </w:tcPr>
          <w:p w14:paraId="426B6698">
            <w:pPr>
              <w:rPr>
                <w:rFonts w:hint="default" w:ascii="Times New Roman" w:hAnsi="Times New Roman" w:eastAsia="宋体" w:cs="Times New Roman"/>
                <w:color w:val="auto"/>
                <w:szCs w:val="21"/>
                <w:highlight w:val="none"/>
              </w:rPr>
            </w:pPr>
          </w:p>
        </w:tc>
      </w:tr>
      <w:tr w14:paraId="7DCCA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720" w:type="dxa"/>
            <w:tcBorders>
              <w:top w:val="single" w:color="auto" w:sz="4" w:space="0"/>
              <w:left w:val="single" w:color="auto" w:sz="4" w:space="0"/>
              <w:bottom w:val="single" w:color="auto" w:sz="4" w:space="0"/>
              <w:right w:val="single" w:color="auto" w:sz="4" w:space="0"/>
            </w:tcBorders>
            <w:vAlign w:val="center"/>
          </w:tcPr>
          <w:p w14:paraId="4B2028C7">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3758" w:type="dxa"/>
            <w:tcBorders>
              <w:top w:val="single" w:color="auto" w:sz="4" w:space="0"/>
              <w:left w:val="single" w:color="auto" w:sz="4" w:space="0"/>
              <w:bottom w:val="single" w:color="auto" w:sz="4" w:space="0"/>
              <w:right w:val="single" w:color="auto" w:sz="4" w:space="0"/>
            </w:tcBorders>
            <w:vAlign w:val="center"/>
          </w:tcPr>
          <w:p w14:paraId="2BC92E97">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随机标准配件</w:t>
            </w:r>
          </w:p>
        </w:tc>
        <w:tc>
          <w:tcPr>
            <w:tcW w:w="4016" w:type="dxa"/>
            <w:tcBorders>
              <w:top w:val="single" w:color="auto" w:sz="4" w:space="0"/>
              <w:left w:val="single" w:color="auto" w:sz="4" w:space="0"/>
              <w:bottom w:val="single" w:color="auto" w:sz="4" w:space="0"/>
              <w:right w:val="single" w:color="auto" w:sz="4" w:space="0"/>
            </w:tcBorders>
            <w:vAlign w:val="center"/>
          </w:tcPr>
          <w:p w14:paraId="600D1798">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三年</w:t>
            </w:r>
          </w:p>
        </w:tc>
        <w:tc>
          <w:tcPr>
            <w:tcW w:w="878" w:type="dxa"/>
            <w:tcBorders>
              <w:top w:val="single" w:color="auto" w:sz="4" w:space="0"/>
              <w:left w:val="single" w:color="auto" w:sz="4" w:space="0"/>
              <w:bottom w:val="single" w:color="auto" w:sz="4" w:space="0"/>
              <w:right w:val="single" w:color="auto" w:sz="4" w:space="0"/>
            </w:tcBorders>
            <w:vAlign w:val="center"/>
          </w:tcPr>
          <w:p w14:paraId="714EF9A8">
            <w:pPr>
              <w:rPr>
                <w:rFonts w:hint="default" w:ascii="Times New Roman" w:hAnsi="Times New Roman" w:eastAsia="宋体" w:cs="Times New Roman"/>
                <w:color w:val="auto"/>
                <w:szCs w:val="21"/>
                <w:highlight w:val="none"/>
              </w:rPr>
            </w:pPr>
          </w:p>
        </w:tc>
      </w:tr>
      <w:tr w14:paraId="7F16C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720" w:type="dxa"/>
            <w:tcBorders>
              <w:top w:val="single" w:color="auto" w:sz="4" w:space="0"/>
              <w:left w:val="single" w:color="auto" w:sz="4" w:space="0"/>
              <w:bottom w:val="single" w:color="auto" w:sz="4" w:space="0"/>
              <w:right w:val="single" w:color="auto" w:sz="4" w:space="0"/>
            </w:tcBorders>
            <w:vAlign w:val="center"/>
          </w:tcPr>
          <w:p w14:paraId="2E534B4D">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3758" w:type="dxa"/>
            <w:tcBorders>
              <w:top w:val="single" w:color="auto" w:sz="4" w:space="0"/>
              <w:left w:val="single" w:color="auto" w:sz="4" w:space="0"/>
              <w:bottom w:val="single" w:color="auto" w:sz="4" w:space="0"/>
              <w:right w:val="single" w:color="auto" w:sz="4" w:space="0"/>
            </w:tcBorders>
            <w:vAlign w:val="center"/>
          </w:tcPr>
          <w:p w14:paraId="4C7C9938">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加购选配件</w:t>
            </w:r>
          </w:p>
        </w:tc>
        <w:tc>
          <w:tcPr>
            <w:tcW w:w="4016" w:type="dxa"/>
            <w:tcBorders>
              <w:top w:val="single" w:color="auto" w:sz="4" w:space="0"/>
              <w:left w:val="single" w:color="auto" w:sz="4" w:space="0"/>
              <w:bottom w:val="single" w:color="auto" w:sz="4" w:space="0"/>
              <w:right w:val="single" w:color="auto" w:sz="4" w:space="0"/>
            </w:tcBorders>
            <w:vAlign w:val="center"/>
          </w:tcPr>
          <w:p w14:paraId="630EE7C9">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三年</w:t>
            </w:r>
          </w:p>
        </w:tc>
        <w:tc>
          <w:tcPr>
            <w:tcW w:w="878" w:type="dxa"/>
            <w:tcBorders>
              <w:top w:val="single" w:color="auto" w:sz="4" w:space="0"/>
              <w:left w:val="single" w:color="auto" w:sz="4" w:space="0"/>
              <w:bottom w:val="single" w:color="auto" w:sz="4" w:space="0"/>
              <w:right w:val="single" w:color="auto" w:sz="4" w:space="0"/>
            </w:tcBorders>
            <w:vAlign w:val="center"/>
          </w:tcPr>
          <w:p w14:paraId="4DDF002E">
            <w:pPr>
              <w:rPr>
                <w:rFonts w:hint="default" w:ascii="Times New Roman" w:hAnsi="Times New Roman" w:eastAsia="宋体" w:cs="Times New Roman"/>
                <w:color w:val="auto"/>
                <w:szCs w:val="21"/>
                <w:highlight w:val="none"/>
              </w:rPr>
            </w:pPr>
          </w:p>
        </w:tc>
      </w:tr>
      <w:tr w14:paraId="50FBD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292B3B48">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3758" w:type="dxa"/>
            <w:tcBorders>
              <w:top w:val="single" w:color="auto" w:sz="4" w:space="0"/>
              <w:left w:val="single" w:color="auto" w:sz="4" w:space="0"/>
              <w:bottom w:val="single" w:color="auto" w:sz="4" w:space="0"/>
              <w:right w:val="single" w:color="auto" w:sz="4" w:space="0"/>
            </w:tcBorders>
            <w:vAlign w:val="center"/>
          </w:tcPr>
          <w:p w14:paraId="7A8DFB9D">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随机资料、光盘介质、软盘介质、连接线、指示灯、电源线、随机工具等。</w:t>
            </w:r>
          </w:p>
        </w:tc>
        <w:tc>
          <w:tcPr>
            <w:tcW w:w="4016" w:type="dxa"/>
            <w:tcBorders>
              <w:top w:val="single" w:color="auto" w:sz="4" w:space="0"/>
              <w:left w:val="single" w:color="auto" w:sz="4" w:space="0"/>
              <w:bottom w:val="single" w:color="auto" w:sz="4" w:space="0"/>
              <w:right w:val="single" w:color="auto" w:sz="4" w:space="0"/>
            </w:tcBorders>
            <w:vAlign w:val="center"/>
          </w:tcPr>
          <w:p w14:paraId="33FABAA9">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随机配置见随机装箱清单</w:t>
            </w:r>
          </w:p>
        </w:tc>
        <w:tc>
          <w:tcPr>
            <w:tcW w:w="878" w:type="dxa"/>
            <w:tcBorders>
              <w:top w:val="single" w:color="auto" w:sz="4" w:space="0"/>
              <w:left w:val="single" w:color="auto" w:sz="4" w:space="0"/>
              <w:bottom w:val="single" w:color="auto" w:sz="4" w:space="0"/>
              <w:right w:val="single" w:color="auto" w:sz="4" w:space="0"/>
            </w:tcBorders>
            <w:vAlign w:val="center"/>
          </w:tcPr>
          <w:p w14:paraId="34D7AC5A">
            <w:pPr>
              <w:rPr>
                <w:rFonts w:hint="default" w:ascii="Times New Roman" w:hAnsi="Times New Roman" w:eastAsia="宋体" w:cs="Times New Roman"/>
                <w:color w:val="auto"/>
                <w:szCs w:val="21"/>
                <w:highlight w:val="none"/>
              </w:rPr>
            </w:pPr>
          </w:p>
        </w:tc>
      </w:tr>
      <w:tr w14:paraId="22044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720" w:type="dxa"/>
            <w:tcBorders>
              <w:top w:val="single" w:color="auto" w:sz="4" w:space="0"/>
              <w:left w:val="single" w:color="auto" w:sz="4" w:space="0"/>
              <w:bottom w:val="single" w:color="auto" w:sz="4" w:space="0"/>
              <w:right w:val="single" w:color="auto" w:sz="4" w:space="0"/>
            </w:tcBorders>
            <w:vAlign w:val="center"/>
          </w:tcPr>
          <w:p w14:paraId="67DCC289">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3758" w:type="dxa"/>
            <w:tcBorders>
              <w:top w:val="single" w:color="auto" w:sz="4" w:space="0"/>
              <w:left w:val="single" w:color="auto" w:sz="4" w:space="0"/>
              <w:bottom w:val="single" w:color="auto" w:sz="4" w:space="0"/>
              <w:right w:val="single" w:color="auto" w:sz="4" w:space="0"/>
            </w:tcBorders>
            <w:vAlign w:val="center"/>
          </w:tcPr>
          <w:p w14:paraId="1B1FE4AD">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运输方式</w:t>
            </w:r>
          </w:p>
        </w:tc>
        <w:tc>
          <w:tcPr>
            <w:tcW w:w="4016" w:type="dxa"/>
            <w:tcBorders>
              <w:top w:val="single" w:color="auto" w:sz="4" w:space="0"/>
              <w:left w:val="single" w:color="auto" w:sz="4" w:space="0"/>
              <w:bottom w:val="single" w:color="auto" w:sz="4" w:space="0"/>
              <w:right w:val="single" w:color="auto" w:sz="4" w:space="0"/>
            </w:tcBorders>
            <w:vAlign w:val="center"/>
          </w:tcPr>
          <w:p w14:paraId="319491B2">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免费送货上门</w:t>
            </w:r>
          </w:p>
        </w:tc>
        <w:tc>
          <w:tcPr>
            <w:tcW w:w="878" w:type="dxa"/>
            <w:tcBorders>
              <w:top w:val="single" w:color="auto" w:sz="4" w:space="0"/>
              <w:left w:val="single" w:color="auto" w:sz="4" w:space="0"/>
              <w:bottom w:val="single" w:color="auto" w:sz="4" w:space="0"/>
              <w:right w:val="single" w:color="auto" w:sz="4" w:space="0"/>
            </w:tcBorders>
            <w:vAlign w:val="center"/>
          </w:tcPr>
          <w:p w14:paraId="2BA63321">
            <w:pPr>
              <w:rPr>
                <w:rFonts w:hint="default" w:ascii="Times New Roman" w:hAnsi="Times New Roman" w:eastAsia="宋体" w:cs="Times New Roman"/>
                <w:color w:val="auto"/>
                <w:szCs w:val="21"/>
                <w:highlight w:val="none"/>
              </w:rPr>
            </w:pPr>
          </w:p>
        </w:tc>
      </w:tr>
      <w:tr w14:paraId="1F89D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20" w:type="dxa"/>
            <w:tcBorders>
              <w:top w:val="single" w:color="auto" w:sz="4" w:space="0"/>
              <w:left w:val="single" w:color="auto" w:sz="4" w:space="0"/>
              <w:bottom w:val="single" w:color="auto" w:sz="4" w:space="0"/>
              <w:right w:val="single" w:color="auto" w:sz="4" w:space="0"/>
            </w:tcBorders>
            <w:vAlign w:val="center"/>
          </w:tcPr>
          <w:p w14:paraId="1A3828B5">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6</w:t>
            </w:r>
          </w:p>
        </w:tc>
        <w:tc>
          <w:tcPr>
            <w:tcW w:w="3758" w:type="dxa"/>
            <w:tcBorders>
              <w:top w:val="single" w:color="auto" w:sz="4" w:space="0"/>
              <w:left w:val="single" w:color="auto" w:sz="4" w:space="0"/>
              <w:bottom w:val="single" w:color="auto" w:sz="4" w:space="0"/>
              <w:right w:val="single" w:color="auto" w:sz="4" w:space="0"/>
            </w:tcBorders>
            <w:vAlign w:val="center"/>
          </w:tcPr>
          <w:p w14:paraId="777E741A">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交货时间</w:t>
            </w:r>
          </w:p>
        </w:tc>
        <w:tc>
          <w:tcPr>
            <w:tcW w:w="4016" w:type="dxa"/>
            <w:tcBorders>
              <w:top w:val="single" w:color="auto" w:sz="4" w:space="0"/>
              <w:left w:val="single" w:color="auto" w:sz="4" w:space="0"/>
              <w:bottom w:val="single" w:color="auto" w:sz="4" w:space="0"/>
              <w:right w:val="single" w:color="auto" w:sz="4" w:space="0"/>
            </w:tcBorders>
            <w:vAlign w:val="center"/>
          </w:tcPr>
          <w:p w14:paraId="49390D2B">
            <w:pPr>
              <w:ind w:firstLine="630" w:firstLineChars="3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年</w:t>
            </w:r>
            <w:r>
              <w:rPr>
                <w:rFonts w:hint="default" w:ascii="Times New Roman" w:hAnsi="Times New Roman" w:eastAsia="宋体" w:cs="Times New Roman"/>
                <w:color w:val="auto"/>
                <w:szCs w:val="21"/>
                <w:highlight w:val="none"/>
                <w:lang w:val="en-US" w:eastAsia="zh-CN"/>
              </w:rPr>
              <w:t xml:space="preserve">  </w:t>
            </w:r>
            <w:r>
              <w:rPr>
                <w:rFonts w:hint="default" w:ascii="Times New Roman" w:hAnsi="Times New Roman" w:eastAsia="宋体" w:cs="Times New Roman"/>
                <w:color w:val="auto"/>
                <w:szCs w:val="21"/>
                <w:highlight w:val="none"/>
              </w:rPr>
              <w:t>月</w:t>
            </w:r>
            <w:r>
              <w:rPr>
                <w:rFonts w:hint="default" w:ascii="Times New Roman" w:hAnsi="Times New Roman" w:eastAsia="宋体" w:cs="Times New Roman"/>
                <w:color w:val="auto"/>
                <w:szCs w:val="21"/>
                <w:highlight w:val="none"/>
                <w:lang w:val="en-US" w:eastAsia="zh-CN"/>
              </w:rPr>
              <w:t xml:space="preserve">  </w:t>
            </w:r>
            <w:r>
              <w:rPr>
                <w:rFonts w:hint="default" w:ascii="Times New Roman" w:hAnsi="Times New Roman" w:eastAsia="宋体" w:cs="Times New Roman"/>
                <w:color w:val="auto"/>
                <w:szCs w:val="21"/>
                <w:highlight w:val="none"/>
              </w:rPr>
              <w:t>日前交货完毕</w:t>
            </w:r>
          </w:p>
        </w:tc>
        <w:tc>
          <w:tcPr>
            <w:tcW w:w="878" w:type="dxa"/>
            <w:tcBorders>
              <w:top w:val="single" w:color="auto" w:sz="4" w:space="0"/>
              <w:left w:val="single" w:color="auto" w:sz="4" w:space="0"/>
              <w:bottom w:val="single" w:color="auto" w:sz="4" w:space="0"/>
              <w:right w:val="single" w:color="auto" w:sz="4" w:space="0"/>
            </w:tcBorders>
            <w:vAlign w:val="center"/>
          </w:tcPr>
          <w:p w14:paraId="2CBB110D">
            <w:pPr>
              <w:rPr>
                <w:rFonts w:hint="default" w:ascii="Times New Roman" w:hAnsi="Times New Roman" w:eastAsia="宋体" w:cs="Times New Roman"/>
                <w:color w:val="auto"/>
                <w:szCs w:val="21"/>
                <w:highlight w:val="none"/>
              </w:rPr>
            </w:pPr>
          </w:p>
        </w:tc>
      </w:tr>
      <w:tr w14:paraId="1CA27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720" w:type="dxa"/>
            <w:tcBorders>
              <w:top w:val="single" w:color="auto" w:sz="4" w:space="0"/>
              <w:left w:val="single" w:color="auto" w:sz="4" w:space="0"/>
              <w:bottom w:val="single" w:color="auto" w:sz="4" w:space="0"/>
              <w:right w:val="single" w:color="auto" w:sz="4" w:space="0"/>
            </w:tcBorders>
            <w:vAlign w:val="center"/>
          </w:tcPr>
          <w:p w14:paraId="0735A928">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7</w:t>
            </w:r>
          </w:p>
        </w:tc>
        <w:tc>
          <w:tcPr>
            <w:tcW w:w="3758" w:type="dxa"/>
            <w:tcBorders>
              <w:top w:val="single" w:color="auto" w:sz="4" w:space="0"/>
              <w:left w:val="single" w:color="auto" w:sz="4" w:space="0"/>
              <w:bottom w:val="single" w:color="auto" w:sz="4" w:space="0"/>
              <w:right w:val="single" w:color="auto" w:sz="4" w:space="0"/>
            </w:tcBorders>
            <w:vAlign w:val="center"/>
          </w:tcPr>
          <w:p w14:paraId="30A723F9">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 xml:space="preserve">安装、调试服务 </w:t>
            </w:r>
          </w:p>
        </w:tc>
        <w:tc>
          <w:tcPr>
            <w:tcW w:w="4016" w:type="dxa"/>
            <w:tcBorders>
              <w:top w:val="single" w:color="auto" w:sz="4" w:space="0"/>
              <w:left w:val="single" w:color="auto" w:sz="4" w:space="0"/>
              <w:bottom w:val="single" w:color="auto" w:sz="4" w:space="0"/>
              <w:right w:val="single" w:color="auto" w:sz="4" w:space="0"/>
            </w:tcBorders>
            <w:vAlign w:val="center"/>
          </w:tcPr>
          <w:p w14:paraId="171BC307">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免费安装调试</w:t>
            </w:r>
          </w:p>
        </w:tc>
        <w:tc>
          <w:tcPr>
            <w:tcW w:w="878" w:type="dxa"/>
            <w:tcBorders>
              <w:top w:val="single" w:color="auto" w:sz="4" w:space="0"/>
              <w:left w:val="single" w:color="auto" w:sz="4" w:space="0"/>
              <w:bottom w:val="single" w:color="auto" w:sz="4" w:space="0"/>
              <w:right w:val="single" w:color="auto" w:sz="4" w:space="0"/>
            </w:tcBorders>
            <w:vAlign w:val="center"/>
          </w:tcPr>
          <w:p w14:paraId="1F15A688">
            <w:pPr>
              <w:rPr>
                <w:rFonts w:hint="default" w:ascii="Times New Roman" w:hAnsi="Times New Roman" w:eastAsia="宋体" w:cs="Times New Roman"/>
                <w:color w:val="auto"/>
                <w:szCs w:val="21"/>
                <w:highlight w:val="none"/>
              </w:rPr>
            </w:pPr>
          </w:p>
        </w:tc>
      </w:tr>
      <w:tr w14:paraId="37033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720" w:type="dxa"/>
            <w:tcBorders>
              <w:top w:val="single" w:color="auto" w:sz="4" w:space="0"/>
              <w:left w:val="single" w:color="auto" w:sz="4" w:space="0"/>
              <w:bottom w:val="single" w:color="auto" w:sz="4" w:space="0"/>
              <w:right w:val="single" w:color="auto" w:sz="4" w:space="0"/>
            </w:tcBorders>
            <w:vAlign w:val="center"/>
          </w:tcPr>
          <w:p w14:paraId="1EF1702B">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w:t>
            </w:r>
          </w:p>
        </w:tc>
        <w:tc>
          <w:tcPr>
            <w:tcW w:w="3758" w:type="dxa"/>
            <w:tcBorders>
              <w:top w:val="single" w:color="auto" w:sz="4" w:space="0"/>
              <w:left w:val="single" w:color="auto" w:sz="4" w:space="0"/>
              <w:bottom w:val="single" w:color="auto" w:sz="4" w:space="0"/>
              <w:right w:val="single" w:color="auto" w:sz="4" w:space="0"/>
            </w:tcBorders>
            <w:vAlign w:val="center"/>
          </w:tcPr>
          <w:p w14:paraId="2F68F0AC">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整机免费换货期限</w:t>
            </w:r>
          </w:p>
        </w:tc>
        <w:tc>
          <w:tcPr>
            <w:tcW w:w="4016" w:type="dxa"/>
            <w:tcBorders>
              <w:top w:val="single" w:color="auto" w:sz="4" w:space="0"/>
              <w:left w:val="single" w:color="auto" w:sz="4" w:space="0"/>
              <w:bottom w:val="single" w:color="auto" w:sz="4" w:space="0"/>
              <w:right w:val="single" w:color="auto" w:sz="4" w:space="0"/>
            </w:tcBorders>
            <w:vAlign w:val="center"/>
          </w:tcPr>
          <w:p w14:paraId="67E5C229">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12个月</w:t>
            </w:r>
          </w:p>
        </w:tc>
        <w:tc>
          <w:tcPr>
            <w:tcW w:w="878" w:type="dxa"/>
            <w:tcBorders>
              <w:top w:val="single" w:color="auto" w:sz="4" w:space="0"/>
              <w:left w:val="single" w:color="auto" w:sz="4" w:space="0"/>
              <w:bottom w:val="single" w:color="auto" w:sz="4" w:space="0"/>
              <w:right w:val="single" w:color="auto" w:sz="4" w:space="0"/>
            </w:tcBorders>
            <w:vAlign w:val="center"/>
          </w:tcPr>
          <w:p w14:paraId="74568A44">
            <w:pPr>
              <w:rPr>
                <w:rFonts w:hint="default" w:ascii="Times New Roman" w:hAnsi="Times New Roman" w:eastAsia="宋体" w:cs="Times New Roman"/>
                <w:color w:val="auto"/>
                <w:szCs w:val="21"/>
                <w:highlight w:val="none"/>
              </w:rPr>
            </w:pPr>
          </w:p>
        </w:tc>
      </w:tr>
      <w:tr w14:paraId="55014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117CEEE7">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9</w:t>
            </w:r>
          </w:p>
        </w:tc>
        <w:tc>
          <w:tcPr>
            <w:tcW w:w="3758" w:type="dxa"/>
            <w:tcBorders>
              <w:top w:val="single" w:color="auto" w:sz="4" w:space="0"/>
              <w:left w:val="single" w:color="auto" w:sz="4" w:space="0"/>
              <w:bottom w:val="single" w:color="auto" w:sz="4" w:space="0"/>
              <w:right w:val="single" w:color="auto" w:sz="4" w:space="0"/>
            </w:tcBorders>
            <w:vAlign w:val="center"/>
          </w:tcPr>
          <w:p w14:paraId="00E5C6B9">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免费上门服务期</w:t>
            </w:r>
          </w:p>
        </w:tc>
        <w:tc>
          <w:tcPr>
            <w:tcW w:w="4016" w:type="dxa"/>
            <w:tcBorders>
              <w:top w:val="single" w:color="auto" w:sz="4" w:space="0"/>
              <w:left w:val="single" w:color="auto" w:sz="4" w:space="0"/>
              <w:bottom w:val="single" w:color="auto" w:sz="4" w:space="0"/>
              <w:right w:val="single" w:color="auto" w:sz="4" w:space="0"/>
            </w:tcBorders>
            <w:vAlign w:val="center"/>
          </w:tcPr>
          <w:p w14:paraId="0A056088">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终身。提供随叫随到上门服务，全天候24小时响应（包括节假日如春节、国庆节、五一节等），</w:t>
            </w:r>
          </w:p>
        </w:tc>
        <w:tc>
          <w:tcPr>
            <w:tcW w:w="878" w:type="dxa"/>
            <w:tcBorders>
              <w:top w:val="single" w:color="auto" w:sz="4" w:space="0"/>
              <w:left w:val="single" w:color="auto" w:sz="4" w:space="0"/>
              <w:bottom w:val="single" w:color="auto" w:sz="4" w:space="0"/>
              <w:right w:val="single" w:color="auto" w:sz="4" w:space="0"/>
            </w:tcBorders>
            <w:vAlign w:val="center"/>
          </w:tcPr>
          <w:p w14:paraId="0B54F32A">
            <w:pPr>
              <w:rPr>
                <w:rFonts w:hint="default" w:ascii="Times New Roman" w:hAnsi="Times New Roman" w:eastAsia="宋体" w:cs="Times New Roman"/>
                <w:color w:val="auto"/>
                <w:szCs w:val="21"/>
                <w:highlight w:val="none"/>
              </w:rPr>
            </w:pPr>
          </w:p>
        </w:tc>
      </w:tr>
      <w:tr w14:paraId="384E4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720" w:type="dxa"/>
            <w:tcBorders>
              <w:top w:val="single" w:color="auto" w:sz="4" w:space="0"/>
              <w:left w:val="single" w:color="auto" w:sz="4" w:space="0"/>
              <w:bottom w:val="single" w:color="auto" w:sz="4" w:space="0"/>
              <w:right w:val="single" w:color="auto" w:sz="4" w:space="0"/>
            </w:tcBorders>
            <w:vAlign w:val="center"/>
          </w:tcPr>
          <w:p w14:paraId="2C5764FC">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10</w:t>
            </w:r>
          </w:p>
        </w:tc>
        <w:tc>
          <w:tcPr>
            <w:tcW w:w="3758" w:type="dxa"/>
            <w:tcBorders>
              <w:top w:val="single" w:color="auto" w:sz="4" w:space="0"/>
              <w:left w:val="single" w:color="auto" w:sz="4" w:space="0"/>
              <w:bottom w:val="single" w:color="auto" w:sz="4" w:space="0"/>
              <w:right w:val="single" w:color="auto" w:sz="4" w:space="0"/>
            </w:tcBorders>
            <w:vAlign w:val="center"/>
          </w:tcPr>
          <w:p w14:paraId="2FC9DD88">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质保期内产品故障服务响应时限</w:t>
            </w:r>
          </w:p>
        </w:tc>
        <w:tc>
          <w:tcPr>
            <w:tcW w:w="4016" w:type="dxa"/>
            <w:tcBorders>
              <w:top w:val="single" w:color="auto" w:sz="4" w:space="0"/>
              <w:left w:val="single" w:color="auto" w:sz="4" w:space="0"/>
              <w:bottom w:val="single" w:color="auto" w:sz="4" w:space="0"/>
              <w:right w:val="single" w:color="auto" w:sz="4" w:space="0"/>
            </w:tcBorders>
            <w:vAlign w:val="center"/>
          </w:tcPr>
          <w:p w14:paraId="6E4476E8">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2个小时内响应</w:t>
            </w:r>
          </w:p>
        </w:tc>
        <w:tc>
          <w:tcPr>
            <w:tcW w:w="878" w:type="dxa"/>
            <w:tcBorders>
              <w:top w:val="single" w:color="auto" w:sz="4" w:space="0"/>
              <w:left w:val="single" w:color="auto" w:sz="4" w:space="0"/>
              <w:bottom w:val="single" w:color="auto" w:sz="4" w:space="0"/>
              <w:right w:val="single" w:color="auto" w:sz="4" w:space="0"/>
            </w:tcBorders>
            <w:vAlign w:val="center"/>
          </w:tcPr>
          <w:p w14:paraId="53928D94">
            <w:pPr>
              <w:rPr>
                <w:rFonts w:hint="default" w:ascii="Times New Roman" w:hAnsi="Times New Roman" w:eastAsia="宋体" w:cs="Times New Roman"/>
                <w:color w:val="auto"/>
                <w:szCs w:val="21"/>
                <w:highlight w:val="none"/>
              </w:rPr>
            </w:pPr>
          </w:p>
        </w:tc>
      </w:tr>
      <w:tr w14:paraId="0FF83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720" w:type="dxa"/>
            <w:tcBorders>
              <w:top w:val="single" w:color="auto" w:sz="4" w:space="0"/>
              <w:left w:val="single" w:color="auto" w:sz="4" w:space="0"/>
              <w:bottom w:val="single" w:color="auto" w:sz="4" w:space="0"/>
              <w:right w:val="single" w:color="auto" w:sz="4" w:space="0"/>
            </w:tcBorders>
            <w:vAlign w:val="center"/>
          </w:tcPr>
          <w:p w14:paraId="2DB244BD">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11</w:t>
            </w:r>
          </w:p>
        </w:tc>
        <w:tc>
          <w:tcPr>
            <w:tcW w:w="3758" w:type="dxa"/>
            <w:tcBorders>
              <w:top w:val="single" w:color="auto" w:sz="4" w:space="0"/>
              <w:left w:val="single" w:color="auto" w:sz="4" w:space="0"/>
              <w:bottom w:val="single" w:color="auto" w:sz="4" w:space="0"/>
              <w:right w:val="single" w:color="auto" w:sz="4" w:space="0"/>
            </w:tcBorders>
            <w:vAlign w:val="center"/>
          </w:tcPr>
          <w:p w14:paraId="2B03DF74">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服务时间</w:t>
            </w:r>
          </w:p>
        </w:tc>
        <w:tc>
          <w:tcPr>
            <w:tcW w:w="4016" w:type="dxa"/>
            <w:tcBorders>
              <w:top w:val="single" w:color="auto" w:sz="4" w:space="0"/>
              <w:left w:val="single" w:color="auto" w:sz="4" w:space="0"/>
              <w:bottom w:val="single" w:color="auto" w:sz="4" w:space="0"/>
              <w:right w:val="single" w:color="auto" w:sz="4" w:space="0"/>
            </w:tcBorders>
            <w:vAlign w:val="center"/>
          </w:tcPr>
          <w:p w14:paraId="4EA021FB">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24小时（包括节假日如春节、国庆节、五一节等）</w:t>
            </w:r>
          </w:p>
        </w:tc>
        <w:tc>
          <w:tcPr>
            <w:tcW w:w="878" w:type="dxa"/>
            <w:tcBorders>
              <w:top w:val="single" w:color="auto" w:sz="4" w:space="0"/>
              <w:left w:val="single" w:color="auto" w:sz="4" w:space="0"/>
              <w:bottom w:val="single" w:color="auto" w:sz="4" w:space="0"/>
              <w:right w:val="single" w:color="auto" w:sz="4" w:space="0"/>
            </w:tcBorders>
            <w:vAlign w:val="center"/>
          </w:tcPr>
          <w:p w14:paraId="704486E7">
            <w:pPr>
              <w:rPr>
                <w:rFonts w:hint="default" w:ascii="Times New Roman" w:hAnsi="Times New Roman" w:eastAsia="宋体" w:cs="Times New Roman"/>
                <w:color w:val="auto"/>
                <w:szCs w:val="21"/>
                <w:highlight w:val="none"/>
              </w:rPr>
            </w:pPr>
          </w:p>
        </w:tc>
      </w:tr>
      <w:tr w14:paraId="05941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trPr>
        <w:tc>
          <w:tcPr>
            <w:tcW w:w="720" w:type="dxa"/>
            <w:tcBorders>
              <w:top w:val="single" w:color="auto" w:sz="4" w:space="0"/>
              <w:left w:val="single" w:color="auto" w:sz="4" w:space="0"/>
              <w:bottom w:val="single" w:color="auto" w:sz="4" w:space="0"/>
              <w:right w:val="single" w:color="auto" w:sz="4" w:space="0"/>
            </w:tcBorders>
            <w:vAlign w:val="center"/>
          </w:tcPr>
          <w:p w14:paraId="4106502F">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12</w:t>
            </w:r>
          </w:p>
        </w:tc>
        <w:tc>
          <w:tcPr>
            <w:tcW w:w="3758" w:type="dxa"/>
            <w:tcBorders>
              <w:top w:val="single" w:color="auto" w:sz="4" w:space="0"/>
              <w:left w:val="single" w:color="auto" w:sz="4" w:space="0"/>
              <w:bottom w:val="single" w:color="auto" w:sz="4" w:space="0"/>
              <w:right w:val="single" w:color="auto" w:sz="4" w:space="0"/>
            </w:tcBorders>
            <w:vAlign w:val="center"/>
          </w:tcPr>
          <w:p w14:paraId="2A3EE28F">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上门时间</w:t>
            </w:r>
          </w:p>
        </w:tc>
        <w:tc>
          <w:tcPr>
            <w:tcW w:w="4016" w:type="dxa"/>
            <w:tcBorders>
              <w:top w:val="single" w:color="auto" w:sz="4" w:space="0"/>
              <w:left w:val="single" w:color="auto" w:sz="4" w:space="0"/>
              <w:bottom w:val="single" w:color="auto" w:sz="4" w:space="0"/>
              <w:right w:val="single" w:color="auto" w:sz="4" w:space="0"/>
            </w:tcBorders>
            <w:vAlign w:val="center"/>
          </w:tcPr>
          <w:p w14:paraId="4986465D">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2小时内响应及时上门</w:t>
            </w:r>
          </w:p>
        </w:tc>
        <w:tc>
          <w:tcPr>
            <w:tcW w:w="878" w:type="dxa"/>
            <w:tcBorders>
              <w:top w:val="single" w:color="auto" w:sz="4" w:space="0"/>
              <w:left w:val="single" w:color="auto" w:sz="4" w:space="0"/>
              <w:bottom w:val="single" w:color="auto" w:sz="4" w:space="0"/>
              <w:right w:val="single" w:color="auto" w:sz="4" w:space="0"/>
            </w:tcBorders>
            <w:vAlign w:val="center"/>
          </w:tcPr>
          <w:p w14:paraId="3F464363">
            <w:pPr>
              <w:rPr>
                <w:rFonts w:hint="default" w:ascii="Times New Roman" w:hAnsi="Times New Roman" w:eastAsia="宋体" w:cs="Times New Roman"/>
                <w:color w:val="auto"/>
                <w:szCs w:val="21"/>
                <w:highlight w:val="none"/>
              </w:rPr>
            </w:pPr>
          </w:p>
        </w:tc>
      </w:tr>
      <w:tr w14:paraId="48BA4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20" w:type="dxa"/>
            <w:tcBorders>
              <w:top w:val="single" w:color="auto" w:sz="4" w:space="0"/>
              <w:left w:val="single" w:color="auto" w:sz="4" w:space="0"/>
              <w:bottom w:val="single" w:color="auto" w:sz="4" w:space="0"/>
              <w:right w:val="single" w:color="auto" w:sz="4" w:space="0"/>
            </w:tcBorders>
            <w:vAlign w:val="center"/>
          </w:tcPr>
          <w:p w14:paraId="1C964A56">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13</w:t>
            </w:r>
          </w:p>
        </w:tc>
        <w:tc>
          <w:tcPr>
            <w:tcW w:w="3758" w:type="dxa"/>
            <w:tcBorders>
              <w:top w:val="single" w:color="auto" w:sz="4" w:space="0"/>
              <w:left w:val="single" w:color="auto" w:sz="4" w:space="0"/>
              <w:bottom w:val="single" w:color="auto" w:sz="4" w:space="0"/>
              <w:right w:val="single" w:color="auto" w:sz="4" w:space="0"/>
            </w:tcBorders>
            <w:vAlign w:val="center"/>
          </w:tcPr>
          <w:p w14:paraId="4CAE818F">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故障修复时限</w:t>
            </w:r>
          </w:p>
        </w:tc>
        <w:tc>
          <w:tcPr>
            <w:tcW w:w="4016" w:type="dxa"/>
            <w:tcBorders>
              <w:top w:val="single" w:color="auto" w:sz="4" w:space="0"/>
              <w:left w:val="single" w:color="auto" w:sz="4" w:space="0"/>
              <w:bottom w:val="single" w:color="auto" w:sz="4" w:space="0"/>
              <w:right w:val="single" w:color="auto" w:sz="4" w:space="0"/>
            </w:tcBorders>
            <w:vAlign w:val="center"/>
          </w:tcPr>
          <w:p w14:paraId="5DAD2D41">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8个小时内修复</w:t>
            </w:r>
          </w:p>
        </w:tc>
        <w:tc>
          <w:tcPr>
            <w:tcW w:w="878" w:type="dxa"/>
            <w:tcBorders>
              <w:top w:val="single" w:color="auto" w:sz="4" w:space="0"/>
              <w:left w:val="single" w:color="auto" w:sz="4" w:space="0"/>
              <w:bottom w:val="single" w:color="auto" w:sz="4" w:space="0"/>
              <w:right w:val="single" w:color="auto" w:sz="4" w:space="0"/>
            </w:tcBorders>
            <w:vAlign w:val="center"/>
          </w:tcPr>
          <w:p w14:paraId="57ADFC71">
            <w:pPr>
              <w:rPr>
                <w:rFonts w:hint="default" w:ascii="Times New Roman" w:hAnsi="Times New Roman" w:eastAsia="宋体" w:cs="Times New Roman"/>
                <w:color w:val="auto"/>
                <w:szCs w:val="21"/>
                <w:highlight w:val="none"/>
              </w:rPr>
            </w:pPr>
          </w:p>
        </w:tc>
      </w:tr>
      <w:tr w14:paraId="5869D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720" w:type="dxa"/>
            <w:tcBorders>
              <w:top w:val="single" w:color="auto" w:sz="4" w:space="0"/>
              <w:left w:val="single" w:color="auto" w:sz="4" w:space="0"/>
              <w:bottom w:val="single" w:color="auto" w:sz="4" w:space="0"/>
              <w:right w:val="single" w:color="auto" w:sz="4" w:space="0"/>
            </w:tcBorders>
            <w:vAlign w:val="center"/>
          </w:tcPr>
          <w:p w14:paraId="2E7A2A76">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14</w:t>
            </w:r>
          </w:p>
        </w:tc>
        <w:tc>
          <w:tcPr>
            <w:tcW w:w="3758" w:type="dxa"/>
            <w:tcBorders>
              <w:top w:val="single" w:color="auto" w:sz="4" w:space="0"/>
              <w:left w:val="single" w:color="auto" w:sz="4" w:space="0"/>
              <w:bottom w:val="single" w:color="auto" w:sz="4" w:space="0"/>
              <w:right w:val="single" w:color="auto" w:sz="4" w:space="0"/>
            </w:tcBorders>
            <w:vAlign w:val="center"/>
          </w:tcPr>
          <w:p w14:paraId="1FBBAE50">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备品配件供应响应时限</w:t>
            </w:r>
          </w:p>
        </w:tc>
        <w:tc>
          <w:tcPr>
            <w:tcW w:w="4016" w:type="dxa"/>
            <w:tcBorders>
              <w:top w:val="single" w:color="auto" w:sz="4" w:space="0"/>
              <w:left w:val="single" w:color="auto" w:sz="4" w:space="0"/>
              <w:bottom w:val="single" w:color="auto" w:sz="4" w:space="0"/>
              <w:right w:val="single" w:color="auto" w:sz="4" w:space="0"/>
            </w:tcBorders>
            <w:vAlign w:val="center"/>
          </w:tcPr>
          <w:p w14:paraId="7E1AE470">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1个工作日内</w:t>
            </w:r>
          </w:p>
        </w:tc>
        <w:tc>
          <w:tcPr>
            <w:tcW w:w="878" w:type="dxa"/>
            <w:tcBorders>
              <w:top w:val="single" w:color="auto" w:sz="4" w:space="0"/>
              <w:left w:val="single" w:color="auto" w:sz="4" w:space="0"/>
              <w:bottom w:val="single" w:color="auto" w:sz="4" w:space="0"/>
              <w:right w:val="single" w:color="auto" w:sz="4" w:space="0"/>
            </w:tcBorders>
            <w:vAlign w:val="center"/>
          </w:tcPr>
          <w:p w14:paraId="68BA916C">
            <w:pPr>
              <w:rPr>
                <w:rFonts w:hint="default" w:ascii="Times New Roman" w:hAnsi="Times New Roman" w:eastAsia="宋体" w:cs="Times New Roman"/>
                <w:color w:val="auto"/>
                <w:szCs w:val="21"/>
                <w:highlight w:val="none"/>
              </w:rPr>
            </w:pPr>
          </w:p>
        </w:tc>
      </w:tr>
      <w:tr w14:paraId="27A5B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703A865B">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15</w:t>
            </w:r>
          </w:p>
        </w:tc>
        <w:tc>
          <w:tcPr>
            <w:tcW w:w="3758" w:type="dxa"/>
            <w:tcBorders>
              <w:top w:val="single" w:color="auto" w:sz="4" w:space="0"/>
              <w:left w:val="single" w:color="auto" w:sz="4" w:space="0"/>
              <w:bottom w:val="single" w:color="auto" w:sz="4" w:space="0"/>
              <w:right w:val="single" w:color="auto" w:sz="4" w:space="0"/>
            </w:tcBorders>
            <w:vAlign w:val="center"/>
          </w:tcPr>
          <w:p w14:paraId="104150D1">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保质期满后的保修服务费用</w:t>
            </w:r>
          </w:p>
        </w:tc>
        <w:tc>
          <w:tcPr>
            <w:tcW w:w="4016" w:type="dxa"/>
            <w:tcBorders>
              <w:top w:val="single" w:color="auto" w:sz="4" w:space="0"/>
              <w:left w:val="single" w:color="auto" w:sz="4" w:space="0"/>
              <w:bottom w:val="single" w:color="auto" w:sz="4" w:space="0"/>
              <w:right w:val="single" w:color="auto" w:sz="4" w:space="0"/>
            </w:tcBorders>
            <w:vAlign w:val="center"/>
          </w:tcPr>
          <w:p w14:paraId="34C609DD">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详见开标一览表</w:t>
            </w:r>
          </w:p>
        </w:tc>
        <w:tc>
          <w:tcPr>
            <w:tcW w:w="878" w:type="dxa"/>
            <w:tcBorders>
              <w:top w:val="single" w:color="auto" w:sz="4" w:space="0"/>
              <w:left w:val="single" w:color="auto" w:sz="4" w:space="0"/>
              <w:bottom w:val="single" w:color="auto" w:sz="4" w:space="0"/>
              <w:right w:val="single" w:color="auto" w:sz="4" w:space="0"/>
            </w:tcBorders>
            <w:vAlign w:val="center"/>
          </w:tcPr>
          <w:p w14:paraId="2C753602">
            <w:pPr>
              <w:rPr>
                <w:rFonts w:hint="default" w:ascii="Times New Roman" w:hAnsi="Times New Roman" w:eastAsia="宋体" w:cs="Times New Roman"/>
                <w:color w:val="auto"/>
                <w:szCs w:val="21"/>
                <w:highlight w:val="none"/>
              </w:rPr>
            </w:pPr>
          </w:p>
        </w:tc>
      </w:tr>
      <w:tr w14:paraId="59DCB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720" w:type="dxa"/>
            <w:tcBorders>
              <w:top w:val="single" w:color="auto" w:sz="4" w:space="0"/>
              <w:left w:val="single" w:color="auto" w:sz="4" w:space="0"/>
              <w:bottom w:val="single" w:color="auto" w:sz="4" w:space="0"/>
              <w:right w:val="single" w:color="auto" w:sz="4" w:space="0"/>
            </w:tcBorders>
            <w:vAlign w:val="center"/>
          </w:tcPr>
          <w:p w14:paraId="1AC0DF63">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16</w:t>
            </w:r>
          </w:p>
        </w:tc>
        <w:tc>
          <w:tcPr>
            <w:tcW w:w="3758" w:type="dxa"/>
            <w:tcBorders>
              <w:top w:val="single" w:color="auto" w:sz="4" w:space="0"/>
              <w:left w:val="single" w:color="auto" w:sz="4" w:space="0"/>
              <w:bottom w:val="single" w:color="auto" w:sz="4" w:space="0"/>
              <w:right w:val="single" w:color="auto" w:sz="4" w:space="0"/>
            </w:tcBorders>
            <w:vAlign w:val="center"/>
          </w:tcPr>
          <w:p w14:paraId="7446A9F6">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免费技术支持</w:t>
            </w:r>
          </w:p>
        </w:tc>
        <w:tc>
          <w:tcPr>
            <w:tcW w:w="4016" w:type="dxa"/>
            <w:tcBorders>
              <w:top w:val="single" w:color="auto" w:sz="4" w:space="0"/>
              <w:left w:val="single" w:color="auto" w:sz="4" w:space="0"/>
              <w:bottom w:val="single" w:color="auto" w:sz="4" w:space="0"/>
              <w:right w:val="single" w:color="auto" w:sz="4" w:space="0"/>
            </w:tcBorders>
            <w:vAlign w:val="center"/>
          </w:tcPr>
          <w:p w14:paraId="55F329C4">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终身</w:t>
            </w:r>
          </w:p>
        </w:tc>
        <w:tc>
          <w:tcPr>
            <w:tcW w:w="878" w:type="dxa"/>
            <w:tcBorders>
              <w:top w:val="single" w:color="auto" w:sz="4" w:space="0"/>
              <w:left w:val="single" w:color="auto" w:sz="4" w:space="0"/>
              <w:bottom w:val="single" w:color="auto" w:sz="4" w:space="0"/>
              <w:right w:val="single" w:color="auto" w:sz="4" w:space="0"/>
            </w:tcBorders>
            <w:vAlign w:val="center"/>
          </w:tcPr>
          <w:p w14:paraId="6C963784">
            <w:pPr>
              <w:rPr>
                <w:rFonts w:hint="default" w:ascii="Times New Roman" w:hAnsi="Times New Roman" w:eastAsia="宋体" w:cs="Times New Roman"/>
                <w:color w:val="auto"/>
                <w:szCs w:val="21"/>
                <w:highlight w:val="none"/>
              </w:rPr>
            </w:pPr>
          </w:p>
        </w:tc>
      </w:tr>
      <w:tr w14:paraId="26DF4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0299E57D">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17</w:t>
            </w:r>
          </w:p>
        </w:tc>
        <w:tc>
          <w:tcPr>
            <w:tcW w:w="3758" w:type="dxa"/>
            <w:tcBorders>
              <w:top w:val="single" w:color="auto" w:sz="4" w:space="0"/>
              <w:left w:val="single" w:color="auto" w:sz="4" w:space="0"/>
              <w:bottom w:val="single" w:color="auto" w:sz="4" w:space="0"/>
              <w:right w:val="single" w:color="auto" w:sz="4" w:space="0"/>
            </w:tcBorders>
            <w:vAlign w:val="center"/>
          </w:tcPr>
          <w:p w14:paraId="6505AE7F">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客户操作人员技术培训</w:t>
            </w:r>
          </w:p>
        </w:tc>
        <w:tc>
          <w:tcPr>
            <w:tcW w:w="4016" w:type="dxa"/>
            <w:tcBorders>
              <w:top w:val="single" w:color="auto" w:sz="4" w:space="0"/>
              <w:left w:val="single" w:color="auto" w:sz="4" w:space="0"/>
              <w:bottom w:val="single" w:color="auto" w:sz="4" w:space="0"/>
              <w:right w:val="single" w:color="auto" w:sz="4" w:space="0"/>
            </w:tcBorders>
            <w:vAlign w:val="center"/>
          </w:tcPr>
          <w:p w14:paraId="26041FEC">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免费技术培训至少</w:t>
            </w:r>
            <w:r>
              <w:rPr>
                <w:rFonts w:hint="default" w:ascii="Times New Roman" w:hAnsi="Times New Roman" w:eastAsia="宋体" w:cs="Times New Roman"/>
                <w:color w:val="auto"/>
                <w:szCs w:val="21"/>
                <w:highlight w:val="none"/>
                <w:lang w:val="en-US" w:eastAsia="zh-CN"/>
              </w:rPr>
              <w:t>3</w:t>
            </w:r>
            <w:r>
              <w:rPr>
                <w:rFonts w:hint="default" w:ascii="Times New Roman" w:hAnsi="Times New Roman" w:eastAsia="宋体" w:cs="Times New Roman"/>
                <w:color w:val="auto"/>
                <w:szCs w:val="21"/>
                <w:highlight w:val="none"/>
              </w:rPr>
              <w:t>名操作人员，操作和简单故障处理。</w:t>
            </w:r>
          </w:p>
        </w:tc>
        <w:tc>
          <w:tcPr>
            <w:tcW w:w="878" w:type="dxa"/>
            <w:tcBorders>
              <w:top w:val="single" w:color="auto" w:sz="4" w:space="0"/>
              <w:left w:val="single" w:color="auto" w:sz="4" w:space="0"/>
              <w:bottom w:val="single" w:color="auto" w:sz="4" w:space="0"/>
              <w:right w:val="single" w:color="auto" w:sz="4" w:space="0"/>
            </w:tcBorders>
            <w:vAlign w:val="center"/>
          </w:tcPr>
          <w:p w14:paraId="07496CCA">
            <w:pPr>
              <w:rPr>
                <w:rFonts w:hint="default" w:ascii="Times New Roman" w:hAnsi="Times New Roman" w:eastAsia="宋体" w:cs="Times New Roman"/>
                <w:color w:val="auto"/>
                <w:szCs w:val="21"/>
                <w:highlight w:val="none"/>
              </w:rPr>
            </w:pPr>
          </w:p>
        </w:tc>
      </w:tr>
      <w:tr w14:paraId="710F3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5E153569">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18</w:t>
            </w:r>
          </w:p>
        </w:tc>
        <w:tc>
          <w:tcPr>
            <w:tcW w:w="3758" w:type="dxa"/>
            <w:tcBorders>
              <w:top w:val="single" w:color="auto" w:sz="4" w:space="0"/>
              <w:left w:val="single" w:color="auto" w:sz="4" w:space="0"/>
              <w:bottom w:val="single" w:color="auto" w:sz="4" w:space="0"/>
              <w:right w:val="single" w:color="auto" w:sz="4" w:space="0"/>
            </w:tcBorders>
            <w:vAlign w:val="center"/>
          </w:tcPr>
          <w:p w14:paraId="6EAED329">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郑州维修部地址</w:t>
            </w:r>
          </w:p>
        </w:tc>
        <w:tc>
          <w:tcPr>
            <w:tcW w:w="4016" w:type="dxa"/>
            <w:tcBorders>
              <w:top w:val="single" w:color="auto" w:sz="4" w:space="0"/>
              <w:left w:val="single" w:color="auto" w:sz="4" w:space="0"/>
              <w:bottom w:val="single" w:color="auto" w:sz="4" w:space="0"/>
              <w:right w:val="single" w:color="auto" w:sz="4" w:space="0"/>
            </w:tcBorders>
            <w:vAlign w:val="center"/>
          </w:tcPr>
          <w:p w14:paraId="43E7B9D0">
            <w:pP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郑州市中原区汝河路96号</w:t>
            </w:r>
          </w:p>
        </w:tc>
        <w:tc>
          <w:tcPr>
            <w:tcW w:w="878" w:type="dxa"/>
            <w:tcBorders>
              <w:top w:val="single" w:color="auto" w:sz="4" w:space="0"/>
              <w:left w:val="single" w:color="auto" w:sz="4" w:space="0"/>
              <w:bottom w:val="single" w:color="auto" w:sz="4" w:space="0"/>
              <w:right w:val="single" w:color="auto" w:sz="4" w:space="0"/>
            </w:tcBorders>
            <w:vAlign w:val="center"/>
          </w:tcPr>
          <w:p w14:paraId="2BD04C63">
            <w:pPr>
              <w:rPr>
                <w:rFonts w:hint="default" w:ascii="Times New Roman" w:hAnsi="Times New Roman" w:eastAsia="宋体" w:cs="Times New Roman"/>
                <w:color w:val="auto"/>
                <w:szCs w:val="21"/>
                <w:highlight w:val="none"/>
              </w:rPr>
            </w:pPr>
          </w:p>
        </w:tc>
      </w:tr>
      <w:tr w14:paraId="63292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720" w:type="dxa"/>
            <w:tcBorders>
              <w:top w:val="single" w:color="auto" w:sz="4" w:space="0"/>
              <w:left w:val="single" w:color="auto" w:sz="4" w:space="0"/>
              <w:bottom w:val="single" w:color="auto" w:sz="4" w:space="0"/>
              <w:right w:val="single" w:color="auto" w:sz="4" w:space="0"/>
            </w:tcBorders>
            <w:vAlign w:val="center"/>
          </w:tcPr>
          <w:p w14:paraId="6F4CB880">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19</w:t>
            </w:r>
          </w:p>
        </w:tc>
        <w:tc>
          <w:tcPr>
            <w:tcW w:w="3758" w:type="dxa"/>
            <w:tcBorders>
              <w:top w:val="single" w:color="auto" w:sz="4" w:space="0"/>
              <w:left w:val="single" w:color="auto" w:sz="4" w:space="0"/>
              <w:bottom w:val="single" w:color="auto" w:sz="4" w:space="0"/>
              <w:right w:val="single" w:color="auto" w:sz="4" w:space="0"/>
            </w:tcBorders>
            <w:vAlign w:val="center"/>
          </w:tcPr>
          <w:p w14:paraId="6D4F0859">
            <w:pPr>
              <w:spacing w:line="360" w:lineRule="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联系人</w:t>
            </w:r>
          </w:p>
        </w:tc>
        <w:tc>
          <w:tcPr>
            <w:tcW w:w="4016" w:type="dxa"/>
            <w:tcBorders>
              <w:top w:val="single" w:color="auto" w:sz="4" w:space="0"/>
              <w:left w:val="single" w:color="auto" w:sz="4" w:space="0"/>
              <w:bottom w:val="single" w:color="auto" w:sz="4" w:space="0"/>
              <w:right w:val="single" w:color="auto" w:sz="4" w:space="0"/>
            </w:tcBorders>
            <w:vAlign w:val="center"/>
          </w:tcPr>
          <w:p w14:paraId="0C00364C">
            <w:pP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张远远</w:t>
            </w:r>
          </w:p>
        </w:tc>
        <w:tc>
          <w:tcPr>
            <w:tcW w:w="878" w:type="dxa"/>
            <w:tcBorders>
              <w:top w:val="single" w:color="auto" w:sz="4" w:space="0"/>
              <w:left w:val="single" w:color="auto" w:sz="4" w:space="0"/>
              <w:bottom w:val="single" w:color="auto" w:sz="4" w:space="0"/>
              <w:right w:val="single" w:color="auto" w:sz="4" w:space="0"/>
            </w:tcBorders>
            <w:vAlign w:val="center"/>
          </w:tcPr>
          <w:p w14:paraId="7F2FADBD">
            <w:pPr>
              <w:rPr>
                <w:rFonts w:hint="default" w:ascii="Times New Roman" w:hAnsi="Times New Roman" w:eastAsia="宋体" w:cs="Times New Roman"/>
                <w:color w:val="auto"/>
                <w:szCs w:val="21"/>
                <w:highlight w:val="none"/>
              </w:rPr>
            </w:pPr>
          </w:p>
        </w:tc>
      </w:tr>
      <w:tr w14:paraId="591A0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720" w:type="dxa"/>
            <w:tcBorders>
              <w:top w:val="single" w:color="auto" w:sz="4" w:space="0"/>
              <w:left w:val="single" w:color="auto" w:sz="4" w:space="0"/>
              <w:bottom w:val="single" w:color="auto" w:sz="4" w:space="0"/>
              <w:right w:val="single" w:color="auto" w:sz="4" w:space="0"/>
            </w:tcBorders>
            <w:vAlign w:val="center"/>
          </w:tcPr>
          <w:p w14:paraId="3D706FDD">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20</w:t>
            </w:r>
          </w:p>
        </w:tc>
        <w:tc>
          <w:tcPr>
            <w:tcW w:w="3758" w:type="dxa"/>
            <w:tcBorders>
              <w:top w:val="single" w:color="auto" w:sz="4" w:space="0"/>
              <w:left w:val="single" w:color="auto" w:sz="4" w:space="0"/>
              <w:bottom w:val="single" w:color="auto" w:sz="4" w:space="0"/>
              <w:right w:val="single" w:color="auto" w:sz="4" w:space="0"/>
            </w:tcBorders>
            <w:vAlign w:val="center"/>
          </w:tcPr>
          <w:p w14:paraId="1D804129">
            <w:pPr>
              <w:spacing w:line="360" w:lineRule="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联系电话</w:t>
            </w:r>
          </w:p>
        </w:tc>
        <w:tc>
          <w:tcPr>
            <w:tcW w:w="4016" w:type="dxa"/>
            <w:tcBorders>
              <w:top w:val="single" w:color="auto" w:sz="4" w:space="0"/>
              <w:left w:val="single" w:color="auto" w:sz="4" w:space="0"/>
              <w:bottom w:val="single" w:color="auto" w:sz="4" w:space="0"/>
              <w:right w:val="single" w:color="auto" w:sz="4" w:space="0"/>
            </w:tcBorders>
            <w:vAlign w:val="center"/>
          </w:tcPr>
          <w:p w14:paraId="5C508D7F">
            <w:pP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18625500985</w:t>
            </w:r>
          </w:p>
        </w:tc>
        <w:tc>
          <w:tcPr>
            <w:tcW w:w="878" w:type="dxa"/>
            <w:tcBorders>
              <w:top w:val="single" w:color="auto" w:sz="4" w:space="0"/>
              <w:left w:val="single" w:color="auto" w:sz="4" w:space="0"/>
              <w:bottom w:val="single" w:color="auto" w:sz="4" w:space="0"/>
              <w:right w:val="single" w:color="auto" w:sz="4" w:space="0"/>
            </w:tcBorders>
            <w:vAlign w:val="center"/>
          </w:tcPr>
          <w:p w14:paraId="1951258B">
            <w:pPr>
              <w:rPr>
                <w:rFonts w:hint="default" w:ascii="Times New Roman" w:hAnsi="Times New Roman" w:eastAsia="宋体" w:cs="Times New Roman"/>
                <w:color w:val="auto"/>
                <w:szCs w:val="21"/>
                <w:highlight w:val="none"/>
              </w:rPr>
            </w:pPr>
          </w:p>
        </w:tc>
      </w:tr>
      <w:tr w14:paraId="10F9A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720" w:type="dxa"/>
            <w:tcBorders>
              <w:top w:val="single" w:color="auto" w:sz="4" w:space="0"/>
              <w:left w:val="single" w:color="auto" w:sz="4" w:space="0"/>
              <w:bottom w:val="single" w:color="auto" w:sz="4" w:space="0"/>
              <w:right w:val="single" w:color="auto" w:sz="4" w:space="0"/>
            </w:tcBorders>
            <w:vAlign w:val="center"/>
          </w:tcPr>
          <w:p w14:paraId="56BB9FBF">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21</w:t>
            </w:r>
          </w:p>
        </w:tc>
        <w:tc>
          <w:tcPr>
            <w:tcW w:w="3758" w:type="dxa"/>
            <w:tcBorders>
              <w:top w:val="single" w:color="auto" w:sz="4" w:space="0"/>
              <w:left w:val="single" w:color="auto" w:sz="4" w:space="0"/>
              <w:bottom w:val="single" w:color="auto" w:sz="4" w:space="0"/>
              <w:right w:val="single" w:color="auto" w:sz="4" w:space="0"/>
            </w:tcBorders>
            <w:vAlign w:val="center"/>
          </w:tcPr>
          <w:p w14:paraId="76EC3F12">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维修服务热线</w:t>
            </w:r>
          </w:p>
        </w:tc>
        <w:tc>
          <w:tcPr>
            <w:tcW w:w="4016" w:type="dxa"/>
            <w:tcBorders>
              <w:top w:val="single" w:color="auto" w:sz="4" w:space="0"/>
              <w:left w:val="single" w:color="auto" w:sz="4" w:space="0"/>
              <w:bottom w:val="single" w:color="auto" w:sz="4" w:space="0"/>
              <w:right w:val="single" w:color="auto" w:sz="4" w:space="0"/>
            </w:tcBorders>
            <w:vAlign w:val="center"/>
          </w:tcPr>
          <w:p w14:paraId="603C89D3">
            <w:pP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18625500985</w:t>
            </w:r>
          </w:p>
        </w:tc>
        <w:tc>
          <w:tcPr>
            <w:tcW w:w="878" w:type="dxa"/>
            <w:tcBorders>
              <w:top w:val="single" w:color="auto" w:sz="4" w:space="0"/>
              <w:left w:val="single" w:color="auto" w:sz="4" w:space="0"/>
              <w:bottom w:val="single" w:color="auto" w:sz="4" w:space="0"/>
              <w:right w:val="single" w:color="auto" w:sz="4" w:space="0"/>
            </w:tcBorders>
            <w:vAlign w:val="center"/>
          </w:tcPr>
          <w:p w14:paraId="0D806043">
            <w:pPr>
              <w:rPr>
                <w:rFonts w:hint="default" w:ascii="Times New Roman" w:hAnsi="Times New Roman" w:eastAsia="宋体" w:cs="Times New Roman"/>
                <w:color w:val="auto"/>
                <w:szCs w:val="21"/>
                <w:highlight w:val="none"/>
              </w:rPr>
            </w:pPr>
          </w:p>
        </w:tc>
      </w:tr>
      <w:tr w14:paraId="1F61B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538CC812">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22</w:t>
            </w:r>
          </w:p>
        </w:tc>
        <w:tc>
          <w:tcPr>
            <w:tcW w:w="3758" w:type="dxa"/>
            <w:tcBorders>
              <w:top w:val="single" w:color="auto" w:sz="4" w:space="0"/>
              <w:left w:val="single" w:color="auto" w:sz="4" w:space="0"/>
              <w:bottom w:val="single" w:color="auto" w:sz="4" w:space="0"/>
              <w:right w:val="single" w:color="auto" w:sz="4" w:space="0"/>
            </w:tcBorders>
            <w:vAlign w:val="center"/>
          </w:tcPr>
          <w:p w14:paraId="5AE43D25">
            <w:pP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其他承诺</w:t>
            </w:r>
          </w:p>
        </w:tc>
        <w:tc>
          <w:tcPr>
            <w:tcW w:w="4016" w:type="dxa"/>
            <w:tcBorders>
              <w:top w:val="single" w:color="auto" w:sz="4" w:space="0"/>
              <w:left w:val="single" w:color="auto" w:sz="4" w:space="0"/>
              <w:bottom w:val="single" w:color="auto" w:sz="4" w:space="0"/>
              <w:right w:val="single" w:color="auto" w:sz="4" w:space="0"/>
            </w:tcBorders>
            <w:vAlign w:val="center"/>
          </w:tcPr>
          <w:p w14:paraId="010A8FC8">
            <w:pP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无</w:t>
            </w:r>
          </w:p>
        </w:tc>
        <w:tc>
          <w:tcPr>
            <w:tcW w:w="878" w:type="dxa"/>
            <w:tcBorders>
              <w:top w:val="single" w:color="auto" w:sz="4" w:space="0"/>
              <w:left w:val="single" w:color="auto" w:sz="4" w:space="0"/>
              <w:bottom w:val="single" w:color="auto" w:sz="4" w:space="0"/>
              <w:right w:val="single" w:color="auto" w:sz="4" w:space="0"/>
            </w:tcBorders>
            <w:vAlign w:val="center"/>
          </w:tcPr>
          <w:p w14:paraId="0D3AAF3F">
            <w:pPr>
              <w:rPr>
                <w:rFonts w:hint="default" w:ascii="Times New Roman" w:hAnsi="Times New Roman" w:eastAsia="宋体" w:cs="Times New Roman"/>
                <w:color w:val="auto"/>
                <w:szCs w:val="21"/>
                <w:highlight w:val="none"/>
              </w:rPr>
            </w:pPr>
          </w:p>
        </w:tc>
      </w:tr>
      <w:tr w14:paraId="37D77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720" w:type="dxa"/>
            <w:tcBorders>
              <w:top w:val="single" w:color="auto" w:sz="4" w:space="0"/>
              <w:left w:val="single" w:color="auto" w:sz="4" w:space="0"/>
              <w:bottom w:val="single" w:color="auto" w:sz="4" w:space="0"/>
              <w:right w:val="single" w:color="auto" w:sz="4" w:space="0"/>
            </w:tcBorders>
            <w:vAlign w:val="center"/>
          </w:tcPr>
          <w:p w14:paraId="01D89291">
            <w:pPr>
              <w:rPr>
                <w:rFonts w:hint="default" w:ascii="Times New Roman" w:hAnsi="Times New Roman" w:eastAsia="宋体" w:cs="Times New Roman"/>
                <w:color w:val="auto"/>
                <w:szCs w:val="21"/>
                <w:highlight w:val="none"/>
              </w:rPr>
            </w:pPr>
          </w:p>
        </w:tc>
        <w:tc>
          <w:tcPr>
            <w:tcW w:w="3758" w:type="dxa"/>
            <w:tcBorders>
              <w:top w:val="single" w:color="auto" w:sz="4" w:space="0"/>
              <w:left w:val="single" w:color="auto" w:sz="4" w:space="0"/>
              <w:bottom w:val="single" w:color="auto" w:sz="4" w:space="0"/>
              <w:right w:val="single" w:color="auto" w:sz="4" w:space="0"/>
            </w:tcBorders>
            <w:vAlign w:val="center"/>
          </w:tcPr>
          <w:p w14:paraId="6C7B7F01">
            <w:pPr>
              <w:rPr>
                <w:rFonts w:hint="default" w:ascii="Times New Roman" w:hAnsi="Times New Roman" w:eastAsia="宋体" w:cs="Times New Roman"/>
                <w:color w:val="auto"/>
                <w:szCs w:val="21"/>
                <w:highlight w:val="none"/>
              </w:rPr>
            </w:pPr>
          </w:p>
        </w:tc>
        <w:tc>
          <w:tcPr>
            <w:tcW w:w="4016" w:type="dxa"/>
            <w:tcBorders>
              <w:top w:val="single" w:color="auto" w:sz="4" w:space="0"/>
              <w:left w:val="single" w:color="auto" w:sz="4" w:space="0"/>
              <w:bottom w:val="single" w:color="auto" w:sz="4" w:space="0"/>
              <w:right w:val="single" w:color="auto" w:sz="4" w:space="0"/>
            </w:tcBorders>
            <w:vAlign w:val="center"/>
          </w:tcPr>
          <w:p w14:paraId="58C44602">
            <w:pPr>
              <w:rPr>
                <w:rFonts w:hint="default" w:ascii="Times New Roman" w:hAnsi="Times New Roman" w:eastAsia="宋体" w:cs="Times New Roman"/>
                <w:color w:val="auto"/>
                <w:szCs w:val="21"/>
                <w:highlight w:val="none"/>
              </w:rPr>
            </w:pPr>
          </w:p>
        </w:tc>
        <w:tc>
          <w:tcPr>
            <w:tcW w:w="878" w:type="dxa"/>
            <w:tcBorders>
              <w:top w:val="single" w:color="auto" w:sz="4" w:space="0"/>
              <w:left w:val="single" w:color="auto" w:sz="4" w:space="0"/>
              <w:bottom w:val="single" w:color="auto" w:sz="4" w:space="0"/>
              <w:right w:val="single" w:color="auto" w:sz="4" w:space="0"/>
            </w:tcBorders>
            <w:vAlign w:val="center"/>
          </w:tcPr>
          <w:p w14:paraId="7CBE9E9A">
            <w:pPr>
              <w:rPr>
                <w:rFonts w:hint="default" w:ascii="Times New Roman" w:hAnsi="Times New Roman" w:eastAsia="宋体" w:cs="Times New Roman"/>
                <w:color w:val="auto"/>
                <w:szCs w:val="21"/>
                <w:highlight w:val="none"/>
              </w:rPr>
            </w:pPr>
          </w:p>
        </w:tc>
      </w:tr>
    </w:tbl>
    <w:p w14:paraId="6130AD12">
      <w:pPr>
        <w:spacing w:line="360" w:lineRule="auto"/>
        <w:rPr>
          <w:rFonts w:hint="default" w:ascii="Times New Roman" w:hAnsi="Times New Roman" w:eastAsia="宋体" w:cs="Times New Roman"/>
          <w:b/>
          <w:color w:val="auto"/>
          <w:sz w:val="24"/>
          <w:szCs w:val="24"/>
          <w:highlight w:val="none"/>
          <w:lang w:val="en-US" w:eastAsia="zh-CN"/>
        </w:rPr>
      </w:pPr>
      <w:r>
        <w:rPr>
          <w:rFonts w:hint="default" w:ascii="Times New Roman" w:hAnsi="Times New Roman" w:eastAsia="宋体" w:cs="Times New Roman"/>
          <w:b/>
          <w:color w:val="auto"/>
          <w:sz w:val="24"/>
          <w:szCs w:val="24"/>
          <w:highlight w:val="none"/>
        </w:rPr>
        <w:t>承诺公司签字（盖章）：</w:t>
      </w:r>
      <w:r>
        <w:rPr>
          <w:rFonts w:hint="default" w:ascii="Times New Roman" w:hAnsi="Times New Roman" w:eastAsia="宋体" w:cs="Times New Roman"/>
          <w:b/>
          <w:color w:val="auto"/>
          <w:sz w:val="24"/>
          <w:szCs w:val="24"/>
          <w:highlight w:val="none"/>
          <w:lang w:val="en-US" w:eastAsia="zh-CN"/>
        </w:rPr>
        <w:t>河南研田仪器设备有限公司</w:t>
      </w:r>
    </w:p>
    <w:p w14:paraId="236C659B">
      <w:pPr>
        <w:spacing w:line="360" w:lineRule="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r>
        <w:rPr>
          <w:rFonts w:hint="default" w:ascii="Times New Roman" w:hAnsi="Times New Roman" w:eastAsia="宋体" w:cs="Times New Roman"/>
          <w:b/>
          <w:color w:val="auto"/>
          <w:sz w:val="24"/>
          <w:szCs w:val="24"/>
          <w:highlight w:val="none"/>
        </w:rPr>
        <w:br w:type="page"/>
      </w:r>
    </w:p>
    <w:p w14:paraId="1082AB86">
      <w:pPr>
        <w:spacing w:line="360" w:lineRule="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附件6：</w:t>
      </w:r>
    </w:p>
    <w:p w14:paraId="7FFB00B4">
      <w:pPr>
        <w:jc w:val="center"/>
        <w:rPr>
          <w:rFonts w:hint="default" w:ascii="Times New Roman" w:hAnsi="Times New Roman" w:eastAsia="宋体" w:cs="Times New Roman"/>
          <w:b/>
          <w:color w:val="auto"/>
          <w:sz w:val="36"/>
          <w:szCs w:val="36"/>
          <w:highlight w:val="none"/>
        </w:rPr>
      </w:pPr>
      <w:r>
        <w:rPr>
          <w:rFonts w:hint="default" w:ascii="Times New Roman" w:hAnsi="Times New Roman" w:eastAsia="宋体" w:cs="Times New Roman"/>
          <w:b/>
          <w:color w:val="auto"/>
          <w:sz w:val="36"/>
          <w:szCs w:val="36"/>
          <w:highlight w:val="none"/>
        </w:rPr>
        <w:t>豫财招标采购-2025-1451</w:t>
      </w:r>
      <w:r>
        <w:rPr>
          <w:rFonts w:hint="default" w:ascii="Times New Roman" w:hAnsi="Times New Roman" w:eastAsia="宋体" w:cs="Times New Roman"/>
          <w:b/>
          <w:color w:val="auto"/>
          <w:sz w:val="36"/>
          <w:szCs w:val="36"/>
          <w:highlight w:val="none"/>
          <w:lang w:val="en-US" w:eastAsia="zh-CN"/>
        </w:rPr>
        <w:t>-C包</w:t>
      </w:r>
      <w:r>
        <w:rPr>
          <w:rFonts w:hint="default" w:ascii="Times New Roman" w:hAnsi="Times New Roman" w:eastAsia="宋体" w:cs="Times New Roman"/>
          <w:b/>
          <w:color w:val="auto"/>
          <w:sz w:val="36"/>
          <w:szCs w:val="36"/>
          <w:highlight w:val="none"/>
        </w:rPr>
        <w:t>合同安装培训计划表</w:t>
      </w:r>
    </w:p>
    <w:p w14:paraId="5B56EF1A">
      <w:pPr>
        <w:snapToGrid w:val="0"/>
        <w:spacing w:line="360" w:lineRule="auto"/>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 xml:space="preserve"> </w:t>
      </w:r>
    </w:p>
    <w:tbl>
      <w:tblPr>
        <w:tblStyle w:val="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9"/>
        <w:gridCol w:w="2126"/>
        <w:gridCol w:w="6407"/>
      </w:tblGrid>
      <w:tr w14:paraId="37299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789" w:type="dxa"/>
            <w:vAlign w:val="center"/>
          </w:tcPr>
          <w:p w14:paraId="57356F93">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序号</w:t>
            </w:r>
          </w:p>
        </w:tc>
        <w:tc>
          <w:tcPr>
            <w:tcW w:w="2126" w:type="dxa"/>
            <w:vAlign w:val="center"/>
          </w:tcPr>
          <w:p w14:paraId="1B505A8A">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项目</w:t>
            </w:r>
          </w:p>
        </w:tc>
        <w:tc>
          <w:tcPr>
            <w:tcW w:w="6407" w:type="dxa"/>
            <w:vAlign w:val="center"/>
          </w:tcPr>
          <w:p w14:paraId="66EC5C57">
            <w:pPr>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具体内容</w:t>
            </w:r>
          </w:p>
        </w:tc>
      </w:tr>
      <w:tr w14:paraId="59AFF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3" w:hRule="atLeast"/>
          <w:jc w:val="center"/>
        </w:trPr>
        <w:tc>
          <w:tcPr>
            <w:tcW w:w="789" w:type="dxa"/>
            <w:vAlign w:val="center"/>
          </w:tcPr>
          <w:p w14:paraId="452C2C49">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一</w:t>
            </w:r>
          </w:p>
        </w:tc>
        <w:tc>
          <w:tcPr>
            <w:tcW w:w="2126" w:type="dxa"/>
            <w:vAlign w:val="center"/>
          </w:tcPr>
          <w:p w14:paraId="63A74598">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培训所要达到的目标</w:t>
            </w:r>
          </w:p>
        </w:tc>
        <w:tc>
          <w:tcPr>
            <w:tcW w:w="6407" w:type="dxa"/>
            <w:vAlign w:val="center"/>
          </w:tcPr>
          <w:p w14:paraId="52C02E44">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用户能够熟练操作仪器，懂得仪器的日常维护和保养。</w:t>
            </w:r>
          </w:p>
        </w:tc>
      </w:tr>
      <w:tr w14:paraId="4A29D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5" w:hRule="atLeast"/>
          <w:jc w:val="center"/>
        </w:trPr>
        <w:tc>
          <w:tcPr>
            <w:tcW w:w="789" w:type="dxa"/>
            <w:vAlign w:val="center"/>
          </w:tcPr>
          <w:p w14:paraId="0E068706">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二</w:t>
            </w:r>
          </w:p>
        </w:tc>
        <w:tc>
          <w:tcPr>
            <w:tcW w:w="2126" w:type="dxa"/>
            <w:vAlign w:val="center"/>
          </w:tcPr>
          <w:p w14:paraId="3EE4655B">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培训内容</w:t>
            </w:r>
          </w:p>
        </w:tc>
        <w:tc>
          <w:tcPr>
            <w:tcW w:w="6407" w:type="dxa"/>
            <w:vAlign w:val="center"/>
          </w:tcPr>
          <w:p w14:paraId="4396EE0B">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 xml:space="preserve"> 货物的基本机构性能，主要构件的构造及原理，日常使用操作保养与管理常见的故障排除，紧急情况处理等。</w:t>
            </w:r>
          </w:p>
        </w:tc>
      </w:tr>
      <w:tr w14:paraId="10164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7" w:hRule="atLeast"/>
          <w:jc w:val="center"/>
        </w:trPr>
        <w:tc>
          <w:tcPr>
            <w:tcW w:w="789" w:type="dxa"/>
            <w:vAlign w:val="center"/>
          </w:tcPr>
          <w:p w14:paraId="0316068F">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三</w:t>
            </w:r>
          </w:p>
        </w:tc>
        <w:tc>
          <w:tcPr>
            <w:tcW w:w="2126" w:type="dxa"/>
            <w:vAlign w:val="center"/>
          </w:tcPr>
          <w:p w14:paraId="1CC9E5F1">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培训标准</w:t>
            </w:r>
          </w:p>
        </w:tc>
        <w:tc>
          <w:tcPr>
            <w:tcW w:w="6407" w:type="dxa"/>
            <w:vAlign w:val="center"/>
          </w:tcPr>
          <w:p w14:paraId="133085B0">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厂家工程师负责仪器的整体介绍，功能应用。直到参加培训人员熟练掌握仪器的使用。</w:t>
            </w:r>
          </w:p>
        </w:tc>
      </w:tr>
      <w:tr w14:paraId="184A0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3" w:hRule="atLeast"/>
          <w:jc w:val="center"/>
        </w:trPr>
        <w:tc>
          <w:tcPr>
            <w:tcW w:w="789" w:type="dxa"/>
            <w:vAlign w:val="center"/>
          </w:tcPr>
          <w:p w14:paraId="48E33ACE">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四</w:t>
            </w:r>
          </w:p>
        </w:tc>
        <w:tc>
          <w:tcPr>
            <w:tcW w:w="2126" w:type="dxa"/>
            <w:vAlign w:val="center"/>
          </w:tcPr>
          <w:p w14:paraId="7998211C">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培训时间</w:t>
            </w:r>
          </w:p>
        </w:tc>
        <w:tc>
          <w:tcPr>
            <w:tcW w:w="6407" w:type="dxa"/>
            <w:vAlign w:val="center"/>
          </w:tcPr>
          <w:p w14:paraId="3E880220">
            <w:pPr>
              <w:ind w:firstLine="105" w:firstLineChars="50"/>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lang w:val="en-US" w:eastAsia="zh-CN"/>
              </w:rPr>
              <w:t>1</w:t>
            </w:r>
            <w:r>
              <w:rPr>
                <w:rFonts w:hint="default" w:ascii="Times New Roman" w:hAnsi="Times New Roman" w:cs="Times New Roman" w:eastAsiaTheme="minorEastAsia"/>
                <w:color w:val="auto"/>
                <w:sz w:val="21"/>
                <w:szCs w:val="21"/>
              </w:rPr>
              <w:t>-</w:t>
            </w:r>
            <w:r>
              <w:rPr>
                <w:rFonts w:hint="default" w:ascii="Times New Roman" w:hAnsi="Times New Roman" w:cs="Times New Roman" w:eastAsiaTheme="minorEastAsia"/>
                <w:color w:val="auto"/>
                <w:sz w:val="21"/>
                <w:szCs w:val="21"/>
                <w:lang w:val="en-US" w:eastAsia="zh-CN"/>
              </w:rPr>
              <w:t>2</w:t>
            </w:r>
            <w:r>
              <w:rPr>
                <w:rFonts w:hint="default" w:ascii="Times New Roman" w:hAnsi="Times New Roman" w:cs="Times New Roman" w:eastAsiaTheme="minorEastAsia"/>
                <w:color w:val="auto"/>
                <w:sz w:val="21"/>
                <w:szCs w:val="21"/>
              </w:rPr>
              <w:t>天</w:t>
            </w:r>
          </w:p>
        </w:tc>
      </w:tr>
      <w:tr w14:paraId="4B096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789" w:type="dxa"/>
            <w:vAlign w:val="center"/>
          </w:tcPr>
          <w:p w14:paraId="2AF483F7">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五</w:t>
            </w:r>
          </w:p>
        </w:tc>
        <w:tc>
          <w:tcPr>
            <w:tcW w:w="2126" w:type="dxa"/>
            <w:vAlign w:val="center"/>
          </w:tcPr>
          <w:p w14:paraId="36A8AE64">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培训人数</w:t>
            </w:r>
          </w:p>
        </w:tc>
        <w:tc>
          <w:tcPr>
            <w:tcW w:w="6407" w:type="dxa"/>
            <w:vAlign w:val="center"/>
          </w:tcPr>
          <w:p w14:paraId="7B15A4C5">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3-5人</w:t>
            </w:r>
          </w:p>
        </w:tc>
      </w:tr>
      <w:tr w14:paraId="02CD0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789" w:type="dxa"/>
            <w:vAlign w:val="center"/>
          </w:tcPr>
          <w:p w14:paraId="0ED638FA">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六</w:t>
            </w:r>
          </w:p>
        </w:tc>
        <w:tc>
          <w:tcPr>
            <w:tcW w:w="2126" w:type="dxa"/>
            <w:vAlign w:val="center"/>
          </w:tcPr>
          <w:p w14:paraId="301CFEF0">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培训费用</w:t>
            </w:r>
          </w:p>
        </w:tc>
        <w:tc>
          <w:tcPr>
            <w:tcW w:w="6407" w:type="dxa"/>
            <w:vAlign w:val="center"/>
          </w:tcPr>
          <w:p w14:paraId="3965E7A3">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乙方承担</w:t>
            </w:r>
          </w:p>
        </w:tc>
      </w:tr>
      <w:tr w14:paraId="3156D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789" w:type="dxa"/>
            <w:vAlign w:val="center"/>
          </w:tcPr>
          <w:p w14:paraId="7F6A3396">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七</w:t>
            </w:r>
          </w:p>
        </w:tc>
        <w:tc>
          <w:tcPr>
            <w:tcW w:w="2126" w:type="dxa"/>
            <w:vAlign w:val="center"/>
          </w:tcPr>
          <w:p w14:paraId="670A99C6">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培训地点</w:t>
            </w:r>
          </w:p>
        </w:tc>
        <w:tc>
          <w:tcPr>
            <w:tcW w:w="6407" w:type="dxa"/>
            <w:vAlign w:val="center"/>
          </w:tcPr>
          <w:p w14:paraId="01C9052C">
            <w:pP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甲方指定地点</w:t>
            </w:r>
          </w:p>
        </w:tc>
      </w:tr>
      <w:tr w14:paraId="2B39C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2" w:hRule="atLeast"/>
          <w:jc w:val="center"/>
        </w:trPr>
        <w:tc>
          <w:tcPr>
            <w:tcW w:w="789" w:type="dxa"/>
            <w:vAlign w:val="center"/>
          </w:tcPr>
          <w:p w14:paraId="348DFE1E">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八</w:t>
            </w:r>
          </w:p>
        </w:tc>
        <w:tc>
          <w:tcPr>
            <w:tcW w:w="2126" w:type="dxa"/>
            <w:vAlign w:val="center"/>
          </w:tcPr>
          <w:p w14:paraId="4B7978F6">
            <w:pPr>
              <w:spacing w:line="360" w:lineRule="auto"/>
              <w:jc w:val="center"/>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其他优惠政策</w:t>
            </w:r>
          </w:p>
        </w:tc>
        <w:tc>
          <w:tcPr>
            <w:tcW w:w="6407" w:type="dxa"/>
            <w:vAlign w:val="center"/>
          </w:tcPr>
          <w:p w14:paraId="5BD6E0AE">
            <w:pPr>
              <w:spacing w:line="400" w:lineRule="exact"/>
              <w:jc w:val="left"/>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质保期过后免费维护和指导</w:t>
            </w:r>
          </w:p>
        </w:tc>
      </w:tr>
    </w:tbl>
    <w:p w14:paraId="78E93B40">
      <w:pPr>
        <w:spacing w:line="360" w:lineRule="auto"/>
        <w:rPr>
          <w:rFonts w:hint="default" w:ascii="Times New Roman" w:hAnsi="Times New Roman" w:eastAsia="宋体" w:cs="Times New Roman"/>
          <w:b/>
          <w:color w:val="auto"/>
          <w:sz w:val="24"/>
          <w:szCs w:val="24"/>
          <w:highlight w:val="none"/>
        </w:rPr>
      </w:pPr>
    </w:p>
    <w:p w14:paraId="1844E733">
      <w:pPr>
        <w:spacing w:line="360" w:lineRule="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承诺公司签字（盖章）：</w:t>
      </w:r>
      <w:r>
        <w:rPr>
          <w:rFonts w:hint="default" w:ascii="Times New Roman" w:hAnsi="Times New Roman" w:eastAsia="宋体" w:cs="Times New Roman"/>
          <w:b/>
          <w:color w:val="auto"/>
          <w:sz w:val="24"/>
          <w:szCs w:val="24"/>
          <w:highlight w:val="none"/>
          <w:lang w:val="en-US" w:eastAsia="zh-CN"/>
        </w:rPr>
        <w:t>河南研田仪器设备有限公司</w:t>
      </w:r>
      <w:r>
        <w:rPr>
          <w:rFonts w:hint="default" w:ascii="Times New Roman" w:hAnsi="Times New Roman" w:eastAsia="宋体" w:cs="Times New Roman"/>
          <w:b/>
          <w:color w:val="auto"/>
          <w:sz w:val="24"/>
          <w:szCs w:val="24"/>
          <w:highlight w:val="none"/>
        </w:rPr>
        <w:t xml:space="preserve"> </w:t>
      </w:r>
    </w:p>
    <w:p w14:paraId="26663D63">
      <w:pPr>
        <w:spacing w:line="360" w:lineRule="auto"/>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4"/>
          <w:szCs w:val="24"/>
          <w:highlight w:val="none"/>
        </w:rPr>
        <w:t>联系人：</w:t>
      </w:r>
      <w:r>
        <w:rPr>
          <w:rFonts w:hint="default" w:ascii="Times New Roman" w:hAnsi="Times New Roman" w:eastAsia="宋体" w:cs="Times New Roman"/>
          <w:b/>
          <w:color w:val="auto"/>
          <w:sz w:val="24"/>
          <w:szCs w:val="24"/>
          <w:highlight w:val="none"/>
          <w:lang w:val="en-US" w:eastAsia="zh-CN"/>
        </w:rPr>
        <w:t>张远远</w:t>
      </w:r>
      <w:r>
        <w:rPr>
          <w:rFonts w:hint="default" w:ascii="Times New Roman" w:hAnsi="Times New Roman" w:eastAsia="宋体" w:cs="Times New Roman"/>
          <w:b/>
          <w:color w:val="auto"/>
          <w:szCs w:val="21"/>
          <w:highlight w:val="none"/>
        </w:rPr>
        <w:t xml:space="preserve"> </w:t>
      </w:r>
    </w:p>
    <w:p w14:paraId="3B4DB8BC">
      <w:pPr>
        <w:spacing w:line="360" w:lineRule="auto"/>
        <w:rPr>
          <w:rFonts w:hint="default" w:ascii="Times New Roman" w:hAnsi="Times New Roman" w:eastAsia="宋体" w:cs="Times New Roman"/>
          <w:b/>
          <w:color w:val="auto"/>
          <w:szCs w:val="21"/>
          <w:highlight w:val="none"/>
          <w:lang w:val="en-US" w:eastAsia="zh-CN"/>
        </w:rPr>
      </w:pPr>
      <w:r>
        <w:rPr>
          <w:rFonts w:hint="default" w:ascii="Times New Roman" w:hAnsi="Times New Roman" w:eastAsia="宋体" w:cs="Times New Roman"/>
          <w:b/>
          <w:color w:val="auto"/>
          <w:sz w:val="24"/>
          <w:szCs w:val="24"/>
          <w:highlight w:val="none"/>
        </w:rPr>
        <w:t>联系电话：</w:t>
      </w:r>
      <w:r>
        <w:rPr>
          <w:rFonts w:hint="default" w:ascii="Times New Roman" w:hAnsi="Times New Roman" w:eastAsia="宋体" w:cs="Times New Roman"/>
          <w:b/>
          <w:color w:val="auto"/>
          <w:sz w:val="24"/>
          <w:szCs w:val="24"/>
          <w:highlight w:val="none"/>
          <w:lang w:val="en-US" w:eastAsia="zh-CN"/>
        </w:rPr>
        <w:t>18625500985</w:t>
      </w:r>
    </w:p>
    <w:p w14:paraId="2FB4DFDC">
      <w:pPr>
        <w:spacing w:line="360" w:lineRule="auto"/>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 w:val="24"/>
          <w:szCs w:val="24"/>
          <w:highlight w:val="none"/>
        </w:rPr>
        <w:t>维修服务热线：</w:t>
      </w:r>
      <w:r>
        <w:rPr>
          <w:rFonts w:hint="default" w:ascii="Times New Roman" w:hAnsi="Times New Roman" w:eastAsia="宋体" w:cs="Times New Roman"/>
          <w:b/>
          <w:color w:val="auto"/>
          <w:sz w:val="24"/>
          <w:szCs w:val="24"/>
          <w:highlight w:val="none"/>
          <w:lang w:val="en-US" w:eastAsia="zh-CN"/>
        </w:rPr>
        <w:t>18625500985</w:t>
      </w:r>
    </w:p>
    <w:p w14:paraId="48FCD369">
      <w:pPr>
        <w:spacing w:line="360" w:lineRule="auto"/>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 xml:space="preserve"> </w:t>
      </w:r>
    </w:p>
    <w:p w14:paraId="264750D7">
      <w:pPr>
        <w:spacing w:line="360" w:lineRule="auto"/>
        <w:rPr>
          <w:rFonts w:hint="default" w:ascii="Times New Roman" w:hAnsi="Times New Roman" w:eastAsia="宋体" w:cs="Times New Roman"/>
          <w:b/>
          <w:color w:val="auto"/>
          <w:sz w:val="24"/>
          <w:szCs w:val="24"/>
          <w:highlight w:val="none"/>
        </w:rPr>
      </w:pPr>
    </w:p>
    <w:p w14:paraId="0EB117C3">
      <w:pPr>
        <w:spacing w:line="360" w:lineRule="auto"/>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4"/>
          <w:szCs w:val="24"/>
          <w:highlight w:val="none"/>
        </w:rPr>
        <w:t xml:space="preserve">附件7：  </w:t>
      </w:r>
      <w:r>
        <w:rPr>
          <w:rFonts w:hint="default" w:ascii="Times New Roman" w:hAnsi="Times New Roman" w:eastAsia="宋体" w:cs="Times New Roman"/>
          <w:b/>
          <w:color w:val="auto"/>
          <w:sz w:val="28"/>
          <w:szCs w:val="28"/>
          <w:highlight w:val="none"/>
        </w:rPr>
        <w:t xml:space="preserve">   济南中科电子科技有限公司售后</w:t>
      </w:r>
      <w:r>
        <w:rPr>
          <w:rFonts w:hint="default" w:ascii="Times New Roman" w:hAnsi="Times New Roman" w:eastAsia="宋体" w:cs="Times New Roman"/>
          <w:b/>
          <w:color w:val="auto"/>
          <w:sz w:val="28"/>
          <w:szCs w:val="28"/>
          <w:highlight w:val="none"/>
          <w:lang w:val="en-US" w:eastAsia="zh-CN"/>
        </w:rPr>
        <w:t>及其他</w:t>
      </w:r>
      <w:r>
        <w:rPr>
          <w:rFonts w:hint="default" w:ascii="Times New Roman" w:hAnsi="Times New Roman" w:eastAsia="宋体" w:cs="Times New Roman"/>
          <w:b/>
          <w:color w:val="auto"/>
          <w:sz w:val="28"/>
          <w:szCs w:val="28"/>
          <w:highlight w:val="none"/>
        </w:rPr>
        <w:t>服务承诺</w:t>
      </w:r>
    </w:p>
    <w:p w14:paraId="21D092F1">
      <w:pPr>
        <w:spacing w:line="360" w:lineRule="auto"/>
        <w:rPr>
          <w:rFonts w:hint="default" w:ascii="Times New Roman" w:hAnsi="Times New Roman" w:eastAsia="宋体" w:cs="Times New Roman"/>
          <w:b/>
          <w:color w:val="auto"/>
          <w:sz w:val="28"/>
          <w:szCs w:val="28"/>
          <w:highlight w:val="none"/>
          <w:lang w:eastAsia="zh-CN"/>
        </w:rPr>
      </w:pPr>
      <w:r>
        <w:rPr>
          <w:rFonts w:hint="default" w:ascii="Times New Roman" w:hAnsi="Times New Roman" w:eastAsia="宋体" w:cs="Times New Roman"/>
          <w:b/>
          <w:color w:val="auto"/>
          <w:sz w:val="28"/>
          <w:szCs w:val="28"/>
          <w:highlight w:val="none"/>
          <w:lang w:eastAsia="zh-CN"/>
        </w:rPr>
        <w:drawing>
          <wp:inline distT="0" distB="0" distL="114300" distR="114300">
            <wp:extent cx="5260340" cy="7441565"/>
            <wp:effectExtent l="0" t="0" r="16510" b="6985"/>
            <wp:docPr id="11" name="图片 11" descr="中科电子售后服务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中科电子售后服务_01"/>
                    <pic:cNvPicPr>
                      <a:picLocks noChangeAspect="1"/>
                    </pic:cNvPicPr>
                  </pic:nvPicPr>
                  <pic:blipFill>
                    <a:blip r:embed="rId12"/>
                    <a:stretch>
                      <a:fillRect/>
                    </a:stretch>
                  </pic:blipFill>
                  <pic:spPr>
                    <a:xfrm>
                      <a:off x="0" y="0"/>
                      <a:ext cx="5260340" cy="7441565"/>
                    </a:xfrm>
                    <a:prstGeom prst="rect">
                      <a:avLst/>
                    </a:prstGeom>
                  </pic:spPr>
                </pic:pic>
              </a:graphicData>
            </a:graphic>
          </wp:inline>
        </w:drawing>
      </w:r>
      <w:r>
        <w:rPr>
          <w:rFonts w:hint="default" w:ascii="Times New Roman" w:hAnsi="Times New Roman" w:eastAsia="宋体" w:cs="Times New Roman"/>
          <w:b/>
          <w:color w:val="auto"/>
          <w:sz w:val="28"/>
          <w:szCs w:val="28"/>
          <w:highlight w:val="none"/>
          <w:lang w:eastAsia="zh-CN"/>
        </w:rPr>
        <w:drawing>
          <wp:inline distT="0" distB="0" distL="114300" distR="114300">
            <wp:extent cx="5260340" cy="7441565"/>
            <wp:effectExtent l="0" t="0" r="16510" b="6985"/>
            <wp:docPr id="17" name="图片 17" descr="中科电子售后服务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中科电子售后服务_02"/>
                    <pic:cNvPicPr>
                      <a:picLocks noChangeAspect="1"/>
                    </pic:cNvPicPr>
                  </pic:nvPicPr>
                  <pic:blipFill>
                    <a:blip r:embed="rId13"/>
                    <a:stretch>
                      <a:fillRect/>
                    </a:stretch>
                  </pic:blipFill>
                  <pic:spPr>
                    <a:xfrm>
                      <a:off x="0" y="0"/>
                      <a:ext cx="5260340" cy="7441565"/>
                    </a:xfrm>
                    <a:prstGeom prst="rect">
                      <a:avLst/>
                    </a:prstGeom>
                  </pic:spPr>
                </pic:pic>
              </a:graphicData>
            </a:graphic>
          </wp:inline>
        </w:drawing>
      </w:r>
    </w:p>
    <w:p w14:paraId="43C42B40">
      <w:pPr>
        <w:spacing w:line="360" w:lineRule="auto"/>
        <w:rPr>
          <w:rFonts w:hint="default" w:ascii="Times New Roman" w:hAnsi="Times New Roman" w:eastAsia="宋体" w:cs="Times New Roman"/>
          <w:b/>
          <w:color w:val="auto"/>
          <w:sz w:val="28"/>
          <w:szCs w:val="28"/>
          <w:highlight w:val="none"/>
        </w:rPr>
        <w:sectPr>
          <w:pgSz w:w="11906" w:h="16838"/>
          <w:pgMar w:top="1440" w:right="1800" w:bottom="1440" w:left="1800" w:header="851" w:footer="992" w:gutter="0"/>
          <w:cols w:space="425" w:num="1"/>
          <w:docGrid w:type="lines" w:linePitch="312" w:charSpace="0"/>
        </w:sectPr>
      </w:pPr>
    </w:p>
    <w:p w14:paraId="0D920427">
      <w:pPr>
        <w:spacing w:line="360" w:lineRule="auto"/>
        <w:jc w:val="center"/>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lang w:val="en-US" w:eastAsia="zh-CN"/>
        </w:rPr>
        <w:t>贝克曼库尔特生物科技(苏州)有限公司</w:t>
      </w:r>
      <w:r>
        <w:rPr>
          <w:rFonts w:hint="default" w:ascii="Times New Roman" w:hAnsi="Times New Roman" w:eastAsia="宋体" w:cs="Times New Roman"/>
          <w:b/>
          <w:color w:val="auto"/>
          <w:sz w:val="28"/>
          <w:szCs w:val="28"/>
          <w:highlight w:val="none"/>
        </w:rPr>
        <w:t>售后</w:t>
      </w:r>
      <w:r>
        <w:rPr>
          <w:rFonts w:hint="default" w:ascii="Times New Roman" w:hAnsi="Times New Roman" w:eastAsia="宋体" w:cs="Times New Roman"/>
          <w:b/>
          <w:color w:val="auto"/>
          <w:sz w:val="28"/>
          <w:szCs w:val="28"/>
          <w:highlight w:val="none"/>
          <w:lang w:val="en-US" w:eastAsia="zh-CN"/>
        </w:rPr>
        <w:t>及其他</w:t>
      </w:r>
      <w:r>
        <w:rPr>
          <w:rFonts w:hint="default" w:ascii="Times New Roman" w:hAnsi="Times New Roman" w:eastAsia="宋体" w:cs="Times New Roman"/>
          <w:b/>
          <w:color w:val="auto"/>
          <w:sz w:val="28"/>
          <w:szCs w:val="28"/>
          <w:highlight w:val="none"/>
        </w:rPr>
        <w:t>服务承诺</w:t>
      </w:r>
    </w:p>
    <w:p w14:paraId="29F5646F">
      <w:pPr>
        <w:spacing w:line="360" w:lineRule="auto"/>
        <w:jc w:val="center"/>
        <w:rPr>
          <w:rFonts w:hint="default" w:ascii="Times New Roman" w:hAnsi="Times New Roman" w:eastAsia="宋体" w:cs="Times New Roman"/>
          <w:b/>
          <w:color w:val="auto"/>
          <w:sz w:val="28"/>
          <w:szCs w:val="28"/>
          <w:highlight w:val="none"/>
          <w:lang w:eastAsia="zh-CN"/>
        </w:rPr>
      </w:pPr>
      <w:r>
        <w:rPr>
          <w:rFonts w:hint="default" w:ascii="Times New Roman" w:hAnsi="Times New Roman" w:eastAsia="宋体" w:cs="Times New Roman"/>
          <w:b/>
          <w:color w:val="auto"/>
          <w:sz w:val="28"/>
          <w:szCs w:val="28"/>
          <w:highlight w:val="none"/>
          <w:lang w:eastAsia="zh-CN"/>
        </w:rPr>
        <w:drawing>
          <wp:inline distT="0" distB="0" distL="114300" distR="114300">
            <wp:extent cx="5263515" cy="7441565"/>
            <wp:effectExtent l="0" t="0" r="13335" b="6985"/>
            <wp:docPr id="18" name="图片 18" descr="贝克曼售后服务计划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贝克曼售后服务计划书_01"/>
                    <pic:cNvPicPr>
                      <a:picLocks noChangeAspect="1"/>
                    </pic:cNvPicPr>
                  </pic:nvPicPr>
                  <pic:blipFill>
                    <a:blip r:embed="rId14"/>
                    <a:stretch>
                      <a:fillRect/>
                    </a:stretch>
                  </pic:blipFill>
                  <pic:spPr>
                    <a:xfrm>
                      <a:off x="0" y="0"/>
                      <a:ext cx="5263515" cy="7441565"/>
                    </a:xfrm>
                    <a:prstGeom prst="rect">
                      <a:avLst/>
                    </a:prstGeom>
                  </pic:spPr>
                </pic:pic>
              </a:graphicData>
            </a:graphic>
          </wp:inline>
        </w:drawing>
      </w:r>
      <w:r>
        <w:rPr>
          <w:rFonts w:hint="default" w:ascii="Times New Roman" w:hAnsi="Times New Roman" w:eastAsia="宋体" w:cs="Times New Roman"/>
          <w:b/>
          <w:color w:val="auto"/>
          <w:sz w:val="28"/>
          <w:szCs w:val="28"/>
          <w:highlight w:val="none"/>
          <w:lang w:eastAsia="zh-CN"/>
        </w:rPr>
        <w:drawing>
          <wp:inline distT="0" distB="0" distL="114300" distR="114300">
            <wp:extent cx="5260340" cy="7441565"/>
            <wp:effectExtent l="0" t="0" r="16510" b="6985"/>
            <wp:docPr id="19" name="图片 19" descr="贝克曼售后服务计划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贝克曼售后服务计划书_02"/>
                    <pic:cNvPicPr>
                      <a:picLocks noChangeAspect="1"/>
                    </pic:cNvPicPr>
                  </pic:nvPicPr>
                  <pic:blipFill>
                    <a:blip r:embed="rId15"/>
                    <a:stretch>
                      <a:fillRect/>
                    </a:stretch>
                  </pic:blipFill>
                  <pic:spPr>
                    <a:xfrm>
                      <a:off x="0" y="0"/>
                      <a:ext cx="5260340" cy="7441565"/>
                    </a:xfrm>
                    <a:prstGeom prst="rect">
                      <a:avLst/>
                    </a:prstGeom>
                  </pic:spPr>
                </pic:pic>
              </a:graphicData>
            </a:graphic>
          </wp:inline>
        </w:drawing>
      </w:r>
      <w:r>
        <w:rPr>
          <w:rFonts w:hint="default" w:ascii="Times New Roman" w:hAnsi="Times New Roman" w:eastAsia="宋体" w:cs="Times New Roman"/>
          <w:b/>
          <w:color w:val="auto"/>
          <w:sz w:val="28"/>
          <w:szCs w:val="28"/>
          <w:highlight w:val="none"/>
          <w:lang w:eastAsia="zh-CN"/>
        </w:rPr>
        <w:drawing>
          <wp:inline distT="0" distB="0" distL="114300" distR="114300">
            <wp:extent cx="5260340" cy="7441565"/>
            <wp:effectExtent l="0" t="0" r="16510" b="6985"/>
            <wp:docPr id="20" name="图片 20" descr="贝克曼售后服务计划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贝克曼售后服务计划书_03"/>
                    <pic:cNvPicPr>
                      <a:picLocks noChangeAspect="1"/>
                    </pic:cNvPicPr>
                  </pic:nvPicPr>
                  <pic:blipFill>
                    <a:blip r:embed="rId16"/>
                    <a:stretch>
                      <a:fillRect/>
                    </a:stretch>
                  </pic:blipFill>
                  <pic:spPr>
                    <a:xfrm>
                      <a:off x="0" y="0"/>
                      <a:ext cx="5260340" cy="7441565"/>
                    </a:xfrm>
                    <a:prstGeom prst="rect">
                      <a:avLst/>
                    </a:prstGeom>
                  </pic:spPr>
                </pic:pic>
              </a:graphicData>
            </a:graphic>
          </wp:inline>
        </w:drawing>
      </w:r>
    </w:p>
    <w:p w14:paraId="207C2553">
      <w:pPr>
        <w:spacing w:line="360" w:lineRule="auto"/>
        <w:jc w:val="center"/>
        <w:rPr>
          <w:rFonts w:hint="default" w:ascii="Times New Roman" w:hAnsi="Times New Roman" w:eastAsia="宋体" w:cs="Times New Roman"/>
          <w:b/>
          <w:color w:val="auto"/>
          <w:sz w:val="28"/>
          <w:szCs w:val="28"/>
          <w:highlight w:val="none"/>
          <w:lang w:eastAsia="zh-CN"/>
        </w:rPr>
      </w:pPr>
    </w:p>
    <w:p w14:paraId="7CB8344A">
      <w:pPr>
        <w:spacing w:line="360" w:lineRule="auto"/>
        <w:jc w:val="center"/>
        <w:rPr>
          <w:rFonts w:hint="default" w:ascii="Times New Roman" w:hAnsi="Times New Roman" w:eastAsia="宋体" w:cs="Times New Roman"/>
          <w:b/>
          <w:color w:val="auto"/>
          <w:sz w:val="28"/>
          <w:szCs w:val="28"/>
          <w:highlight w:val="none"/>
          <w:lang w:eastAsia="zh-CN"/>
        </w:rPr>
      </w:pPr>
    </w:p>
    <w:p w14:paraId="3BFEBA74">
      <w:pPr>
        <w:spacing w:line="360" w:lineRule="auto"/>
        <w:jc w:val="center"/>
        <w:rPr>
          <w:rFonts w:hint="default" w:ascii="Times New Roman" w:hAnsi="Times New Roman" w:eastAsia="宋体" w:cs="Times New Roman"/>
          <w:b/>
          <w:color w:val="auto"/>
          <w:sz w:val="28"/>
          <w:szCs w:val="28"/>
          <w:highlight w:val="none"/>
          <w:lang w:eastAsia="zh-CN"/>
        </w:rPr>
      </w:pPr>
    </w:p>
    <w:p w14:paraId="07A0C446">
      <w:pPr>
        <w:spacing w:line="360" w:lineRule="auto"/>
        <w:jc w:val="center"/>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rPr>
        <w:t>山东艾克韦生物技术有限公司售后</w:t>
      </w:r>
      <w:r>
        <w:rPr>
          <w:rFonts w:hint="default" w:ascii="Times New Roman" w:hAnsi="Times New Roman" w:eastAsia="宋体" w:cs="Times New Roman"/>
          <w:b/>
          <w:color w:val="auto"/>
          <w:sz w:val="28"/>
          <w:szCs w:val="28"/>
          <w:highlight w:val="none"/>
          <w:lang w:val="en-US" w:eastAsia="zh-CN"/>
        </w:rPr>
        <w:t>及其他</w:t>
      </w:r>
      <w:r>
        <w:rPr>
          <w:rFonts w:hint="default" w:ascii="Times New Roman" w:hAnsi="Times New Roman" w:eastAsia="宋体" w:cs="Times New Roman"/>
          <w:b/>
          <w:color w:val="auto"/>
          <w:sz w:val="28"/>
          <w:szCs w:val="28"/>
          <w:highlight w:val="none"/>
        </w:rPr>
        <w:t>服务承诺</w:t>
      </w:r>
    </w:p>
    <w:p w14:paraId="7FD0070E">
      <w:pPr>
        <w:spacing w:line="360" w:lineRule="auto"/>
        <w:jc w:val="center"/>
        <w:rPr>
          <w:rFonts w:hint="default" w:ascii="Times New Roman" w:hAnsi="Times New Roman" w:eastAsia="宋体" w:cs="Times New Roman"/>
          <w:b/>
          <w:color w:val="auto"/>
          <w:sz w:val="28"/>
          <w:szCs w:val="28"/>
          <w:highlight w:val="none"/>
          <w:lang w:eastAsia="zh-CN"/>
        </w:rPr>
      </w:pPr>
      <w:r>
        <w:rPr>
          <w:rFonts w:hint="default" w:ascii="Times New Roman" w:hAnsi="Times New Roman" w:eastAsia="宋体" w:cs="Times New Roman"/>
          <w:b/>
          <w:color w:val="auto"/>
          <w:sz w:val="28"/>
          <w:szCs w:val="28"/>
          <w:highlight w:val="none"/>
          <w:lang w:eastAsia="zh-CN"/>
        </w:rPr>
        <w:drawing>
          <wp:inline distT="0" distB="0" distL="114300" distR="114300">
            <wp:extent cx="5263515" cy="7441565"/>
            <wp:effectExtent l="0" t="0" r="13335" b="6985"/>
            <wp:docPr id="21" name="图片 21" descr="活细胞售后服务承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活细胞售后服务承诺_01"/>
                    <pic:cNvPicPr>
                      <a:picLocks noChangeAspect="1"/>
                    </pic:cNvPicPr>
                  </pic:nvPicPr>
                  <pic:blipFill>
                    <a:blip r:embed="rId17"/>
                    <a:stretch>
                      <a:fillRect/>
                    </a:stretch>
                  </pic:blipFill>
                  <pic:spPr>
                    <a:xfrm>
                      <a:off x="0" y="0"/>
                      <a:ext cx="5263515" cy="7441565"/>
                    </a:xfrm>
                    <a:prstGeom prst="rect">
                      <a:avLst/>
                    </a:prstGeom>
                  </pic:spPr>
                </pic:pic>
              </a:graphicData>
            </a:graphic>
          </wp:inline>
        </w:drawing>
      </w:r>
    </w:p>
    <w:p w14:paraId="13B4E750">
      <w:pPr>
        <w:spacing w:line="360" w:lineRule="auto"/>
        <w:jc w:val="center"/>
        <w:rPr>
          <w:rFonts w:hint="default" w:ascii="Times New Roman" w:hAnsi="Times New Roman" w:eastAsia="宋体" w:cs="Times New Roman"/>
          <w:b/>
          <w:color w:val="auto"/>
          <w:sz w:val="28"/>
          <w:szCs w:val="28"/>
          <w:highlight w:val="none"/>
          <w:lang w:eastAsia="zh-CN"/>
        </w:rPr>
      </w:pPr>
    </w:p>
    <w:p w14:paraId="66C42640">
      <w:pPr>
        <w:spacing w:line="360" w:lineRule="auto"/>
        <w:jc w:val="center"/>
        <w:rPr>
          <w:rFonts w:hint="default" w:ascii="Times New Roman" w:hAnsi="Times New Roman" w:eastAsia="宋体" w:cs="Times New Roman"/>
          <w:b/>
          <w:color w:val="auto"/>
          <w:sz w:val="28"/>
          <w:szCs w:val="28"/>
          <w:highlight w:val="none"/>
          <w:lang w:eastAsia="zh-CN"/>
        </w:rPr>
        <w:sectPr>
          <w:pgSz w:w="11906" w:h="16838"/>
          <w:pgMar w:top="1440" w:right="1800" w:bottom="1440" w:left="1800" w:header="851" w:footer="992" w:gutter="0"/>
          <w:cols w:space="425" w:num="1"/>
          <w:docGrid w:type="lines" w:linePitch="312" w:charSpace="0"/>
        </w:sectPr>
      </w:pPr>
    </w:p>
    <w:p w14:paraId="67A59C5A">
      <w:pPr>
        <w:spacing w:line="360" w:lineRule="auto"/>
        <w:jc w:val="center"/>
        <w:rPr>
          <w:rFonts w:hint="default" w:ascii="Times New Roman" w:hAnsi="Times New Roman" w:eastAsia="宋体" w:cs="Times New Roman"/>
          <w:b/>
          <w:color w:val="auto"/>
          <w:sz w:val="28"/>
          <w:szCs w:val="28"/>
          <w:highlight w:val="none"/>
        </w:rPr>
      </w:pPr>
      <w:r>
        <w:rPr>
          <w:rFonts w:hint="default" w:ascii="Times New Roman" w:hAnsi="Times New Roman" w:eastAsia="宋体" w:cs="Times New Roman"/>
          <w:b/>
          <w:color w:val="auto"/>
          <w:sz w:val="28"/>
          <w:szCs w:val="28"/>
          <w:highlight w:val="none"/>
          <w:lang w:val="en-US" w:eastAsia="zh-CN"/>
        </w:rPr>
        <w:t>上海贝晶生物技术有限公司</w:t>
      </w:r>
      <w:r>
        <w:rPr>
          <w:rFonts w:hint="default" w:ascii="Times New Roman" w:hAnsi="Times New Roman" w:eastAsia="宋体" w:cs="Times New Roman"/>
          <w:b/>
          <w:color w:val="auto"/>
          <w:sz w:val="28"/>
          <w:szCs w:val="28"/>
          <w:highlight w:val="none"/>
        </w:rPr>
        <w:t>售后</w:t>
      </w:r>
      <w:r>
        <w:rPr>
          <w:rFonts w:hint="default" w:ascii="Times New Roman" w:hAnsi="Times New Roman" w:eastAsia="宋体" w:cs="Times New Roman"/>
          <w:b/>
          <w:color w:val="auto"/>
          <w:sz w:val="28"/>
          <w:szCs w:val="28"/>
          <w:highlight w:val="none"/>
          <w:lang w:val="en-US" w:eastAsia="zh-CN"/>
        </w:rPr>
        <w:t>及其他</w:t>
      </w:r>
      <w:r>
        <w:rPr>
          <w:rFonts w:hint="default" w:ascii="Times New Roman" w:hAnsi="Times New Roman" w:eastAsia="宋体" w:cs="Times New Roman"/>
          <w:b/>
          <w:color w:val="auto"/>
          <w:sz w:val="28"/>
          <w:szCs w:val="28"/>
          <w:highlight w:val="none"/>
        </w:rPr>
        <w:t>服务承诺</w:t>
      </w:r>
    </w:p>
    <w:p w14:paraId="505DC295">
      <w:pPr>
        <w:spacing w:line="360" w:lineRule="auto"/>
        <w:jc w:val="center"/>
        <w:rPr>
          <w:rFonts w:hint="default" w:ascii="Times New Roman" w:hAnsi="Times New Roman" w:eastAsia="宋体" w:cs="Times New Roman"/>
          <w:b/>
          <w:color w:val="auto"/>
          <w:sz w:val="28"/>
          <w:szCs w:val="28"/>
          <w:highlight w:val="none"/>
          <w:lang w:eastAsia="zh-CN"/>
        </w:rPr>
      </w:pPr>
      <w:r>
        <w:rPr>
          <w:rFonts w:hint="default" w:ascii="Times New Roman" w:hAnsi="Times New Roman" w:eastAsia="宋体" w:cs="Times New Roman"/>
          <w:b/>
          <w:color w:val="auto"/>
          <w:sz w:val="28"/>
          <w:szCs w:val="28"/>
          <w:highlight w:val="none"/>
          <w:lang w:eastAsia="zh-CN"/>
        </w:rPr>
        <w:drawing>
          <wp:inline distT="0" distB="0" distL="114300" distR="114300">
            <wp:extent cx="5267325" cy="7434580"/>
            <wp:effectExtent l="0" t="0" r="9525" b="13970"/>
            <wp:docPr id="2" name="图片 2" descr="贝晶资质(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贝晶资质(2)_04"/>
                    <pic:cNvPicPr>
                      <a:picLocks noChangeAspect="1"/>
                    </pic:cNvPicPr>
                  </pic:nvPicPr>
                  <pic:blipFill>
                    <a:blip r:embed="rId18"/>
                    <a:stretch>
                      <a:fillRect/>
                    </a:stretch>
                  </pic:blipFill>
                  <pic:spPr>
                    <a:xfrm>
                      <a:off x="0" y="0"/>
                      <a:ext cx="5267325" cy="7434580"/>
                    </a:xfrm>
                    <a:prstGeom prst="rect">
                      <a:avLst/>
                    </a:prstGeom>
                  </pic:spPr>
                </pic:pic>
              </a:graphicData>
            </a:graphic>
          </wp:inline>
        </w:drawing>
      </w:r>
      <w:r>
        <w:rPr>
          <w:rFonts w:hint="default" w:ascii="Times New Roman" w:hAnsi="Times New Roman" w:eastAsia="宋体" w:cs="Times New Roman"/>
          <w:b/>
          <w:color w:val="auto"/>
          <w:sz w:val="28"/>
          <w:szCs w:val="28"/>
          <w:highlight w:val="none"/>
          <w:lang w:eastAsia="zh-CN"/>
        </w:rPr>
        <w:drawing>
          <wp:inline distT="0" distB="0" distL="114300" distR="114300">
            <wp:extent cx="5267325" cy="7434580"/>
            <wp:effectExtent l="0" t="0" r="9525" b="13970"/>
            <wp:docPr id="3" name="图片 3" descr="贝晶资质(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贝晶资质(2)_05"/>
                    <pic:cNvPicPr>
                      <a:picLocks noChangeAspect="1"/>
                    </pic:cNvPicPr>
                  </pic:nvPicPr>
                  <pic:blipFill>
                    <a:blip r:embed="rId19"/>
                    <a:stretch>
                      <a:fillRect/>
                    </a:stretch>
                  </pic:blipFill>
                  <pic:spPr>
                    <a:xfrm>
                      <a:off x="0" y="0"/>
                      <a:ext cx="5267325" cy="7434580"/>
                    </a:xfrm>
                    <a:prstGeom prst="rect">
                      <a:avLst/>
                    </a:prstGeom>
                  </pic:spPr>
                </pic:pic>
              </a:graphicData>
            </a:graphic>
          </wp:inline>
        </w:drawing>
      </w:r>
      <w:r>
        <w:rPr>
          <w:rFonts w:hint="default" w:ascii="Times New Roman" w:hAnsi="Times New Roman" w:eastAsia="宋体" w:cs="Times New Roman"/>
          <w:b/>
          <w:color w:val="auto"/>
          <w:sz w:val="28"/>
          <w:szCs w:val="28"/>
          <w:highlight w:val="none"/>
          <w:lang w:eastAsia="zh-CN"/>
        </w:rPr>
        <w:drawing>
          <wp:inline distT="0" distB="0" distL="114300" distR="114300">
            <wp:extent cx="5267325" cy="7434580"/>
            <wp:effectExtent l="0" t="0" r="9525" b="13970"/>
            <wp:docPr id="6" name="图片 6" descr="贝晶资质(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贝晶资质(2)_06"/>
                    <pic:cNvPicPr>
                      <a:picLocks noChangeAspect="1"/>
                    </pic:cNvPicPr>
                  </pic:nvPicPr>
                  <pic:blipFill>
                    <a:blip r:embed="rId20"/>
                    <a:stretch>
                      <a:fillRect/>
                    </a:stretch>
                  </pic:blipFill>
                  <pic:spPr>
                    <a:xfrm>
                      <a:off x="0" y="0"/>
                      <a:ext cx="5267325" cy="7434580"/>
                    </a:xfrm>
                    <a:prstGeom prst="rect">
                      <a:avLst/>
                    </a:prstGeom>
                  </pic:spPr>
                </pic:pic>
              </a:graphicData>
            </a:graphic>
          </wp:inline>
        </w:drawing>
      </w:r>
    </w:p>
    <w:p w14:paraId="545EEBD3">
      <w:pPr>
        <w:spacing w:line="360" w:lineRule="auto"/>
        <w:jc w:val="center"/>
        <w:rPr>
          <w:rFonts w:hint="default" w:ascii="Times New Roman" w:hAnsi="Times New Roman" w:eastAsia="宋体" w:cs="Times New Roman"/>
          <w:b/>
          <w:color w:val="auto"/>
          <w:sz w:val="28"/>
          <w:szCs w:val="28"/>
          <w:highlight w:val="none"/>
          <w:lang w:val="en-US" w:eastAsia="zh-CN"/>
        </w:rPr>
      </w:pPr>
      <w:r>
        <w:rPr>
          <w:rFonts w:hint="default" w:ascii="Times New Roman" w:hAnsi="Times New Roman" w:eastAsia="宋体" w:cs="Times New Roman"/>
          <w:b/>
          <w:color w:val="auto"/>
          <w:sz w:val="28"/>
          <w:szCs w:val="28"/>
          <w:highlight w:val="none"/>
          <w:lang w:val="en-US" w:eastAsia="zh-CN"/>
        </w:rPr>
        <w:drawing>
          <wp:inline distT="0" distB="0" distL="114300" distR="114300">
            <wp:extent cx="5273040" cy="7515860"/>
            <wp:effectExtent l="0" t="0" r="3810" b="8890"/>
            <wp:docPr id="8" name="图片 8" descr="提取自豫财招标采购-2025-1451-C包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提取自豫财招标采购-2025-1451-C包合同_01"/>
                    <pic:cNvPicPr>
                      <a:picLocks noChangeAspect="1"/>
                    </pic:cNvPicPr>
                  </pic:nvPicPr>
                  <pic:blipFill>
                    <a:blip r:embed="rId21"/>
                    <a:stretch>
                      <a:fillRect/>
                    </a:stretch>
                  </pic:blipFill>
                  <pic:spPr>
                    <a:xfrm>
                      <a:off x="0" y="0"/>
                      <a:ext cx="5273040" cy="751586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63"/>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D76446">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7F1E94">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267F1E94">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31A3934"/>
    <w:rsid w:val="07D96C64"/>
    <w:rsid w:val="0D374B59"/>
    <w:rsid w:val="106F63B8"/>
    <w:rsid w:val="10944070"/>
    <w:rsid w:val="11C75D80"/>
    <w:rsid w:val="167D1103"/>
    <w:rsid w:val="16DC22CD"/>
    <w:rsid w:val="1752258F"/>
    <w:rsid w:val="194D1260"/>
    <w:rsid w:val="19CF0214"/>
    <w:rsid w:val="19D43730"/>
    <w:rsid w:val="1A11228E"/>
    <w:rsid w:val="1B812AD3"/>
    <w:rsid w:val="1C093B64"/>
    <w:rsid w:val="1D686669"/>
    <w:rsid w:val="1E18008F"/>
    <w:rsid w:val="1F20735B"/>
    <w:rsid w:val="24247062"/>
    <w:rsid w:val="269E134D"/>
    <w:rsid w:val="273B6B9C"/>
    <w:rsid w:val="278C389C"/>
    <w:rsid w:val="2CE675AA"/>
    <w:rsid w:val="2CF021D7"/>
    <w:rsid w:val="2FF65D56"/>
    <w:rsid w:val="32737B32"/>
    <w:rsid w:val="391A5C16"/>
    <w:rsid w:val="3D0870C9"/>
    <w:rsid w:val="3E263CAA"/>
    <w:rsid w:val="3E3C3655"/>
    <w:rsid w:val="3E7A5DA4"/>
    <w:rsid w:val="3F684D53"/>
    <w:rsid w:val="42D068DB"/>
    <w:rsid w:val="470C6019"/>
    <w:rsid w:val="4EFB41B1"/>
    <w:rsid w:val="4FC46C6B"/>
    <w:rsid w:val="5100038B"/>
    <w:rsid w:val="512A0265"/>
    <w:rsid w:val="51510226"/>
    <w:rsid w:val="537258E4"/>
    <w:rsid w:val="574A05B2"/>
    <w:rsid w:val="5E18783F"/>
    <w:rsid w:val="5F3538F6"/>
    <w:rsid w:val="5F48187B"/>
    <w:rsid w:val="634C5D33"/>
    <w:rsid w:val="65255D4F"/>
    <w:rsid w:val="66DB4D83"/>
    <w:rsid w:val="68E65C61"/>
    <w:rsid w:val="70671D7D"/>
    <w:rsid w:val="7141612A"/>
    <w:rsid w:val="726227FC"/>
    <w:rsid w:val="78A94872"/>
    <w:rsid w:val="7B227565"/>
    <w:rsid w:val="7B917CAE"/>
    <w:rsid w:val="7C4371FA"/>
    <w:rsid w:val="7DBA173E"/>
    <w:rsid w:val="7F2570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styleId="5">
    <w:name w:val="Table Grid"/>
    <w:basedOn w:val="4"/>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7">
    <w:name w:val="List Paragraph"/>
    <w:basedOn w:val="1"/>
    <w:autoRedefine/>
    <w:qFormat/>
    <w:uiPriority w:val="34"/>
    <w:pPr>
      <w:ind w:firstLine="420" w:firstLineChars="200"/>
    </w:pPr>
  </w:style>
  <w:style w:type="character" w:customStyle="1" w:styleId="8">
    <w:name w:val="font11"/>
    <w:basedOn w:val="6"/>
    <w:qFormat/>
    <w:uiPriority w:val="0"/>
    <w:rPr>
      <w:rFonts w:hint="eastAsia" w:ascii="仿宋" w:hAnsi="仿宋" w:eastAsia="仿宋" w:cs="仿宋"/>
      <w:color w:val="000000"/>
      <w:sz w:val="22"/>
      <w:szCs w:val="22"/>
      <w:u w:val="none"/>
    </w:rPr>
  </w:style>
  <w:style w:type="character" w:customStyle="1" w:styleId="9">
    <w:name w:val="font21"/>
    <w:basedOn w:val="6"/>
    <w:qFormat/>
    <w:uiPriority w:val="0"/>
    <w:rPr>
      <w:rFonts w:hint="eastAsia" w:ascii="仿宋" w:hAnsi="仿宋" w:eastAsia="仿宋" w:cs="仿宋"/>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3" Type="http://schemas.openxmlformats.org/officeDocument/2006/relationships/fontTable" Target="fontTable.xml"/><Relationship Id="rId22" Type="http://schemas.openxmlformats.org/officeDocument/2006/relationships/customXml" Target="../customXml/item1.xml"/><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38</Pages>
  <Words>6338</Words>
  <Characters>6891</Characters>
  <Lines>0</Lines>
  <Paragraphs>0</Paragraphs>
  <TotalTime>8</TotalTime>
  <ScaleCrop>false</ScaleCrop>
  <LinksUpToDate>false</LinksUpToDate>
  <CharactersWithSpaces>7522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2026-01-25T13:40:00Z</dcterms:created>
  <dc:creator>Administrator</dc:creator>
  <cp:lastModifiedBy>张远</cp:lastModifiedBy>
  <dcterms:modified xsi:type="dcterms:W3CDTF">2026-02-08T15:57:50Z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TemplateDocerSaveRecord">
    <vt:lpwstr>eyJoZGlkIjoiNGY3ODZiZWQ4YTlmMDk2OGI4ODIyYzA2NzUzZjA1NWEiLCJ1c2VySWQiOiI4MjE4MzI1MjcifQ==</vt:lpwstr>
  </property>
  <property fmtid="{D5CDD505-2E9C-101B-9397-08002B2CF9AE}" pid="4" name="ICV">
    <vt:lpwstr>A24B2B2AF26B4DE49795301254FA0DAE_13</vt:lpwstr>
  </property>
</Properties>
</file>