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F31D9">
      <w:pPr>
        <w:pStyle w:val="2"/>
        <w:pageBreakBefore w:val="0"/>
        <w:numPr>
          <w:ilvl w:val="0"/>
          <w:numId w:val="0"/>
        </w:numPr>
        <w:kinsoku/>
        <w:overflowPunct/>
        <w:bidi w:val="0"/>
        <w:spacing w:line="360" w:lineRule="auto"/>
        <w:jc w:val="center"/>
        <w:rPr>
          <w:rStyle w:val="7"/>
          <w:rFonts w:hint="eastAsia" w:ascii="宋体" w:hAnsi="宋体" w:cs="宋体"/>
          <w:b/>
          <w:color w:val="auto"/>
          <w:szCs w:val="22"/>
          <w:highlight w:val="none"/>
          <w:lang w:val="en-US" w:eastAsia="zh-CN" w:bidi="ar-SA"/>
        </w:rPr>
      </w:pPr>
      <w:bookmarkStart w:id="0" w:name="_Toc21852"/>
      <w:bookmarkStart w:id="1" w:name="_Toc15725"/>
      <w:bookmarkStart w:id="2" w:name="_Toc29908"/>
      <w:r>
        <w:rPr>
          <w:rStyle w:val="7"/>
          <w:rFonts w:hint="eastAsia" w:ascii="宋体" w:hAnsi="宋体" w:cs="宋体"/>
          <w:b/>
          <w:color w:val="auto"/>
          <w:szCs w:val="22"/>
          <w:highlight w:val="none"/>
          <w:lang w:val="en-US" w:eastAsia="zh-CN" w:bidi="ar-SA"/>
        </w:rPr>
        <w:t>包1采购需求</w:t>
      </w:r>
      <w:bookmarkEnd w:id="0"/>
      <w:bookmarkEnd w:id="1"/>
      <w:bookmarkEnd w:id="2"/>
    </w:p>
    <w:p w14:paraId="71CBC459">
      <w:pPr>
        <w:bidi w:val="0"/>
        <w:spacing w:line="360" w:lineRule="auto"/>
        <w:ind w:firstLine="422" w:firstLineChars="200"/>
        <w:jc w:val="center"/>
        <w:rPr>
          <w:rFonts w:hint="eastAsia" w:ascii="宋体" w:hAnsi="宋体" w:eastAsia="宋体" w:cs="宋体"/>
          <w:b/>
          <w:bCs/>
          <w:color w:val="auto"/>
          <w:sz w:val="21"/>
          <w:szCs w:val="21"/>
          <w:highlight w:val="none"/>
          <w:lang w:val="en-US" w:eastAsia="zh-CN"/>
        </w:rPr>
      </w:pPr>
      <w:bookmarkStart w:id="3" w:name="_Toc256000038"/>
      <w:bookmarkStart w:id="4" w:name="_Toc27117739"/>
      <w:bookmarkStart w:id="5" w:name="_Toc8229"/>
      <w:bookmarkStart w:id="6" w:name="_Toc184221698"/>
      <w:r>
        <w:rPr>
          <w:rFonts w:hint="eastAsia" w:ascii="宋体" w:hAnsi="宋体" w:eastAsia="宋体" w:cs="宋体"/>
          <w:b/>
          <w:bCs/>
          <w:color w:val="auto"/>
          <w:sz w:val="21"/>
          <w:szCs w:val="21"/>
          <w:highlight w:val="none"/>
          <w:lang w:val="en-US" w:eastAsia="zh-CN"/>
        </w:rPr>
        <w:t>第一节 采购清单一览表</w:t>
      </w:r>
      <w:bookmarkEnd w:id="3"/>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108"/>
        <w:gridCol w:w="5425"/>
        <w:gridCol w:w="844"/>
        <w:gridCol w:w="849"/>
      </w:tblGrid>
      <w:tr w14:paraId="5406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1B8D700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597" w:type="pct"/>
            <w:tcBorders>
              <w:top w:val="single" w:color="auto" w:sz="4" w:space="0"/>
              <w:left w:val="single" w:color="auto" w:sz="4" w:space="0"/>
              <w:bottom w:val="single" w:color="auto" w:sz="4" w:space="0"/>
              <w:right w:val="single" w:color="auto" w:sz="4" w:space="0"/>
            </w:tcBorders>
            <w:vAlign w:val="center"/>
          </w:tcPr>
          <w:p w14:paraId="5B6428FB">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分项项目名称</w:t>
            </w:r>
          </w:p>
        </w:tc>
        <w:tc>
          <w:tcPr>
            <w:tcW w:w="2922" w:type="pct"/>
            <w:tcBorders>
              <w:top w:val="single" w:color="auto" w:sz="4" w:space="0"/>
              <w:left w:val="single" w:color="auto" w:sz="4" w:space="0"/>
              <w:bottom w:val="single" w:color="auto" w:sz="4" w:space="0"/>
              <w:right w:val="single" w:color="auto" w:sz="4" w:space="0"/>
            </w:tcBorders>
            <w:vAlign w:val="center"/>
          </w:tcPr>
          <w:p w14:paraId="2D08322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455" w:type="pct"/>
            <w:tcBorders>
              <w:top w:val="single" w:color="auto" w:sz="4" w:space="0"/>
              <w:left w:val="single" w:color="auto" w:sz="4" w:space="0"/>
              <w:bottom w:val="single" w:color="auto" w:sz="4" w:space="0"/>
              <w:right w:val="single" w:color="auto" w:sz="4" w:space="0"/>
            </w:tcBorders>
            <w:vAlign w:val="center"/>
          </w:tcPr>
          <w:p w14:paraId="1764397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455" w:type="pct"/>
            <w:tcBorders>
              <w:top w:val="single" w:color="auto" w:sz="4" w:space="0"/>
              <w:left w:val="single" w:color="auto" w:sz="4" w:space="0"/>
              <w:bottom w:val="single" w:color="auto" w:sz="4" w:space="0"/>
              <w:right w:val="single" w:color="auto" w:sz="4" w:space="0"/>
            </w:tcBorders>
            <w:vAlign w:val="center"/>
          </w:tcPr>
          <w:p w14:paraId="24150C3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r>
      <w:tr w14:paraId="5DF8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F32022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431" w:type="pct"/>
            <w:gridSpan w:val="4"/>
            <w:tcBorders>
              <w:top w:val="single" w:color="auto" w:sz="4" w:space="0"/>
              <w:left w:val="single" w:color="auto" w:sz="4" w:space="0"/>
              <w:bottom w:val="single" w:color="auto" w:sz="4" w:space="0"/>
              <w:right w:val="single" w:color="auto" w:sz="4" w:space="0"/>
            </w:tcBorders>
            <w:vAlign w:val="center"/>
          </w:tcPr>
          <w:p w14:paraId="6DE793E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GIS地图</w:t>
            </w:r>
          </w:p>
        </w:tc>
      </w:tr>
      <w:tr w14:paraId="1090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0020655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597" w:type="pct"/>
            <w:vMerge w:val="restart"/>
            <w:tcBorders>
              <w:top w:val="single" w:color="auto" w:sz="4" w:space="0"/>
              <w:left w:val="single" w:color="auto" w:sz="4" w:space="0"/>
              <w:right w:val="single" w:color="auto" w:sz="4" w:space="0"/>
            </w:tcBorders>
            <w:vAlign w:val="center"/>
          </w:tcPr>
          <w:p w14:paraId="2BE00237">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数据管理</w:t>
            </w:r>
          </w:p>
        </w:tc>
        <w:tc>
          <w:tcPr>
            <w:tcW w:w="2922" w:type="pct"/>
            <w:tcBorders>
              <w:top w:val="single" w:color="auto" w:sz="4" w:space="0"/>
              <w:left w:val="single" w:color="auto" w:sz="4" w:space="0"/>
              <w:bottom w:val="single" w:color="auto" w:sz="4" w:space="0"/>
              <w:right w:val="single" w:color="auto" w:sz="4" w:space="0"/>
            </w:tcBorders>
            <w:vAlign w:val="center"/>
          </w:tcPr>
          <w:p w14:paraId="2EDF5D6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数据接入</w:t>
            </w:r>
          </w:p>
        </w:tc>
        <w:tc>
          <w:tcPr>
            <w:tcW w:w="455" w:type="pct"/>
            <w:tcBorders>
              <w:top w:val="single" w:color="auto" w:sz="4" w:space="0"/>
              <w:left w:val="single" w:color="auto" w:sz="4" w:space="0"/>
              <w:bottom w:val="single" w:color="auto" w:sz="4" w:space="0"/>
              <w:right w:val="single" w:color="auto" w:sz="4" w:space="0"/>
            </w:tcBorders>
            <w:vAlign w:val="center"/>
          </w:tcPr>
          <w:p w14:paraId="790110D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5B08854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0174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7B65D78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97" w:type="pct"/>
            <w:vMerge w:val="continue"/>
            <w:tcBorders>
              <w:left w:val="single" w:color="auto" w:sz="4" w:space="0"/>
              <w:right w:val="single" w:color="auto" w:sz="4" w:space="0"/>
            </w:tcBorders>
            <w:vAlign w:val="center"/>
          </w:tcPr>
          <w:p w14:paraId="259E8066">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E2028C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平台门户</w:t>
            </w:r>
          </w:p>
        </w:tc>
        <w:tc>
          <w:tcPr>
            <w:tcW w:w="455" w:type="pct"/>
            <w:tcBorders>
              <w:top w:val="single" w:color="auto" w:sz="4" w:space="0"/>
              <w:left w:val="single" w:color="auto" w:sz="4" w:space="0"/>
              <w:bottom w:val="single" w:color="auto" w:sz="4" w:space="0"/>
              <w:right w:val="single" w:color="auto" w:sz="4" w:space="0"/>
            </w:tcBorders>
            <w:vAlign w:val="center"/>
          </w:tcPr>
          <w:p w14:paraId="193711B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FF4C54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AE6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74BB0A4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597" w:type="pct"/>
            <w:vMerge w:val="continue"/>
            <w:tcBorders>
              <w:left w:val="single" w:color="auto" w:sz="4" w:space="0"/>
              <w:right w:val="single" w:color="auto" w:sz="4" w:space="0"/>
            </w:tcBorders>
            <w:vAlign w:val="center"/>
          </w:tcPr>
          <w:p w14:paraId="7AA644A8">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22D5B8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地图样式管理</w:t>
            </w:r>
          </w:p>
        </w:tc>
        <w:tc>
          <w:tcPr>
            <w:tcW w:w="455" w:type="pct"/>
            <w:tcBorders>
              <w:top w:val="single" w:color="auto" w:sz="4" w:space="0"/>
              <w:left w:val="single" w:color="auto" w:sz="4" w:space="0"/>
              <w:bottom w:val="single" w:color="auto" w:sz="4" w:space="0"/>
              <w:right w:val="single" w:color="auto" w:sz="4" w:space="0"/>
            </w:tcBorders>
            <w:vAlign w:val="center"/>
          </w:tcPr>
          <w:p w14:paraId="28ACBBB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02D1DE6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001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1A249A2">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 w:name="_Hlk214136769"/>
            <w:r>
              <w:rPr>
                <w:rFonts w:hint="eastAsia" w:ascii="宋体" w:hAnsi="宋体" w:eastAsia="宋体" w:cs="宋体"/>
                <w:color w:val="auto"/>
                <w:sz w:val="21"/>
                <w:szCs w:val="21"/>
                <w:highlight w:val="none"/>
                <w:lang w:val="en-US" w:eastAsia="zh-CN"/>
              </w:rPr>
              <w:t>1.4</w:t>
            </w:r>
          </w:p>
        </w:tc>
        <w:tc>
          <w:tcPr>
            <w:tcW w:w="597" w:type="pct"/>
            <w:vMerge w:val="continue"/>
            <w:tcBorders>
              <w:left w:val="single" w:color="auto" w:sz="4" w:space="0"/>
              <w:right w:val="single" w:color="auto" w:sz="4" w:space="0"/>
            </w:tcBorders>
            <w:vAlign w:val="center"/>
          </w:tcPr>
          <w:p w14:paraId="351705AE">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161FBC9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设施设备管理</w:t>
            </w:r>
          </w:p>
        </w:tc>
        <w:tc>
          <w:tcPr>
            <w:tcW w:w="455" w:type="pct"/>
            <w:tcBorders>
              <w:top w:val="single" w:color="auto" w:sz="4" w:space="0"/>
              <w:left w:val="single" w:color="auto" w:sz="4" w:space="0"/>
              <w:bottom w:val="single" w:color="auto" w:sz="4" w:space="0"/>
              <w:right w:val="single" w:color="auto" w:sz="4" w:space="0"/>
            </w:tcBorders>
            <w:vAlign w:val="center"/>
          </w:tcPr>
          <w:p w14:paraId="4C78F57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1481644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D0E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449FEFC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597" w:type="pct"/>
            <w:vMerge w:val="continue"/>
            <w:tcBorders>
              <w:left w:val="single" w:color="auto" w:sz="4" w:space="0"/>
              <w:right w:val="single" w:color="auto" w:sz="4" w:space="0"/>
            </w:tcBorders>
            <w:vAlign w:val="center"/>
          </w:tcPr>
          <w:p w14:paraId="3C0828FD">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D55180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空间数据管理</w:t>
            </w:r>
          </w:p>
        </w:tc>
        <w:tc>
          <w:tcPr>
            <w:tcW w:w="455" w:type="pct"/>
            <w:tcBorders>
              <w:top w:val="single" w:color="auto" w:sz="4" w:space="0"/>
              <w:left w:val="single" w:color="auto" w:sz="4" w:space="0"/>
              <w:bottom w:val="single" w:color="auto" w:sz="4" w:space="0"/>
              <w:right w:val="single" w:color="auto" w:sz="4" w:space="0"/>
            </w:tcBorders>
            <w:vAlign w:val="center"/>
          </w:tcPr>
          <w:p w14:paraId="754DC8E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0D5BAD7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7BE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2454320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597" w:type="pct"/>
            <w:vMerge w:val="continue"/>
            <w:tcBorders>
              <w:left w:val="single" w:color="auto" w:sz="4" w:space="0"/>
              <w:right w:val="single" w:color="auto" w:sz="4" w:space="0"/>
            </w:tcBorders>
            <w:vAlign w:val="center"/>
          </w:tcPr>
          <w:p w14:paraId="0C8362A6">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FFAED1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数据开放服务</w:t>
            </w:r>
          </w:p>
        </w:tc>
        <w:tc>
          <w:tcPr>
            <w:tcW w:w="455" w:type="pct"/>
            <w:tcBorders>
              <w:top w:val="single" w:color="auto" w:sz="4" w:space="0"/>
              <w:left w:val="single" w:color="auto" w:sz="4" w:space="0"/>
              <w:bottom w:val="single" w:color="auto" w:sz="4" w:space="0"/>
              <w:right w:val="single" w:color="auto" w:sz="4" w:space="0"/>
            </w:tcBorders>
            <w:vAlign w:val="center"/>
          </w:tcPr>
          <w:p w14:paraId="40614CF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1C45DD3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01D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42B8782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597" w:type="pct"/>
            <w:vMerge w:val="continue"/>
            <w:tcBorders>
              <w:left w:val="single" w:color="auto" w:sz="4" w:space="0"/>
              <w:right w:val="single" w:color="auto" w:sz="4" w:space="0"/>
            </w:tcBorders>
            <w:vAlign w:val="center"/>
          </w:tcPr>
          <w:p w14:paraId="02AE128C">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67C80BF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服务申请管理</w:t>
            </w:r>
          </w:p>
        </w:tc>
        <w:tc>
          <w:tcPr>
            <w:tcW w:w="455" w:type="pct"/>
            <w:tcBorders>
              <w:top w:val="single" w:color="auto" w:sz="4" w:space="0"/>
              <w:left w:val="single" w:color="auto" w:sz="4" w:space="0"/>
              <w:bottom w:val="single" w:color="auto" w:sz="4" w:space="0"/>
              <w:right w:val="single" w:color="auto" w:sz="4" w:space="0"/>
            </w:tcBorders>
            <w:vAlign w:val="center"/>
          </w:tcPr>
          <w:p w14:paraId="638AAD8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1C475E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C8B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6AEAD50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597" w:type="pct"/>
            <w:vMerge w:val="continue"/>
            <w:tcBorders>
              <w:left w:val="single" w:color="auto" w:sz="4" w:space="0"/>
              <w:bottom w:val="single" w:color="auto" w:sz="4" w:space="0"/>
              <w:right w:val="single" w:color="auto" w:sz="4" w:space="0"/>
            </w:tcBorders>
            <w:vAlign w:val="center"/>
          </w:tcPr>
          <w:p w14:paraId="0478172C">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75A7AB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图层管理</w:t>
            </w:r>
          </w:p>
        </w:tc>
        <w:tc>
          <w:tcPr>
            <w:tcW w:w="455" w:type="pct"/>
            <w:tcBorders>
              <w:top w:val="single" w:color="auto" w:sz="4" w:space="0"/>
              <w:left w:val="single" w:color="auto" w:sz="4" w:space="0"/>
              <w:bottom w:val="single" w:color="auto" w:sz="4" w:space="0"/>
              <w:right w:val="single" w:color="auto" w:sz="4" w:space="0"/>
            </w:tcBorders>
            <w:vAlign w:val="center"/>
          </w:tcPr>
          <w:p w14:paraId="006EDBE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60FD47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C79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6445D60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597" w:type="pct"/>
            <w:vMerge w:val="restart"/>
            <w:tcBorders>
              <w:top w:val="single" w:color="auto" w:sz="4" w:space="0"/>
              <w:left w:val="single" w:color="auto" w:sz="4" w:space="0"/>
              <w:right w:val="single" w:color="auto" w:sz="4" w:space="0"/>
            </w:tcBorders>
            <w:vAlign w:val="center"/>
          </w:tcPr>
          <w:p w14:paraId="2D5331DE">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空间分析</w:t>
            </w:r>
          </w:p>
        </w:tc>
        <w:tc>
          <w:tcPr>
            <w:tcW w:w="2922" w:type="pct"/>
            <w:tcBorders>
              <w:top w:val="single" w:color="auto" w:sz="4" w:space="0"/>
              <w:left w:val="single" w:color="auto" w:sz="4" w:space="0"/>
              <w:bottom w:val="single" w:color="auto" w:sz="4" w:space="0"/>
              <w:right w:val="single" w:color="auto" w:sz="4" w:space="0"/>
            </w:tcBorders>
            <w:vAlign w:val="center"/>
          </w:tcPr>
          <w:p w14:paraId="20B4A16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二维地图引擎</w:t>
            </w:r>
          </w:p>
        </w:tc>
        <w:tc>
          <w:tcPr>
            <w:tcW w:w="455" w:type="pct"/>
            <w:tcBorders>
              <w:top w:val="single" w:color="auto" w:sz="4" w:space="0"/>
              <w:left w:val="single" w:color="auto" w:sz="4" w:space="0"/>
              <w:bottom w:val="single" w:color="auto" w:sz="4" w:space="0"/>
              <w:right w:val="single" w:color="auto" w:sz="4" w:space="0"/>
            </w:tcBorders>
            <w:vAlign w:val="center"/>
          </w:tcPr>
          <w:p w14:paraId="0609FDB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55" w:type="pct"/>
            <w:tcBorders>
              <w:top w:val="single" w:color="auto" w:sz="4" w:space="0"/>
              <w:left w:val="single" w:color="auto" w:sz="4" w:space="0"/>
              <w:bottom w:val="single" w:color="auto" w:sz="4" w:space="0"/>
              <w:right w:val="single" w:color="auto" w:sz="4" w:space="0"/>
            </w:tcBorders>
            <w:vAlign w:val="center"/>
          </w:tcPr>
          <w:p w14:paraId="191BDE8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6A06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791FF02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1.10 </w:t>
            </w:r>
          </w:p>
        </w:tc>
        <w:tc>
          <w:tcPr>
            <w:tcW w:w="597" w:type="pct"/>
            <w:vMerge w:val="continue"/>
            <w:tcBorders>
              <w:left w:val="single" w:color="auto" w:sz="4" w:space="0"/>
              <w:right w:val="single" w:color="auto" w:sz="4" w:space="0"/>
            </w:tcBorders>
            <w:vAlign w:val="center"/>
          </w:tcPr>
          <w:p w14:paraId="49E81CE1">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41D3C11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三维地图引擎</w:t>
            </w:r>
          </w:p>
        </w:tc>
        <w:tc>
          <w:tcPr>
            <w:tcW w:w="455" w:type="pct"/>
            <w:tcBorders>
              <w:top w:val="single" w:color="auto" w:sz="4" w:space="0"/>
              <w:left w:val="single" w:color="auto" w:sz="4" w:space="0"/>
              <w:bottom w:val="single" w:color="auto" w:sz="4" w:space="0"/>
              <w:right w:val="single" w:color="auto" w:sz="4" w:space="0"/>
            </w:tcBorders>
            <w:vAlign w:val="center"/>
          </w:tcPr>
          <w:p w14:paraId="1356B66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55" w:type="pct"/>
            <w:tcBorders>
              <w:top w:val="single" w:color="auto" w:sz="4" w:space="0"/>
              <w:left w:val="single" w:color="auto" w:sz="4" w:space="0"/>
              <w:bottom w:val="single" w:color="auto" w:sz="4" w:space="0"/>
              <w:right w:val="single" w:color="auto" w:sz="4" w:space="0"/>
            </w:tcBorders>
            <w:vAlign w:val="center"/>
          </w:tcPr>
          <w:p w14:paraId="3CA6F3A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2A45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64D63BA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w:t>
            </w:r>
          </w:p>
        </w:tc>
        <w:tc>
          <w:tcPr>
            <w:tcW w:w="597" w:type="pct"/>
            <w:vMerge w:val="continue"/>
            <w:tcBorders>
              <w:left w:val="single" w:color="auto" w:sz="4" w:space="0"/>
              <w:bottom w:val="single" w:color="auto" w:sz="4" w:space="0"/>
              <w:right w:val="single" w:color="auto" w:sz="4" w:space="0"/>
            </w:tcBorders>
            <w:vAlign w:val="center"/>
          </w:tcPr>
          <w:p w14:paraId="016F5283">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21FDEDB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融合开放服务</w:t>
            </w:r>
          </w:p>
        </w:tc>
        <w:tc>
          <w:tcPr>
            <w:tcW w:w="455" w:type="pct"/>
            <w:tcBorders>
              <w:top w:val="single" w:color="auto" w:sz="4" w:space="0"/>
              <w:left w:val="single" w:color="auto" w:sz="4" w:space="0"/>
              <w:bottom w:val="single" w:color="auto" w:sz="4" w:space="0"/>
              <w:right w:val="single" w:color="auto" w:sz="4" w:space="0"/>
            </w:tcBorders>
            <w:vAlign w:val="center"/>
          </w:tcPr>
          <w:p w14:paraId="337A4CA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0E3BC68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053F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25FA043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w:t>
            </w:r>
          </w:p>
        </w:tc>
        <w:tc>
          <w:tcPr>
            <w:tcW w:w="597" w:type="pct"/>
            <w:vMerge w:val="restart"/>
            <w:tcBorders>
              <w:top w:val="single" w:color="auto" w:sz="4" w:space="0"/>
              <w:left w:val="single" w:color="auto" w:sz="4" w:space="0"/>
              <w:right w:val="single" w:color="auto" w:sz="4" w:space="0"/>
            </w:tcBorders>
            <w:vAlign w:val="center"/>
          </w:tcPr>
          <w:p w14:paraId="76E697B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可视化渲染</w:t>
            </w:r>
          </w:p>
        </w:tc>
        <w:tc>
          <w:tcPr>
            <w:tcW w:w="2922" w:type="pct"/>
            <w:tcBorders>
              <w:top w:val="single" w:color="auto" w:sz="4" w:space="0"/>
              <w:left w:val="single" w:color="auto" w:sz="4" w:space="0"/>
              <w:bottom w:val="single" w:color="auto" w:sz="4" w:space="0"/>
              <w:right w:val="single" w:color="auto" w:sz="4" w:space="0"/>
            </w:tcBorders>
            <w:vAlign w:val="center"/>
          </w:tcPr>
          <w:p w14:paraId="45A3467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普通公路可计算路网功能</w:t>
            </w:r>
          </w:p>
        </w:tc>
        <w:tc>
          <w:tcPr>
            <w:tcW w:w="455" w:type="pct"/>
            <w:tcBorders>
              <w:top w:val="single" w:color="auto" w:sz="4" w:space="0"/>
              <w:left w:val="single" w:color="auto" w:sz="4" w:space="0"/>
              <w:bottom w:val="single" w:color="auto" w:sz="4" w:space="0"/>
              <w:right w:val="single" w:color="auto" w:sz="4" w:space="0"/>
            </w:tcBorders>
            <w:vAlign w:val="center"/>
          </w:tcPr>
          <w:p w14:paraId="5D09ABD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9305E2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FBB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9A09E8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w:t>
            </w:r>
          </w:p>
        </w:tc>
        <w:tc>
          <w:tcPr>
            <w:tcW w:w="597" w:type="pct"/>
            <w:vMerge w:val="continue"/>
            <w:tcBorders>
              <w:left w:val="single" w:color="auto" w:sz="4" w:space="0"/>
              <w:right w:val="single" w:color="auto" w:sz="4" w:space="0"/>
            </w:tcBorders>
            <w:vAlign w:val="center"/>
          </w:tcPr>
          <w:p w14:paraId="5B0F9A0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B98BAC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高速公路可计算路网功能</w:t>
            </w:r>
          </w:p>
        </w:tc>
        <w:tc>
          <w:tcPr>
            <w:tcW w:w="455" w:type="pct"/>
            <w:tcBorders>
              <w:top w:val="single" w:color="auto" w:sz="4" w:space="0"/>
              <w:left w:val="single" w:color="auto" w:sz="4" w:space="0"/>
              <w:bottom w:val="single" w:color="auto" w:sz="4" w:space="0"/>
              <w:right w:val="single" w:color="auto" w:sz="4" w:space="0"/>
            </w:tcBorders>
            <w:vAlign w:val="center"/>
          </w:tcPr>
          <w:p w14:paraId="76BF56D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169242A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932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2CB8F7B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c>
          <w:tcPr>
            <w:tcW w:w="597" w:type="pct"/>
            <w:vMerge w:val="continue"/>
            <w:tcBorders>
              <w:left w:val="single" w:color="auto" w:sz="4" w:space="0"/>
              <w:right w:val="single" w:color="auto" w:sz="4" w:space="0"/>
            </w:tcBorders>
            <w:vAlign w:val="center"/>
          </w:tcPr>
          <w:p w14:paraId="13289100">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1E69B74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三维模型</w:t>
            </w:r>
          </w:p>
        </w:tc>
        <w:tc>
          <w:tcPr>
            <w:tcW w:w="455" w:type="pct"/>
            <w:tcBorders>
              <w:top w:val="single" w:color="auto" w:sz="4" w:space="0"/>
              <w:left w:val="single" w:color="auto" w:sz="4" w:space="0"/>
              <w:bottom w:val="single" w:color="auto" w:sz="4" w:space="0"/>
              <w:right w:val="single" w:color="auto" w:sz="4" w:space="0"/>
            </w:tcBorders>
            <w:vAlign w:val="center"/>
          </w:tcPr>
          <w:p w14:paraId="1838D53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410ABE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29CA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09BFCF0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w:t>
            </w:r>
          </w:p>
        </w:tc>
        <w:tc>
          <w:tcPr>
            <w:tcW w:w="597" w:type="pct"/>
            <w:vMerge w:val="continue"/>
            <w:tcBorders>
              <w:left w:val="single" w:color="auto" w:sz="4" w:space="0"/>
              <w:right w:val="single" w:color="auto" w:sz="4" w:space="0"/>
            </w:tcBorders>
            <w:vAlign w:val="center"/>
          </w:tcPr>
          <w:p w14:paraId="7C71998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E806CA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普通公路可计算路网渲染</w:t>
            </w:r>
          </w:p>
        </w:tc>
        <w:tc>
          <w:tcPr>
            <w:tcW w:w="455" w:type="pct"/>
            <w:tcBorders>
              <w:top w:val="single" w:color="auto" w:sz="4" w:space="0"/>
              <w:left w:val="single" w:color="auto" w:sz="4" w:space="0"/>
              <w:bottom w:val="single" w:color="auto" w:sz="4" w:space="0"/>
              <w:right w:val="single" w:color="auto" w:sz="4" w:space="0"/>
            </w:tcBorders>
            <w:vAlign w:val="center"/>
          </w:tcPr>
          <w:p w14:paraId="39E9DE7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7C8A2EE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9AC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1DE18C0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w:t>
            </w:r>
          </w:p>
        </w:tc>
        <w:tc>
          <w:tcPr>
            <w:tcW w:w="597" w:type="pct"/>
            <w:vMerge w:val="continue"/>
            <w:tcBorders>
              <w:left w:val="single" w:color="auto" w:sz="4" w:space="0"/>
              <w:right w:val="single" w:color="auto" w:sz="4" w:space="0"/>
            </w:tcBorders>
            <w:vAlign w:val="center"/>
          </w:tcPr>
          <w:p w14:paraId="5E7E328F">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73B4C3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高速公路可计算路网渲染</w:t>
            </w:r>
          </w:p>
        </w:tc>
        <w:tc>
          <w:tcPr>
            <w:tcW w:w="455" w:type="pct"/>
            <w:tcBorders>
              <w:top w:val="single" w:color="auto" w:sz="4" w:space="0"/>
              <w:left w:val="single" w:color="auto" w:sz="4" w:space="0"/>
              <w:bottom w:val="single" w:color="auto" w:sz="4" w:space="0"/>
              <w:right w:val="single" w:color="auto" w:sz="4" w:space="0"/>
            </w:tcBorders>
            <w:vAlign w:val="center"/>
          </w:tcPr>
          <w:p w14:paraId="0BCD5C4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7E8D48F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A6F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D31294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w:t>
            </w:r>
          </w:p>
        </w:tc>
        <w:tc>
          <w:tcPr>
            <w:tcW w:w="597" w:type="pct"/>
            <w:vMerge w:val="continue"/>
            <w:tcBorders>
              <w:left w:val="single" w:color="auto" w:sz="4" w:space="0"/>
              <w:right w:val="single" w:color="auto" w:sz="4" w:space="0"/>
            </w:tcBorders>
            <w:vAlign w:val="center"/>
          </w:tcPr>
          <w:p w14:paraId="19CECDF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AD7307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高速公路专题数据渲染</w:t>
            </w:r>
          </w:p>
        </w:tc>
        <w:tc>
          <w:tcPr>
            <w:tcW w:w="455" w:type="pct"/>
            <w:tcBorders>
              <w:top w:val="single" w:color="auto" w:sz="4" w:space="0"/>
              <w:left w:val="single" w:color="auto" w:sz="4" w:space="0"/>
              <w:bottom w:val="single" w:color="auto" w:sz="4" w:space="0"/>
              <w:right w:val="single" w:color="auto" w:sz="4" w:space="0"/>
            </w:tcBorders>
            <w:vAlign w:val="center"/>
          </w:tcPr>
          <w:p w14:paraId="26FA906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4C8BE36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1487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1EAEEFA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w:t>
            </w:r>
          </w:p>
        </w:tc>
        <w:tc>
          <w:tcPr>
            <w:tcW w:w="597" w:type="pct"/>
            <w:vMerge w:val="continue"/>
            <w:tcBorders>
              <w:left w:val="single" w:color="auto" w:sz="4" w:space="0"/>
              <w:right w:val="single" w:color="auto" w:sz="4" w:space="0"/>
            </w:tcBorders>
            <w:vAlign w:val="center"/>
          </w:tcPr>
          <w:p w14:paraId="0B56A06A">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4FBF50F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普通公路专题数据渲染</w:t>
            </w:r>
          </w:p>
        </w:tc>
        <w:tc>
          <w:tcPr>
            <w:tcW w:w="455" w:type="pct"/>
            <w:tcBorders>
              <w:top w:val="single" w:color="auto" w:sz="4" w:space="0"/>
              <w:left w:val="single" w:color="auto" w:sz="4" w:space="0"/>
              <w:bottom w:val="single" w:color="auto" w:sz="4" w:space="0"/>
              <w:right w:val="single" w:color="auto" w:sz="4" w:space="0"/>
            </w:tcBorders>
            <w:vAlign w:val="center"/>
          </w:tcPr>
          <w:p w14:paraId="34CD307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55DCB9F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0C9B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71A1D61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w:t>
            </w:r>
          </w:p>
        </w:tc>
        <w:tc>
          <w:tcPr>
            <w:tcW w:w="597" w:type="pct"/>
            <w:vMerge w:val="restart"/>
            <w:tcBorders>
              <w:top w:val="single" w:color="auto" w:sz="4" w:space="0"/>
              <w:left w:val="single" w:color="auto" w:sz="4" w:space="0"/>
              <w:right w:val="single" w:color="auto" w:sz="4" w:space="0"/>
            </w:tcBorders>
            <w:vAlign w:val="center"/>
          </w:tcPr>
          <w:p w14:paraId="498DE113">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业务支撑</w:t>
            </w:r>
          </w:p>
        </w:tc>
        <w:tc>
          <w:tcPr>
            <w:tcW w:w="2922" w:type="pct"/>
            <w:tcBorders>
              <w:top w:val="single" w:color="auto" w:sz="4" w:space="0"/>
              <w:left w:val="single" w:color="auto" w:sz="4" w:space="0"/>
              <w:bottom w:val="single" w:color="auto" w:sz="4" w:space="0"/>
              <w:right w:val="single" w:color="auto" w:sz="4" w:space="0"/>
            </w:tcBorders>
            <w:vAlign w:val="center"/>
          </w:tcPr>
          <w:p w14:paraId="7D425DC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路况上图</w:t>
            </w:r>
          </w:p>
        </w:tc>
        <w:tc>
          <w:tcPr>
            <w:tcW w:w="455" w:type="pct"/>
            <w:tcBorders>
              <w:top w:val="single" w:color="auto" w:sz="4" w:space="0"/>
              <w:left w:val="single" w:color="auto" w:sz="4" w:space="0"/>
              <w:bottom w:val="single" w:color="auto" w:sz="4" w:space="0"/>
              <w:right w:val="single" w:color="auto" w:sz="4" w:space="0"/>
            </w:tcBorders>
            <w:vAlign w:val="center"/>
          </w:tcPr>
          <w:p w14:paraId="0E7DA23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0CA8537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08FD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00ACF10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1.20 </w:t>
            </w:r>
          </w:p>
        </w:tc>
        <w:tc>
          <w:tcPr>
            <w:tcW w:w="597" w:type="pct"/>
            <w:vMerge w:val="continue"/>
            <w:tcBorders>
              <w:top w:val="single" w:color="auto" w:sz="4" w:space="0"/>
              <w:left w:val="single" w:color="auto" w:sz="4" w:space="0"/>
              <w:right w:val="single" w:color="auto" w:sz="4" w:space="0"/>
            </w:tcBorders>
            <w:vAlign w:val="center"/>
          </w:tcPr>
          <w:p w14:paraId="7BD6A80D">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146D942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车辆轨迹上图</w:t>
            </w:r>
          </w:p>
        </w:tc>
        <w:tc>
          <w:tcPr>
            <w:tcW w:w="455" w:type="pct"/>
            <w:tcBorders>
              <w:top w:val="single" w:color="auto" w:sz="4" w:space="0"/>
              <w:left w:val="single" w:color="auto" w:sz="4" w:space="0"/>
              <w:bottom w:val="single" w:color="auto" w:sz="4" w:space="0"/>
              <w:right w:val="single" w:color="auto" w:sz="4" w:space="0"/>
            </w:tcBorders>
            <w:vAlign w:val="center"/>
          </w:tcPr>
          <w:p w14:paraId="1B6F02C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123B626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1D9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48027E6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w:t>
            </w:r>
          </w:p>
        </w:tc>
        <w:tc>
          <w:tcPr>
            <w:tcW w:w="597" w:type="pct"/>
            <w:vMerge w:val="continue"/>
            <w:tcBorders>
              <w:top w:val="single" w:color="auto" w:sz="4" w:space="0"/>
              <w:left w:val="single" w:color="auto" w:sz="4" w:space="0"/>
              <w:right w:val="single" w:color="auto" w:sz="4" w:space="0"/>
            </w:tcBorders>
            <w:vAlign w:val="center"/>
          </w:tcPr>
          <w:p w14:paraId="1FA563F4">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4A5C9D7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路段绘制工具</w:t>
            </w:r>
          </w:p>
        </w:tc>
        <w:tc>
          <w:tcPr>
            <w:tcW w:w="455" w:type="pct"/>
            <w:tcBorders>
              <w:top w:val="single" w:color="auto" w:sz="4" w:space="0"/>
              <w:left w:val="single" w:color="auto" w:sz="4" w:space="0"/>
              <w:bottom w:val="single" w:color="auto" w:sz="4" w:space="0"/>
              <w:right w:val="single" w:color="auto" w:sz="4" w:space="0"/>
            </w:tcBorders>
            <w:vAlign w:val="center"/>
          </w:tcPr>
          <w:p w14:paraId="1884375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CDB2B8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048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07602C2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597" w:type="pct"/>
            <w:vMerge w:val="continue"/>
            <w:tcBorders>
              <w:top w:val="single" w:color="auto" w:sz="4" w:space="0"/>
              <w:left w:val="single" w:color="auto" w:sz="4" w:space="0"/>
              <w:right w:val="single" w:color="auto" w:sz="4" w:space="0"/>
            </w:tcBorders>
            <w:vAlign w:val="center"/>
          </w:tcPr>
          <w:p w14:paraId="553217C0">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7DDF4FE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区域绘制工具</w:t>
            </w:r>
          </w:p>
        </w:tc>
        <w:tc>
          <w:tcPr>
            <w:tcW w:w="455" w:type="pct"/>
            <w:tcBorders>
              <w:top w:val="single" w:color="auto" w:sz="4" w:space="0"/>
              <w:left w:val="single" w:color="auto" w:sz="4" w:space="0"/>
              <w:bottom w:val="single" w:color="auto" w:sz="4" w:space="0"/>
              <w:right w:val="single" w:color="auto" w:sz="4" w:space="0"/>
            </w:tcBorders>
            <w:vAlign w:val="center"/>
          </w:tcPr>
          <w:p w14:paraId="76C0A4E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2F2D18B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0D4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7D9BE0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w:t>
            </w:r>
          </w:p>
        </w:tc>
        <w:tc>
          <w:tcPr>
            <w:tcW w:w="597" w:type="pct"/>
            <w:vMerge w:val="continue"/>
            <w:tcBorders>
              <w:top w:val="single" w:color="auto" w:sz="4" w:space="0"/>
              <w:left w:val="single" w:color="auto" w:sz="4" w:space="0"/>
              <w:right w:val="single" w:color="auto" w:sz="4" w:space="0"/>
            </w:tcBorders>
            <w:vAlign w:val="center"/>
          </w:tcPr>
          <w:p w14:paraId="0FEE8DB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C56849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数据套合工具</w:t>
            </w:r>
          </w:p>
        </w:tc>
        <w:tc>
          <w:tcPr>
            <w:tcW w:w="455" w:type="pct"/>
            <w:tcBorders>
              <w:top w:val="single" w:color="auto" w:sz="4" w:space="0"/>
              <w:left w:val="single" w:color="auto" w:sz="4" w:space="0"/>
              <w:bottom w:val="single" w:color="auto" w:sz="4" w:space="0"/>
              <w:right w:val="single" w:color="auto" w:sz="4" w:space="0"/>
            </w:tcBorders>
            <w:vAlign w:val="center"/>
          </w:tcPr>
          <w:p w14:paraId="21BDECE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58637D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193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58806B8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w:t>
            </w:r>
          </w:p>
        </w:tc>
        <w:tc>
          <w:tcPr>
            <w:tcW w:w="597" w:type="pct"/>
            <w:vMerge w:val="continue"/>
            <w:tcBorders>
              <w:top w:val="single" w:color="auto" w:sz="4" w:space="0"/>
              <w:left w:val="single" w:color="auto" w:sz="4" w:space="0"/>
              <w:right w:val="single" w:color="auto" w:sz="4" w:space="0"/>
            </w:tcBorders>
            <w:vAlign w:val="center"/>
          </w:tcPr>
          <w:p w14:paraId="5CEEC2A4">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DC50B5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地图工具</w:t>
            </w:r>
          </w:p>
        </w:tc>
        <w:tc>
          <w:tcPr>
            <w:tcW w:w="455" w:type="pct"/>
            <w:tcBorders>
              <w:top w:val="single" w:color="auto" w:sz="4" w:space="0"/>
              <w:left w:val="single" w:color="auto" w:sz="4" w:space="0"/>
              <w:bottom w:val="single" w:color="auto" w:sz="4" w:space="0"/>
              <w:right w:val="single" w:color="auto" w:sz="4" w:space="0"/>
            </w:tcBorders>
            <w:vAlign w:val="center"/>
          </w:tcPr>
          <w:p w14:paraId="442AF37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9DDDC2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D0F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1C2F966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w:t>
            </w:r>
          </w:p>
        </w:tc>
        <w:tc>
          <w:tcPr>
            <w:tcW w:w="597" w:type="pct"/>
            <w:vMerge w:val="continue"/>
            <w:tcBorders>
              <w:top w:val="single" w:color="auto" w:sz="4" w:space="0"/>
              <w:left w:val="single" w:color="auto" w:sz="4" w:space="0"/>
              <w:right w:val="single" w:color="auto" w:sz="4" w:space="0"/>
            </w:tcBorders>
            <w:vAlign w:val="center"/>
          </w:tcPr>
          <w:p w14:paraId="65628A1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9A2D7F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网格化工具</w:t>
            </w:r>
          </w:p>
        </w:tc>
        <w:tc>
          <w:tcPr>
            <w:tcW w:w="455" w:type="pct"/>
            <w:tcBorders>
              <w:top w:val="single" w:color="auto" w:sz="4" w:space="0"/>
              <w:left w:val="single" w:color="auto" w:sz="4" w:space="0"/>
              <w:bottom w:val="single" w:color="auto" w:sz="4" w:space="0"/>
              <w:right w:val="single" w:color="auto" w:sz="4" w:space="0"/>
            </w:tcBorders>
            <w:vAlign w:val="center"/>
          </w:tcPr>
          <w:p w14:paraId="317D24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075BD8F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2D52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0D2E1B7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1.26 </w:t>
            </w:r>
          </w:p>
        </w:tc>
        <w:tc>
          <w:tcPr>
            <w:tcW w:w="597" w:type="pct"/>
            <w:vMerge w:val="continue"/>
            <w:tcBorders>
              <w:left w:val="single" w:color="auto" w:sz="4" w:space="0"/>
              <w:right w:val="single" w:color="auto" w:sz="4" w:space="0"/>
            </w:tcBorders>
            <w:vAlign w:val="center"/>
          </w:tcPr>
          <w:p w14:paraId="2555866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4E3AE58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二维地图数据制作</w:t>
            </w:r>
          </w:p>
        </w:tc>
        <w:tc>
          <w:tcPr>
            <w:tcW w:w="455" w:type="pct"/>
            <w:tcBorders>
              <w:top w:val="single" w:color="auto" w:sz="4" w:space="0"/>
              <w:left w:val="single" w:color="auto" w:sz="4" w:space="0"/>
              <w:bottom w:val="single" w:color="auto" w:sz="4" w:space="0"/>
              <w:right w:val="single" w:color="auto" w:sz="4" w:space="0"/>
            </w:tcBorders>
            <w:vAlign w:val="center"/>
          </w:tcPr>
          <w:p w14:paraId="474D23E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D79C42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1A3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1E4F9FA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w:t>
            </w:r>
          </w:p>
        </w:tc>
        <w:tc>
          <w:tcPr>
            <w:tcW w:w="597" w:type="pct"/>
            <w:vMerge w:val="continue"/>
            <w:tcBorders>
              <w:left w:val="single" w:color="auto" w:sz="4" w:space="0"/>
              <w:bottom w:val="single" w:color="auto" w:sz="4" w:space="0"/>
              <w:right w:val="single" w:color="auto" w:sz="4" w:space="0"/>
            </w:tcBorders>
            <w:vAlign w:val="center"/>
          </w:tcPr>
          <w:p w14:paraId="63DDF6D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1C08B5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二维地图数据更新</w:t>
            </w:r>
          </w:p>
        </w:tc>
        <w:tc>
          <w:tcPr>
            <w:tcW w:w="455" w:type="pct"/>
            <w:tcBorders>
              <w:top w:val="single" w:color="auto" w:sz="4" w:space="0"/>
              <w:left w:val="single" w:color="auto" w:sz="4" w:space="0"/>
              <w:bottom w:val="single" w:color="auto" w:sz="4" w:space="0"/>
              <w:right w:val="single" w:color="auto" w:sz="4" w:space="0"/>
            </w:tcBorders>
            <w:vAlign w:val="center"/>
          </w:tcPr>
          <w:p w14:paraId="7601621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4EF6339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465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10AA323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431" w:type="pct"/>
            <w:gridSpan w:val="4"/>
            <w:tcBorders>
              <w:top w:val="single" w:color="auto" w:sz="4" w:space="0"/>
              <w:left w:val="single" w:color="auto" w:sz="4" w:space="0"/>
              <w:bottom w:val="single" w:color="auto" w:sz="4" w:space="0"/>
              <w:right w:val="single" w:color="auto" w:sz="4" w:space="0"/>
            </w:tcBorders>
            <w:vAlign w:val="center"/>
          </w:tcPr>
          <w:p w14:paraId="2883457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国省干线空间数据接入治理</w:t>
            </w:r>
          </w:p>
        </w:tc>
      </w:tr>
      <w:tr w14:paraId="6663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3AF2209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97" w:type="pct"/>
            <w:tcBorders>
              <w:top w:val="single" w:color="auto" w:sz="4" w:space="0"/>
              <w:left w:val="single" w:color="auto" w:sz="4" w:space="0"/>
              <w:bottom w:val="single" w:color="auto" w:sz="4" w:space="0"/>
              <w:right w:val="single" w:color="auto" w:sz="4" w:space="0"/>
            </w:tcBorders>
            <w:vAlign w:val="center"/>
          </w:tcPr>
          <w:p w14:paraId="02D8976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7FE1EC7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全省国省干线空间数据接入</w:t>
            </w:r>
          </w:p>
        </w:tc>
        <w:tc>
          <w:tcPr>
            <w:tcW w:w="455" w:type="pct"/>
            <w:tcBorders>
              <w:top w:val="single" w:color="auto" w:sz="4" w:space="0"/>
              <w:left w:val="single" w:color="auto" w:sz="4" w:space="0"/>
              <w:bottom w:val="single" w:color="auto" w:sz="4" w:space="0"/>
              <w:right w:val="single" w:color="auto" w:sz="4" w:space="0"/>
            </w:tcBorders>
            <w:vAlign w:val="center"/>
          </w:tcPr>
          <w:p w14:paraId="611F7AB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34D7F7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13C2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3AF6F2E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97" w:type="pct"/>
            <w:tcBorders>
              <w:top w:val="single" w:color="auto" w:sz="4" w:space="0"/>
              <w:left w:val="single" w:color="auto" w:sz="4" w:space="0"/>
              <w:bottom w:val="single" w:color="auto" w:sz="4" w:space="0"/>
              <w:right w:val="single" w:color="auto" w:sz="4" w:space="0"/>
            </w:tcBorders>
            <w:vAlign w:val="center"/>
          </w:tcPr>
          <w:p w14:paraId="16FAFB7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1CA9BDC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全省国省干线三维模型数据接入</w:t>
            </w:r>
          </w:p>
        </w:tc>
        <w:tc>
          <w:tcPr>
            <w:tcW w:w="455" w:type="pct"/>
            <w:tcBorders>
              <w:top w:val="single" w:color="auto" w:sz="4" w:space="0"/>
              <w:left w:val="single" w:color="auto" w:sz="4" w:space="0"/>
              <w:bottom w:val="single" w:color="auto" w:sz="4" w:space="0"/>
              <w:right w:val="single" w:color="auto" w:sz="4" w:space="0"/>
            </w:tcBorders>
            <w:vAlign w:val="center"/>
          </w:tcPr>
          <w:p w14:paraId="0A8ABE7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3AA138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16D2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427E655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97" w:type="pct"/>
            <w:tcBorders>
              <w:top w:val="single" w:color="auto" w:sz="4" w:space="0"/>
              <w:left w:val="single" w:color="auto" w:sz="4" w:space="0"/>
              <w:bottom w:val="single" w:color="auto" w:sz="4" w:space="0"/>
              <w:right w:val="single" w:color="auto" w:sz="4" w:space="0"/>
            </w:tcBorders>
            <w:vAlign w:val="center"/>
          </w:tcPr>
          <w:p w14:paraId="230A81A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4E24BAA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全省国省干线空间数据治理标准</w:t>
            </w:r>
          </w:p>
        </w:tc>
        <w:tc>
          <w:tcPr>
            <w:tcW w:w="455" w:type="pct"/>
            <w:tcBorders>
              <w:top w:val="single" w:color="auto" w:sz="4" w:space="0"/>
              <w:left w:val="single" w:color="auto" w:sz="4" w:space="0"/>
              <w:bottom w:val="single" w:color="auto" w:sz="4" w:space="0"/>
              <w:right w:val="single" w:color="auto" w:sz="4" w:space="0"/>
            </w:tcBorders>
            <w:vAlign w:val="center"/>
          </w:tcPr>
          <w:p w14:paraId="38B3848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142B6F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AFC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325224E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97" w:type="pct"/>
            <w:tcBorders>
              <w:top w:val="single" w:color="auto" w:sz="4" w:space="0"/>
              <w:left w:val="single" w:color="auto" w:sz="4" w:space="0"/>
              <w:bottom w:val="single" w:color="auto" w:sz="4" w:space="0"/>
              <w:right w:val="single" w:color="auto" w:sz="4" w:space="0"/>
            </w:tcBorders>
            <w:vAlign w:val="center"/>
          </w:tcPr>
          <w:p w14:paraId="704ACB5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038BB3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全省国省干线空间数据清洗与校准</w:t>
            </w:r>
          </w:p>
        </w:tc>
        <w:tc>
          <w:tcPr>
            <w:tcW w:w="455" w:type="pct"/>
            <w:tcBorders>
              <w:top w:val="single" w:color="auto" w:sz="4" w:space="0"/>
              <w:left w:val="single" w:color="auto" w:sz="4" w:space="0"/>
              <w:bottom w:val="single" w:color="auto" w:sz="4" w:space="0"/>
              <w:right w:val="single" w:color="auto" w:sz="4" w:space="0"/>
            </w:tcBorders>
            <w:vAlign w:val="center"/>
          </w:tcPr>
          <w:p w14:paraId="780EB1C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FCF7E1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bookmarkEnd w:id="7"/>
      <w:tr w14:paraId="4CA5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28DC0435">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8" w:name="_Hlk214108194"/>
            <w:r>
              <w:rPr>
                <w:rFonts w:hint="eastAsia" w:ascii="宋体" w:hAnsi="宋体" w:eastAsia="宋体" w:cs="宋体"/>
                <w:color w:val="auto"/>
                <w:sz w:val="21"/>
                <w:szCs w:val="21"/>
                <w:highlight w:val="none"/>
                <w:lang w:val="en-US" w:eastAsia="zh-CN"/>
              </w:rPr>
              <w:t>2.5</w:t>
            </w:r>
          </w:p>
        </w:tc>
        <w:tc>
          <w:tcPr>
            <w:tcW w:w="597" w:type="pct"/>
            <w:tcBorders>
              <w:top w:val="single" w:color="auto" w:sz="4" w:space="0"/>
              <w:left w:val="single" w:color="auto" w:sz="4" w:space="0"/>
              <w:bottom w:val="single" w:color="auto" w:sz="4" w:space="0"/>
              <w:right w:val="single" w:color="auto" w:sz="4" w:space="0"/>
            </w:tcBorders>
            <w:vAlign w:val="center"/>
          </w:tcPr>
          <w:p w14:paraId="6B287E99">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600B22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全省国省干线空间数据格式转换</w:t>
            </w:r>
          </w:p>
        </w:tc>
        <w:tc>
          <w:tcPr>
            <w:tcW w:w="455" w:type="pct"/>
            <w:tcBorders>
              <w:top w:val="single" w:color="auto" w:sz="4" w:space="0"/>
              <w:left w:val="single" w:color="auto" w:sz="4" w:space="0"/>
              <w:bottom w:val="single" w:color="auto" w:sz="4" w:space="0"/>
              <w:right w:val="single" w:color="auto" w:sz="4" w:space="0"/>
            </w:tcBorders>
            <w:vAlign w:val="center"/>
          </w:tcPr>
          <w:p w14:paraId="493D3CA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25587D5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bookmarkEnd w:id="8"/>
      <w:tr w14:paraId="00D9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3AAFCB7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597" w:type="pct"/>
            <w:tcBorders>
              <w:top w:val="single" w:color="auto" w:sz="4" w:space="0"/>
              <w:left w:val="single" w:color="auto" w:sz="4" w:space="0"/>
              <w:bottom w:val="single" w:color="auto" w:sz="4" w:space="0"/>
              <w:right w:val="single" w:color="auto" w:sz="4" w:space="0"/>
            </w:tcBorders>
            <w:vAlign w:val="center"/>
          </w:tcPr>
          <w:p w14:paraId="631DA40D">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718C9D3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全省国省干线空间坐标转换</w:t>
            </w:r>
          </w:p>
        </w:tc>
        <w:tc>
          <w:tcPr>
            <w:tcW w:w="455" w:type="pct"/>
            <w:tcBorders>
              <w:top w:val="single" w:color="auto" w:sz="4" w:space="0"/>
              <w:left w:val="single" w:color="auto" w:sz="4" w:space="0"/>
              <w:bottom w:val="single" w:color="auto" w:sz="4" w:space="0"/>
              <w:right w:val="single" w:color="auto" w:sz="4" w:space="0"/>
            </w:tcBorders>
            <w:vAlign w:val="center"/>
          </w:tcPr>
          <w:p w14:paraId="0D2C26E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2EBFA08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153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21F6B4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597" w:type="pct"/>
            <w:tcBorders>
              <w:top w:val="single" w:color="auto" w:sz="4" w:space="0"/>
              <w:left w:val="single" w:color="auto" w:sz="4" w:space="0"/>
              <w:bottom w:val="single" w:color="auto" w:sz="4" w:space="0"/>
              <w:right w:val="single" w:color="auto" w:sz="4" w:space="0"/>
            </w:tcBorders>
            <w:vAlign w:val="center"/>
          </w:tcPr>
          <w:p w14:paraId="3910A9A8">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599F72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全省国省干线空间三维模型建模参数提取</w:t>
            </w:r>
          </w:p>
        </w:tc>
        <w:tc>
          <w:tcPr>
            <w:tcW w:w="455" w:type="pct"/>
            <w:tcBorders>
              <w:top w:val="single" w:color="auto" w:sz="4" w:space="0"/>
              <w:left w:val="single" w:color="auto" w:sz="4" w:space="0"/>
              <w:bottom w:val="single" w:color="auto" w:sz="4" w:space="0"/>
              <w:right w:val="single" w:color="auto" w:sz="4" w:space="0"/>
            </w:tcBorders>
            <w:vAlign w:val="center"/>
          </w:tcPr>
          <w:p w14:paraId="435D684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14CECC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D6F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39541C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597" w:type="pct"/>
            <w:tcBorders>
              <w:top w:val="single" w:color="auto" w:sz="4" w:space="0"/>
              <w:left w:val="single" w:color="auto" w:sz="4" w:space="0"/>
              <w:bottom w:val="single" w:color="auto" w:sz="4" w:space="0"/>
              <w:right w:val="single" w:color="auto" w:sz="4" w:space="0"/>
            </w:tcBorders>
            <w:vAlign w:val="center"/>
          </w:tcPr>
          <w:p w14:paraId="081919C5">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890C20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编码转换</w:t>
            </w:r>
          </w:p>
        </w:tc>
        <w:tc>
          <w:tcPr>
            <w:tcW w:w="455" w:type="pct"/>
            <w:tcBorders>
              <w:top w:val="single" w:color="auto" w:sz="4" w:space="0"/>
              <w:left w:val="single" w:color="auto" w:sz="4" w:space="0"/>
              <w:bottom w:val="single" w:color="auto" w:sz="4" w:space="0"/>
              <w:right w:val="single" w:color="auto" w:sz="4" w:space="0"/>
            </w:tcBorders>
            <w:vAlign w:val="center"/>
          </w:tcPr>
          <w:p w14:paraId="6441178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65B4B5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7CB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0322132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597" w:type="pct"/>
            <w:tcBorders>
              <w:top w:val="single" w:color="auto" w:sz="4" w:space="0"/>
              <w:left w:val="single" w:color="auto" w:sz="4" w:space="0"/>
              <w:bottom w:val="single" w:color="auto" w:sz="4" w:space="0"/>
              <w:right w:val="single" w:color="auto" w:sz="4" w:space="0"/>
            </w:tcBorders>
            <w:vAlign w:val="center"/>
          </w:tcPr>
          <w:p w14:paraId="30D12A7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39D8BE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公里桩匹配</w:t>
            </w:r>
          </w:p>
        </w:tc>
        <w:tc>
          <w:tcPr>
            <w:tcW w:w="455" w:type="pct"/>
            <w:tcBorders>
              <w:top w:val="single" w:color="auto" w:sz="4" w:space="0"/>
              <w:left w:val="single" w:color="auto" w:sz="4" w:space="0"/>
              <w:bottom w:val="single" w:color="auto" w:sz="4" w:space="0"/>
              <w:right w:val="single" w:color="auto" w:sz="4" w:space="0"/>
            </w:tcBorders>
            <w:vAlign w:val="center"/>
          </w:tcPr>
          <w:p w14:paraId="6FC1ED8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59128B6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863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72BA8D6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431" w:type="pct"/>
            <w:gridSpan w:val="4"/>
            <w:tcBorders>
              <w:top w:val="single" w:color="auto" w:sz="4" w:space="0"/>
              <w:left w:val="single" w:color="auto" w:sz="4" w:space="0"/>
              <w:bottom w:val="single" w:color="auto" w:sz="4" w:space="0"/>
              <w:right w:val="single" w:color="auto" w:sz="4" w:space="0"/>
            </w:tcBorders>
            <w:vAlign w:val="center"/>
          </w:tcPr>
          <w:p w14:paraId="64A18A32">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多源地图数据融合</w:t>
            </w:r>
          </w:p>
        </w:tc>
      </w:tr>
      <w:tr w14:paraId="5685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2822601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597" w:type="pct"/>
            <w:tcBorders>
              <w:top w:val="single" w:color="auto" w:sz="4" w:space="0"/>
              <w:left w:val="single" w:color="auto" w:sz="4" w:space="0"/>
              <w:bottom w:val="single" w:color="auto" w:sz="4" w:space="0"/>
              <w:right w:val="single" w:color="auto" w:sz="4" w:space="0"/>
            </w:tcBorders>
            <w:vAlign w:val="center"/>
          </w:tcPr>
          <w:p w14:paraId="0777FD7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28D6393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国省干线高精地图与高速公路高精地图融合</w:t>
            </w:r>
          </w:p>
        </w:tc>
        <w:tc>
          <w:tcPr>
            <w:tcW w:w="455" w:type="pct"/>
            <w:tcBorders>
              <w:top w:val="single" w:color="auto" w:sz="4" w:space="0"/>
              <w:left w:val="single" w:color="auto" w:sz="4" w:space="0"/>
              <w:bottom w:val="single" w:color="auto" w:sz="4" w:space="0"/>
              <w:right w:val="single" w:color="auto" w:sz="4" w:space="0"/>
            </w:tcBorders>
            <w:vAlign w:val="center"/>
          </w:tcPr>
          <w:p w14:paraId="3C9F08D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71DF043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AB9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1DD0673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597" w:type="pct"/>
            <w:tcBorders>
              <w:top w:val="single" w:color="auto" w:sz="4" w:space="0"/>
              <w:left w:val="single" w:color="auto" w:sz="4" w:space="0"/>
              <w:bottom w:val="single" w:color="auto" w:sz="4" w:space="0"/>
              <w:right w:val="single" w:color="auto" w:sz="4" w:space="0"/>
            </w:tcBorders>
            <w:vAlign w:val="center"/>
          </w:tcPr>
          <w:p w14:paraId="413092B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548C39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高精地图和标精地图融合</w:t>
            </w:r>
          </w:p>
        </w:tc>
        <w:tc>
          <w:tcPr>
            <w:tcW w:w="455" w:type="pct"/>
            <w:tcBorders>
              <w:top w:val="single" w:color="auto" w:sz="4" w:space="0"/>
              <w:left w:val="single" w:color="auto" w:sz="4" w:space="0"/>
              <w:bottom w:val="single" w:color="auto" w:sz="4" w:space="0"/>
              <w:right w:val="single" w:color="auto" w:sz="4" w:space="0"/>
            </w:tcBorders>
            <w:vAlign w:val="center"/>
          </w:tcPr>
          <w:p w14:paraId="77609AB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2AAC87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09C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796C2F0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c>
          <w:tcPr>
            <w:tcW w:w="597" w:type="pct"/>
            <w:tcBorders>
              <w:top w:val="single" w:color="auto" w:sz="4" w:space="0"/>
              <w:left w:val="single" w:color="auto" w:sz="4" w:space="0"/>
              <w:bottom w:val="single" w:color="auto" w:sz="4" w:space="0"/>
              <w:right w:val="single" w:color="auto" w:sz="4" w:space="0"/>
            </w:tcBorders>
            <w:vAlign w:val="center"/>
          </w:tcPr>
          <w:p w14:paraId="2388EFD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2D077E7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航道图与标精地图融合</w:t>
            </w:r>
          </w:p>
        </w:tc>
        <w:tc>
          <w:tcPr>
            <w:tcW w:w="455" w:type="pct"/>
            <w:tcBorders>
              <w:top w:val="single" w:color="auto" w:sz="4" w:space="0"/>
              <w:left w:val="single" w:color="auto" w:sz="4" w:space="0"/>
              <w:bottom w:val="single" w:color="auto" w:sz="4" w:space="0"/>
              <w:right w:val="single" w:color="auto" w:sz="4" w:space="0"/>
            </w:tcBorders>
            <w:vAlign w:val="center"/>
          </w:tcPr>
          <w:p w14:paraId="63B8390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1A82AB7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F7C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653055F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597" w:type="pct"/>
            <w:tcBorders>
              <w:top w:val="single" w:color="auto" w:sz="4" w:space="0"/>
              <w:left w:val="single" w:color="auto" w:sz="4" w:space="0"/>
              <w:bottom w:val="single" w:color="auto" w:sz="4" w:space="0"/>
              <w:right w:val="single" w:color="auto" w:sz="4" w:space="0"/>
            </w:tcBorders>
            <w:vAlign w:val="center"/>
          </w:tcPr>
          <w:p w14:paraId="4E187F88">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2B80CB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全省影像数据和标精地图的融合</w:t>
            </w:r>
          </w:p>
        </w:tc>
        <w:tc>
          <w:tcPr>
            <w:tcW w:w="455" w:type="pct"/>
            <w:tcBorders>
              <w:top w:val="single" w:color="auto" w:sz="4" w:space="0"/>
              <w:left w:val="single" w:color="auto" w:sz="4" w:space="0"/>
              <w:bottom w:val="single" w:color="auto" w:sz="4" w:space="0"/>
              <w:right w:val="single" w:color="auto" w:sz="4" w:space="0"/>
            </w:tcBorders>
            <w:vAlign w:val="center"/>
          </w:tcPr>
          <w:p w14:paraId="21A510D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FA5E1D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bookmarkEnd w:id="4"/>
      <w:bookmarkEnd w:id="5"/>
      <w:bookmarkEnd w:id="6"/>
    </w:tbl>
    <w:p w14:paraId="127A44E7">
      <w:pPr>
        <w:bidi w:val="0"/>
        <w:spacing w:line="360" w:lineRule="auto"/>
        <w:ind w:firstLine="422" w:firstLineChars="200"/>
        <w:jc w:val="center"/>
        <w:rPr>
          <w:rFonts w:hint="eastAsia" w:ascii="宋体" w:hAnsi="宋体" w:eastAsia="宋体" w:cs="宋体"/>
          <w:b/>
          <w:bCs/>
          <w:color w:val="auto"/>
          <w:sz w:val="21"/>
          <w:szCs w:val="21"/>
          <w:highlight w:val="none"/>
          <w:lang w:val="en-US" w:eastAsia="zh-CN"/>
        </w:rPr>
      </w:pPr>
      <w:bookmarkStart w:id="9" w:name="_Toc256000039"/>
    </w:p>
    <w:p w14:paraId="477937BD">
      <w:pPr>
        <w:bidi w:val="0"/>
        <w:spacing w:line="360" w:lineRule="auto"/>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第二节 技术要求</w:t>
      </w:r>
      <w:bookmarkEnd w:id="9"/>
    </w:p>
    <w:p w14:paraId="105C204F">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10" w:name="_Toc10250"/>
      <w:bookmarkStart w:id="11" w:name="_Toc256000040"/>
      <w:bookmarkStart w:id="12" w:name="_Toc1850"/>
      <w:bookmarkStart w:id="13" w:name="_Toc73010248"/>
      <w:r>
        <w:rPr>
          <w:rFonts w:hint="eastAsia" w:ascii="宋体" w:hAnsi="宋体" w:eastAsia="宋体" w:cs="宋体"/>
          <w:color w:val="auto"/>
          <w:sz w:val="21"/>
          <w:szCs w:val="21"/>
          <w:highlight w:val="none"/>
          <w:lang w:val="en-US" w:eastAsia="zh-CN"/>
        </w:rPr>
        <w:t>一、项目基本情况</w:t>
      </w:r>
      <w:bookmarkEnd w:id="10"/>
      <w:bookmarkEnd w:id="11"/>
      <w:bookmarkEnd w:id="12"/>
      <w:bookmarkEnd w:id="13"/>
    </w:p>
    <w:p w14:paraId="3950379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1.项目编号：</w:t>
      </w:r>
      <w:r>
        <w:rPr>
          <w:rFonts w:hint="eastAsia" w:ascii="宋体" w:hAnsi="宋体" w:eastAsia="宋体" w:cs="Times New Roman"/>
          <w:color w:val="auto"/>
          <w:kern w:val="2"/>
          <w:sz w:val="21"/>
          <w:szCs w:val="21"/>
          <w:highlight w:val="none"/>
          <w:lang w:val="en-US" w:eastAsia="zh-CN" w:bidi="ar-SA"/>
        </w:rPr>
        <w:t xml:space="preserve">详见招标公告 </w:t>
      </w:r>
    </w:p>
    <w:p w14:paraId="78B7EDA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2.项目名称：</w:t>
      </w: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河南省交通运输调度指挥中心河南省智慧交通服务云平台-地理信息平台与内河航运综合监管项目</w:t>
      </w:r>
    </w:p>
    <w:p w14:paraId="43244AC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服务期限</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kern w:val="2"/>
          <w:sz w:val="21"/>
          <w:szCs w:val="21"/>
          <w:highlight w:val="none"/>
          <w:shd w:val="clear" w:color="auto" w:fill="FFFFFF"/>
          <w:lang w:val="en-US" w:eastAsia="zh-CN" w:bidi="ar-SA"/>
        </w:rPr>
        <w:t>建设工期总时间不超过14个月（合同签订之日起6个月内，中标人应当完成GIS地图的部署工作，在14个月内完成软件系统及接口开发、数据资源相关建设，完成系统测试、软件部署），实施总时间不超过22个月（从合同生效之日起至竣工验收合格）</w:t>
      </w:r>
      <w:r>
        <w:rPr>
          <w:rFonts w:hint="eastAsia" w:cs="宋体"/>
          <w:b w:val="0"/>
          <w:bCs w:val="0"/>
          <w:color w:val="auto"/>
          <w:kern w:val="2"/>
          <w:sz w:val="21"/>
          <w:szCs w:val="21"/>
          <w:highlight w:val="none"/>
          <w:shd w:val="clear" w:color="auto" w:fill="FFFFFF"/>
          <w:lang w:val="en-US" w:eastAsia="zh-CN" w:bidi="ar-SA"/>
        </w:rPr>
        <w:t>。</w:t>
      </w:r>
    </w:p>
    <w:p w14:paraId="62556F8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4.预算金额：10453200.00元，最高限价：10453200.00元，分项汇总限价表如下：</w:t>
      </w:r>
    </w:p>
    <w:p w14:paraId="21D125E2">
      <w:pPr>
        <w:widowControl w:val="0"/>
        <w:adjustRightInd w:val="0"/>
        <w:snapToGrid w:val="0"/>
        <w:spacing w:line="360" w:lineRule="auto"/>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分项汇总限价表</w:t>
      </w:r>
    </w:p>
    <w:tbl>
      <w:tblPr>
        <w:tblStyle w:val="4"/>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87"/>
        <w:gridCol w:w="3429"/>
        <w:gridCol w:w="1865"/>
      </w:tblGrid>
      <w:tr w14:paraId="1FE0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614A54D">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0E140994">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名称及类别</w:t>
            </w:r>
          </w:p>
        </w:tc>
        <w:tc>
          <w:tcPr>
            <w:tcW w:w="1865" w:type="dxa"/>
            <w:tcBorders>
              <w:top w:val="single" w:color="auto" w:sz="4" w:space="0"/>
              <w:left w:val="single" w:color="auto" w:sz="4" w:space="0"/>
              <w:bottom w:val="single" w:color="auto" w:sz="4" w:space="0"/>
              <w:right w:val="single" w:color="auto" w:sz="4" w:space="0"/>
            </w:tcBorders>
            <w:vAlign w:val="center"/>
          </w:tcPr>
          <w:p w14:paraId="100ED693">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各分项限价金额(万元)</w:t>
            </w:r>
          </w:p>
        </w:tc>
      </w:tr>
      <w:tr w14:paraId="7501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1F30831">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0C3C4471">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GIS地图</w:t>
            </w:r>
          </w:p>
        </w:tc>
        <w:tc>
          <w:tcPr>
            <w:tcW w:w="1865" w:type="dxa"/>
            <w:tcBorders>
              <w:top w:val="single" w:color="auto" w:sz="4" w:space="0"/>
              <w:left w:val="single" w:color="auto" w:sz="4" w:space="0"/>
              <w:bottom w:val="single" w:color="auto" w:sz="4" w:space="0"/>
              <w:right w:val="single" w:color="auto" w:sz="4" w:space="0"/>
            </w:tcBorders>
            <w:vAlign w:val="center"/>
          </w:tcPr>
          <w:p w14:paraId="1F432AE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832</w:t>
            </w:r>
          </w:p>
        </w:tc>
      </w:tr>
      <w:tr w14:paraId="38D8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AA8BB17">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778487E6">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数据管理</w:t>
            </w:r>
          </w:p>
        </w:tc>
        <w:tc>
          <w:tcPr>
            <w:tcW w:w="1865" w:type="dxa"/>
            <w:tcBorders>
              <w:top w:val="single" w:color="auto" w:sz="4" w:space="0"/>
              <w:left w:val="single" w:color="auto" w:sz="4" w:space="0"/>
              <w:bottom w:val="single" w:color="auto" w:sz="4" w:space="0"/>
              <w:right w:val="single" w:color="auto" w:sz="4" w:space="0"/>
            </w:tcBorders>
            <w:vAlign w:val="center"/>
          </w:tcPr>
          <w:p w14:paraId="64F62ED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178</w:t>
            </w:r>
          </w:p>
        </w:tc>
      </w:tr>
      <w:tr w14:paraId="4B81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830BBC0">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705B9AB0">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空间分析</w:t>
            </w:r>
          </w:p>
        </w:tc>
        <w:tc>
          <w:tcPr>
            <w:tcW w:w="1865" w:type="dxa"/>
            <w:tcBorders>
              <w:top w:val="single" w:color="auto" w:sz="4" w:space="0"/>
              <w:left w:val="single" w:color="auto" w:sz="4" w:space="0"/>
              <w:bottom w:val="single" w:color="auto" w:sz="4" w:space="0"/>
              <w:right w:val="single" w:color="auto" w:sz="4" w:space="0"/>
            </w:tcBorders>
            <w:vAlign w:val="center"/>
          </w:tcPr>
          <w:p w14:paraId="5C211ED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136</w:t>
            </w:r>
          </w:p>
        </w:tc>
      </w:tr>
      <w:tr w14:paraId="35F2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ED01980">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5665DC94">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可视化渲染</w:t>
            </w:r>
          </w:p>
        </w:tc>
        <w:tc>
          <w:tcPr>
            <w:tcW w:w="1865" w:type="dxa"/>
            <w:tcBorders>
              <w:top w:val="single" w:color="auto" w:sz="4" w:space="0"/>
              <w:left w:val="single" w:color="auto" w:sz="4" w:space="0"/>
              <w:bottom w:val="single" w:color="auto" w:sz="4" w:space="0"/>
              <w:right w:val="single" w:color="auto" w:sz="4" w:space="0"/>
            </w:tcBorders>
            <w:vAlign w:val="center"/>
          </w:tcPr>
          <w:p w14:paraId="01589C6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w:t>
            </w:r>
          </w:p>
        </w:tc>
      </w:tr>
      <w:tr w14:paraId="5E04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41E1517">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3662F609">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业务支撑</w:t>
            </w:r>
          </w:p>
        </w:tc>
        <w:tc>
          <w:tcPr>
            <w:tcW w:w="1865" w:type="dxa"/>
            <w:tcBorders>
              <w:top w:val="single" w:color="auto" w:sz="4" w:space="0"/>
              <w:left w:val="single" w:color="auto" w:sz="4" w:space="0"/>
              <w:bottom w:val="single" w:color="auto" w:sz="4" w:space="0"/>
              <w:right w:val="single" w:color="auto" w:sz="4" w:space="0"/>
            </w:tcBorders>
            <w:vAlign w:val="center"/>
          </w:tcPr>
          <w:p w14:paraId="69D4775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88</w:t>
            </w:r>
          </w:p>
        </w:tc>
      </w:tr>
      <w:tr w14:paraId="636B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38D1D62">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6D4AA2B3">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二维地图制作与更新</w:t>
            </w:r>
          </w:p>
        </w:tc>
        <w:tc>
          <w:tcPr>
            <w:tcW w:w="1865" w:type="dxa"/>
            <w:tcBorders>
              <w:top w:val="single" w:color="auto" w:sz="4" w:space="0"/>
              <w:left w:val="single" w:color="auto" w:sz="4" w:space="0"/>
              <w:bottom w:val="single" w:color="auto" w:sz="4" w:space="0"/>
              <w:right w:val="single" w:color="auto" w:sz="4" w:space="0"/>
            </w:tcBorders>
            <w:vAlign w:val="center"/>
          </w:tcPr>
          <w:p w14:paraId="27D6AA7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r>
      <w:tr w14:paraId="4250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5787604">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3A10CCAE">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数据治理</w:t>
            </w:r>
          </w:p>
        </w:tc>
        <w:tc>
          <w:tcPr>
            <w:tcW w:w="1865" w:type="dxa"/>
            <w:tcBorders>
              <w:top w:val="single" w:color="auto" w:sz="4" w:space="0"/>
              <w:left w:val="single" w:color="auto" w:sz="4" w:space="0"/>
              <w:bottom w:val="single" w:color="auto" w:sz="4" w:space="0"/>
              <w:right w:val="single" w:color="auto" w:sz="4" w:space="0"/>
            </w:tcBorders>
            <w:vAlign w:val="center"/>
          </w:tcPr>
          <w:p w14:paraId="750F77E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163.4</w:t>
            </w:r>
          </w:p>
        </w:tc>
      </w:tr>
      <w:tr w14:paraId="1F98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restart"/>
            <w:tcBorders>
              <w:top w:val="single" w:color="auto" w:sz="4" w:space="0"/>
              <w:left w:val="single" w:color="auto" w:sz="4" w:space="0"/>
              <w:right w:val="single" w:color="auto" w:sz="4" w:space="0"/>
            </w:tcBorders>
            <w:vAlign w:val="center"/>
          </w:tcPr>
          <w:p w14:paraId="640258DB">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987" w:type="dxa"/>
            <w:vMerge w:val="restart"/>
            <w:tcBorders>
              <w:top w:val="single" w:color="auto" w:sz="4" w:space="0"/>
              <w:left w:val="single" w:color="auto" w:sz="4" w:space="0"/>
              <w:right w:val="single" w:color="auto" w:sz="4" w:space="0"/>
            </w:tcBorders>
            <w:vAlign w:val="center"/>
          </w:tcPr>
          <w:p w14:paraId="28114B01">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国省干线空间数据接入治理</w:t>
            </w:r>
          </w:p>
        </w:tc>
        <w:tc>
          <w:tcPr>
            <w:tcW w:w="3429" w:type="dxa"/>
            <w:tcBorders>
              <w:top w:val="single" w:color="auto" w:sz="4" w:space="0"/>
              <w:left w:val="single" w:color="auto" w:sz="4" w:space="0"/>
              <w:bottom w:val="single" w:color="auto" w:sz="4" w:space="0"/>
              <w:right w:val="single" w:color="auto" w:sz="4" w:space="0"/>
            </w:tcBorders>
            <w:vAlign w:val="center"/>
          </w:tcPr>
          <w:p w14:paraId="040BC1C9">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全省国省干线空间数据接入</w:t>
            </w:r>
          </w:p>
        </w:tc>
        <w:tc>
          <w:tcPr>
            <w:tcW w:w="1865" w:type="dxa"/>
            <w:tcBorders>
              <w:top w:val="single" w:color="auto" w:sz="4" w:space="0"/>
              <w:left w:val="single" w:color="auto" w:sz="4" w:space="0"/>
              <w:bottom w:val="single" w:color="auto" w:sz="4" w:space="0"/>
              <w:right w:val="single" w:color="auto" w:sz="4" w:space="0"/>
            </w:tcBorders>
            <w:vAlign w:val="center"/>
          </w:tcPr>
          <w:p w14:paraId="2283B75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5.16</w:t>
            </w:r>
          </w:p>
        </w:tc>
      </w:tr>
      <w:tr w14:paraId="7E09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0CE7B36A">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185873E1">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1B4961B1">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全省国省干线三维模型数据接入</w:t>
            </w:r>
          </w:p>
        </w:tc>
        <w:tc>
          <w:tcPr>
            <w:tcW w:w="1865" w:type="dxa"/>
            <w:tcBorders>
              <w:top w:val="single" w:color="auto" w:sz="4" w:space="0"/>
              <w:left w:val="single" w:color="auto" w:sz="4" w:space="0"/>
              <w:bottom w:val="single" w:color="auto" w:sz="4" w:space="0"/>
              <w:right w:val="single" w:color="auto" w:sz="4" w:space="0"/>
            </w:tcBorders>
            <w:vAlign w:val="center"/>
          </w:tcPr>
          <w:p w14:paraId="318F613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5.16</w:t>
            </w:r>
          </w:p>
        </w:tc>
      </w:tr>
      <w:tr w14:paraId="6FD2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3C485059">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6758E32C">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44BCA097">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全省国省干线空间数据治理标准</w:t>
            </w:r>
          </w:p>
        </w:tc>
        <w:tc>
          <w:tcPr>
            <w:tcW w:w="1865" w:type="dxa"/>
            <w:tcBorders>
              <w:top w:val="single" w:color="auto" w:sz="4" w:space="0"/>
              <w:left w:val="single" w:color="auto" w:sz="4" w:space="0"/>
              <w:bottom w:val="single" w:color="auto" w:sz="4" w:space="0"/>
              <w:right w:val="single" w:color="auto" w:sz="4" w:space="0"/>
            </w:tcBorders>
            <w:vAlign w:val="center"/>
          </w:tcPr>
          <w:p w14:paraId="2CBE69B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5.16</w:t>
            </w:r>
          </w:p>
        </w:tc>
      </w:tr>
      <w:tr w14:paraId="2916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275FF9A9">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387FB84B">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49A66B23">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全省国省干线空间数据清洗与校准</w:t>
            </w:r>
          </w:p>
        </w:tc>
        <w:tc>
          <w:tcPr>
            <w:tcW w:w="1865" w:type="dxa"/>
            <w:tcBorders>
              <w:top w:val="single" w:color="auto" w:sz="4" w:space="0"/>
              <w:left w:val="single" w:color="auto" w:sz="4" w:space="0"/>
              <w:bottom w:val="single" w:color="auto" w:sz="4" w:space="0"/>
              <w:right w:val="single" w:color="auto" w:sz="4" w:space="0"/>
            </w:tcBorders>
            <w:vAlign w:val="center"/>
          </w:tcPr>
          <w:p w14:paraId="470B8AB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20.64</w:t>
            </w:r>
          </w:p>
        </w:tc>
      </w:tr>
      <w:tr w14:paraId="33C1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5EA5CAFA">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6869220A">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6BF5A899">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全省国省干线空间数据格式转换</w:t>
            </w:r>
          </w:p>
        </w:tc>
        <w:tc>
          <w:tcPr>
            <w:tcW w:w="1865" w:type="dxa"/>
            <w:tcBorders>
              <w:top w:val="single" w:color="auto" w:sz="4" w:space="0"/>
              <w:left w:val="single" w:color="auto" w:sz="4" w:space="0"/>
              <w:bottom w:val="single" w:color="auto" w:sz="4" w:space="0"/>
              <w:right w:val="single" w:color="auto" w:sz="4" w:space="0"/>
            </w:tcBorders>
            <w:vAlign w:val="center"/>
          </w:tcPr>
          <w:p w14:paraId="4D9D9F4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12.04</w:t>
            </w:r>
          </w:p>
        </w:tc>
      </w:tr>
      <w:tr w14:paraId="6F2F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0BAFC538">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25EED06E">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44F471EE">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全省国省干线空间坐标转换</w:t>
            </w:r>
          </w:p>
        </w:tc>
        <w:tc>
          <w:tcPr>
            <w:tcW w:w="1865" w:type="dxa"/>
            <w:tcBorders>
              <w:top w:val="single" w:color="auto" w:sz="4" w:space="0"/>
              <w:left w:val="single" w:color="auto" w:sz="4" w:space="0"/>
              <w:bottom w:val="single" w:color="auto" w:sz="4" w:space="0"/>
              <w:right w:val="single" w:color="auto" w:sz="4" w:space="0"/>
            </w:tcBorders>
            <w:vAlign w:val="center"/>
          </w:tcPr>
          <w:p w14:paraId="4F72937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13.76</w:t>
            </w:r>
          </w:p>
        </w:tc>
      </w:tr>
      <w:tr w14:paraId="434E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0DC24611">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37713943">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5164DCB7">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全省国省干线空间三维模型建模参数提取</w:t>
            </w:r>
          </w:p>
        </w:tc>
        <w:tc>
          <w:tcPr>
            <w:tcW w:w="1865" w:type="dxa"/>
            <w:tcBorders>
              <w:top w:val="single" w:color="auto" w:sz="4" w:space="0"/>
              <w:left w:val="single" w:color="auto" w:sz="4" w:space="0"/>
              <w:bottom w:val="single" w:color="auto" w:sz="4" w:space="0"/>
              <w:right w:val="single" w:color="auto" w:sz="4" w:space="0"/>
            </w:tcBorders>
            <w:vAlign w:val="center"/>
          </w:tcPr>
          <w:p w14:paraId="04C3408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17.20</w:t>
            </w:r>
          </w:p>
        </w:tc>
      </w:tr>
      <w:tr w14:paraId="03E8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282F926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66111D8E">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5066372C">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编码转换</w:t>
            </w:r>
          </w:p>
        </w:tc>
        <w:tc>
          <w:tcPr>
            <w:tcW w:w="1865" w:type="dxa"/>
            <w:tcBorders>
              <w:top w:val="single" w:color="auto" w:sz="4" w:space="0"/>
              <w:left w:val="single" w:color="auto" w:sz="4" w:space="0"/>
              <w:bottom w:val="single" w:color="auto" w:sz="4" w:space="0"/>
              <w:right w:val="single" w:color="auto" w:sz="4" w:space="0"/>
            </w:tcBorders>
            <w:vAlign w:val="center"/>
          </w:tcPr>
          <w:p w14:paraId="6539A4E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13.76</w:t>
            </w:r>
          </w:p>
        </w:tc>
      </w:tr>
      <w:tr w14:paraId="69F2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bottom w:val="single" w:color="auto" w:sz="4" w:space="0"/>
              <w:right w:val="single" w:color="auto" w:sz="4" w:space="0"/>
            </w:tcBorders>
            <w:vAlign w:val="center"/>
          </w:tcPr>
          <w:p w14:paraId="171767AC">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bottom w:val="single" w:color="auto" w:sz="4" w:space="0"/>
              <w:right w:val="single" w:color="auto" w:sz="4" w:space="0"/>
            </w:tcBorders>
            <w:vAlign w:val="center"/>
          </w:tcPr>
          <w:p w14:paraId="56B3A320">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72712DC7">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公里桩匹配</w:t>
            </w:r>
          </w:p>
        </w:tc>
        <w:tc>
          <w:tcPr>
            <w:tcW w:w="1865" w:type="dxa"/>
            <w:tcBorders>
              <w:top w:val="single" w:color="auto" w:sz="4" w:space="0"/>
              <w:left w:val="single" w:color="auto" w:sz="4" w:space="0"/>
              <w:bottom w:val="single" w:color="auto" w:sz="4" w:space="0"/>
              <w:right w:val="single" w:color="auto" w:sz="4" w:space="0"/>
            </w:tcBorders>
            <w:vAlign w:val="center"/>
          </w:tcPr>
          <w:p w14:paraId="7861FD1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13.76</w:t>
            </w:r>
          </w:p>
        </w:tc>
      </w:tr>
      <w:tr w14:paraId="5469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restart"/>
            <w:tcBorders>
              <w:top w:val="single" w:color="auto" w:sz="4" w:space="0"/>
              <w:left w:val="single" w:color="auto" w:sz="4" w:space="0"/>
              <w:right w:val="single" w:color="auto" w:sz="4" w:space="0"/>
            </w:tcBorders>
            <w:vAlign w:val="center"/>
          </w:tcPr>
          <w:p w14:paraId="520837B1">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987" w:type="dxa"/>
            <w:vMerge w:val="restart"/>
            <w:tcBorders>
              <w:top w:val="single" w:color="auto" w:sz="4" w:space="0"/>
              <w:left w:val="single" w:color="auto" w:sz="4" w:space="0"/>
              <w:right w:val="single" w:color="auto" w:sz="4" w:space="0"/>
            </w:tcBorders>
            <w:vAlign w:val="center"/>
          </w:tcPr>
          <w:p w14:paraId="5E56F34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多源地图数据融合</w:t>
            </w:r>
          </w:p>
        </w:tc>
        <w:tc>
          <w:tcPr>
            <w:tcW w:w="3429" w:type="dxa"/>
            <w:tcBorders>
              <w:top w:val="single" w:color="auto" w:sz="4" w:space="0"/>
              <w:left w:val="single" w:color="auto" w:sz="4" w:space="0"/>
              <w:bottom w:val="single" w:color="auto" w:sz="4" w:space="0"/>
              <w:right w:val="single" w:color="auto" w:sz="4" w:space="0"/>
            </w:tcBorders>
            <w:vAlign w:val="center"/>
          </w:tcPr>
          <w:p w14:paraId="6C9CEC4B">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国省干线高精地图与高速公路高精地图融合</w:t>
            </w:r>
          </w:p>
        </w:tc>
        <w:tc>
          <w:tcPr>
            <w:tcW w:w="1865" w:type="dxa"/>
            <w:tcBorders>
              <w:top w:val="single" w:color="auto" w:sz="4" w:space="0"/>
              <w:left w:val="single" w:color="auto" w:sz="4" w:space="0"/>
              <w:bottom w:val="single" w:color="auto" w:sz="4" w:space="0"/>
              <w:right w:val="single" w:color="auto" w:sz="4" w:space="0"/>
            </w:tcBorders>
            <w:vAlign w:val="center"/>
          </w:tcPr>
          <w:p w14:paraId="77F4E57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25.80</w:t>
            </w:r>
          </w:p>
        </w:tc>
      </w:tr>
      <w:tr w14:paraId="2351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577F254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6BABF7A9">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7FE3BB29">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高精地图和标精地图融合</w:t>
            </w:r>
          </w:p>
        </w:tc>
        <w:tc>
          <w:tcPr>
            <w:tcW w:w="1865" w:type="dxa"/>
            <w:tcBorders>
              <w:top w:val="single" w:color="auto" w:sz="4" w:space="0"/>
              <w:left w:val="single" w:color="auto" w:sz="4" w:space="0"/>
              <w:bottom w:val="single" w:color="auto" w:sz="4" w:space="0"/>
              <w:right w:val="single" w:color="auto" w:sz="4" w:space="0"/>
            </w:tcBorders>
            <w:vAlign w:val="center"/>
          </w:tcPr>
          <w:p w14:paraId="1C4294A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13.76</w:t>
            </w:r>
          </w:p>
        </w:tc>
      </w:tr>
      <w:tr w14:paraId="1F60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48801605">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3D963CFE">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36D4CE8D">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航道图与标精地图融合</w:t>
            </w:r>
          </w:p>
        </w:tc>
        <w:tc>
          <w:tcPr>
            <w:tcW w:w="1865" w:type="dxa"/>
            <w:tcBorders>
              <w:top w:val="single" w:color="auto" w:sz="4" w:space="0"/>
              <w:left w:val="single" w:color="auto" w:sz="4" w:space="0"/>
              <w:bottom w:val="single" w:color="auto" w:sz="4" w:space="0"/>
              <w:right w:val="single" w:color="auto" w:sz="4" w:space="0"/>
            </w:tcBorders>
            <w:vAlign w:val="center"/>
          </w:tcPr>
          <w:p w14:paraId="02BD13A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13.76</w:t>
            </w:r>
          </w:p>
        </w:tc>
      </w:tr>
      <w:tr w14:paraId="27F9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bottom w:val="single" w:color="auto" w:sz="4" w:space="0"/>
              <w:right w:val="single" w:color="auto" w:sz="4" w:space="0"/>
            </w:tcBorders>
            <w:vAlign w:val="center"/>
          </w:tcPr>
          <w:p w14:paraId="3CA09CD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bottom w:val="single" w:color="auto" w:sz="4" w:space="0"/>
              <w:right w:val="single" w:color="auto" w:sz="4" w:space="0"/>
            </w:tcBorders>
            <w:vAlign w:val="center"/>
          </w:tcPr>
          <w:p w14:paraId="0F8E4E99">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57A0AADC">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全省影像数据和标精地图的融合</w:t>
            </w:r>
          </w:p>
        </w:tc>
        <w:tc>
          <w:tcPr>
            <w:tcW w:w="1865" w:type="dxa"/>
            <w:tcBorders>
              <w:top w:val="single" w:color="auto" w:sz="4" w:space="0"/>
              <w:left w:val="single" w:color="auto" w:sz="4" w:space="0"/>
              <w:bottom w:val="single" w:color="auto" w:sz="4" w:space="0"/>
              <w:right w:val="single" w:color="auto" w:sz="4" w:space="0"/>
            </w:tcBorders>
            <w:vAlign w:val="center"/>
          </w:tcPr>
          <w:p w14:paraId="4570D0B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3.44</w:t>
            </w:r>
          </w:p>
        </w:tc>
      </w:tr>
      <w:tr w14:paraId="371B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7438CD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19186CC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集成费</w:t>
            </w:r>
          </w:p>
        </w:tc>
        <w:tc>
          <w:tcPr>
            <w:tcW w:w="1865" w:type="dxa"/>
            <w:tcBorders>
              <w:top w:val="single" w:color="auto" w:sz="4" w:space="0"/>
              <w:left w:val="single" w:color="auto" w:sz="4" w:space="0"/>
              <w:bottom w:val="single" w:color="auto" w:sz="4" w:space="0"/>
              <w:right w:val="single" w:color="auto" w:sz="4" w:space="0"/>
            </w:tcBorders>
            <w:vAlign w:val="center"/>
          </w:tcPr>
          <w:p w14:paraId="51DD7EA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49.92</w:t>
            </w:r>
          </w:p>
        </w:tc>
      </w:tr>
    </w:tbl>
    <w:p w14:paraId="18DC9A4F">
      <w:pPr>
        <w:bidi w:val="0"/>
        <w:spacing w:line="360" w:lineRule="auto"/>
        <w:ind w:firstLine="420" w:firstLineChars="20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注：（1）</w:t>
      </w:r>
      <w:r>
        <w:rPr>
          <w:rFonts w:hint="eastAsia" w:ascii="宋体" w:hAnsi="宋体" w:eastAsia="宋体" w:cs="Times New Roman"/>
          <w:color w:val="auto"/>
          <w:kern w:val="2"/>
          <w:sz w:val="21"/>
          <w:szCs w:val="21"/>
          <w:highlight w:val="none"/>
          <w:lang w:val="en-US" w:eastAsia="zh-CN" w:bidi="ar-SA"/>
        </w:rPr>
        <w:t>投标人应按本采购需求中的</w:t>
      </w:r>
      <w:r>
        <w:rPr>
          <w:rFonts w:hint="eastAsia" w:ascii="宋体" w:hAnsi="宋体" w:eastAsia="宋体" w:cs="Times New Roman"/>
          <w:b/>
          <w:bCs/>
          <w:color w:val="auto"/>
          <w:kern w:val="2"/>
          <w:sz w:val="21"/>
          <w:szCs w:val="21"/>
          <w:highlight w:val="none"/>
          <w:lang w:val="en-US" w:eastAsia="zh-CN" w:bidi="ar-SA"/>
        </w:rPr>
        <w:t>《分项汇总限价表》</w:t>
      </w:r>
      <w:r>
        <w:rPr>
          <w:rFonts w:hint="eastAsia" w:ascii="宋体" w:hAnsi="宋体" w:eastAsia="宋体" w:cs="Times New Roman"/>
          <w:color w:val="auto"/>
          <w:kern w:val="2"/>
          <w:sz w:val="21"/>
          <w:szCs w:val="21"/>
          <w:highlight w:val="none"/>
          <w:lang w:val="en-US" w:eastAsia="zh-CN" w:bidi="ar-SA"/>
        </w:rPr>
        <w:t>逐项进行报价，且相应分项汇总金额不得超过上表中的分项汇总限价金额，否则视为</w:t>
      </w:r>
      <w:r>
        <w:rPr>
          <w:rFonts w:hint="eastAsia" w:ascii="宋体" w:hAnsi="宋体" w:eastAsia="宋体" w:cs="Times New Roman"/>
          <w:b/>
          <w:bCs/>
          <w:color w:val="auto"/>
          <w:kern w:val="2"/>
          <w:sz w:val="21"/>
          <w:szCs w:val="21"/>
          <w:highlight w:val="none"/>
          <w:lang w:val="en-US" w:eastAsia="zh-CN" w:bidi="ar-SA"/>
        </w:rPr>
        <w:t>无效投标。</w:t>
      </w:r>
    </w:p>
    <w:p w14:paraId="6B286E8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（2）数据处理服务原则上按照《关于省级政务信息化建设项目支出预算标准的规定》豫财预〔2024〕105号）文件据实结算。</w:t>
      </w:r>
    </w:p>
    <w:p w14:paraId="0052B4B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质保期（免费维护期）：自项目竣工验收合格之日起开始计算，成品软件免费运维三年；开发软件免费运维一年。针对本项目提供7*24免费售后技术支持服务（包括但不限于版本升级、漏洞修复、故障排除、性能调优、技术咨询等）。</w:t>
      </w:r>
    </w:p>
    <w:p w14:paraId="4039343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内容：（1）建设GIS地图，通过对河南省公路水路交通基础设施的地理信息数据进行采集，生产各种类型的GIS数据资产，完成数据接入及融合建库，并通过搭建地图引擎，形成对接业务应用的融合开放平台，以支撑数字化转型的上层应用。（2）国省干线空间数据接入治理，主要包括全省国省干线空间数据接入、全省国省干线三维模型数据接入、全省国省干线空间数据治理标准、全省国省干线空间数据清洗与校准、全省国省干线空间数据格式转换、全省国省干线空间坐标转换、全省国省干线空间三维模型建模参数提取、编码转换、公里桩匹配。（3）多源地图数据融合，主要包括国省干线高精地图与高速公路高精地图融合、高精地图和标精地图融合、航道图与标精地图融合、全省影像数据和标精地图的融合。负责在采购人指定地点开发、调试软件，负责相关软硬件购置及安装集成、系统相关数据资源建设、相关标准规范建设、系统部署及推广应用，并负责培训采购人（含相关用户单位）人员，使所建设的系统得以正常运行，满足采购人（含相关用户单位）的需要。</w:t>
      </w:r>
    </w:p>
    <w:p w14:paraId="1950D5BA">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14" w:name="_Toc6192"/>
      <w:bookmarkStart w:id="15" w:name="_Toc256000048"/>
      <w:bookmarkStart w:id="16" w:name="_Toc20623"/>
      <w:bookmarkStart w:id="17" w:name="_Toc73010251"/>
      <w:r>
        <w:rPr>
          <w:rFonts w:hint="eastAsia" w:ascii="宋体" w:hAnsi="宋体" w:eastAsia="宋体" w:cs="宋体"/>
          <w:color w:val="auto"/>
          <w:sz w:val="21"/>
          <w:szCs w:val="21"/>
          <w:highlight w:val="none"/>
          <w:lang w:val="en-US" w:eastAsia="zh-CN"/>
        </w:rPr>
        <w:t>二、建设要求</w:t>
      </w:r>
      <w:bookmarkEnd w:id="14"/>
      <w:bookmarkEnd w:id="15"/>
      <w:bookmarkEnd w:id="16"/>
      <w:bookmarkEnd w:id="17"/>
    </w:p>
    <w:p w14:paraId="4D240AE6">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18" w:name="_Toc668"/>
      <w:bookmarkStart w:id="19" w:name="_Toc73010252"/>
      <w:bookmarkStart w:id="20" w:name="_Toc27106"/>
      <w:bookmarkStart w:id="21" w:name="_Toc256000049"/>
      <w:r>
        <w:rPr>
          <w:rFonts w:hint="eastAsia" w:ascii="宋体" w:hAnsi="宋体" w:eastAsia="宋体" w:cs="宋体"/>
          <w:color w:val="auto"/>
          <w:sz w:val="21"/>
          <w:szCs w:val="21"/>
          <w:highlight w:val="none"/>
          <w:lang w:val="en-US" w:eastAsia="zh-CN"/>
        </w:rPr>
        <w:t>（一）基本要求</w:t>
      </w:r>
      <w:bookmarkEnd w:id="18"/>
      <w:bookmarkEnd w:id="19"/>
      <w:bookmarkEnd w:id="20"/>
      <w:bookmarkEnd w:id="21"/>
    </w:p>
    <w:p w14:paraId="7AC2FA9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承担河南省“一轴一廊”交通基础设施数字化转型升级示范通道及网络项目中地理信息平台建设，具体内容包括但不限于：中标人应当完成项目需求调研与确认、软件开发与实施（概要设计、详细设计及编码）、软件购置、接口开发、数据资源建设、试运行、培训、部署及推广应用、验收、升级与售后服务等，满足采购人（含相关用户单位）的需要，并正常运行。</w:t>
      </w:r>
    </w:p>
    <w:p w14:paraId="25142EF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因本项目涉及多家用户单位，中标人应加强与采购人以及各相关用户单位的汇报、沟通、对接，确保项目建成后符合本项目招标文件中技术规格书、报交通运输部备案的《河南省“一轴一廊”交通基础设施数字化转型升级示范通道及网络实施方案》以及经河南省发展和改革委员会批复的《河南省智慧交通服务云平台项目初步设计和投资概算》等全部要求，并应符合交通运输部、河南省相关技术标准、规范及文件要求，最终确保满足交通运输部组织的绩效评价考核各项考评指标要求。</w:t>
      </w:r>
    </w:p>
    <w:p w14:paraId="1259ED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3.中标人应按照采购人制订的数据及业务整合相关标准、规范及要求开展项目建设。</w:t>
      </w:r>
    </w:p>
    <w:p w14:paraId="1F05B7C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标人开发软件必须遵守国家《中华人民共和国网络安全法》《中华人民共和国数据安全法》《中华人民共和国个人信息保护法》《信息安全技术个人信息安全规范》等有关的法律法规，不得造成采购人因使用该软件出现数据合规风险和承担法律责任。</w:t>
      </w:r>
    </w:p>
    <w:p w14:paraId="2B72CC5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5.本项目所有功能均需支持PC端、移动端APP等多端显示和使用，移动端APP需适配安卓、鸿蒙、IOS等移动操作系统。</w:t>
      </w:r>
    </w:p>
    <w:p w14:paraId="1A067A4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签订之日起6个月内，中标人应当完成地理信息平台的部署工作。在14个月内完成软件系统及接口开发、数据资源相关建设，完成系统测试、软件部署的工作。由中标人组织交工验收，由采购人同意后，相关系统进入系统联调。</w:t>
      </w:r>
    </w:p>
    <w:p w14:paraId="39683E5C">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22" w:name="_Toc73010253"/>
      <w:bookmarkStart w:id="23" w:name="_Toc11190"/>
      <w:bookmarkStart w:id="24" w:name="_Toc256000050"/>
      <w:bookmarkStart w:id="25" w:name="_Toc6337"/>
      <w:r>
        <w:rPr>
          <w:rFonts w:hint="eastAsia" w:ascii="宋体" w:hAnsi="宋体" w:eastAsia="宋体" w:cs="宋体"/>
          <w:color w:val="auto"/>
          <w:sz w:val="21"/>
          <w:szCs w:val="21"/>
          <w:highlight w:val="none"/>
          <w:lang w:val="en-US" w:eastAsia="zh-CN"/>
        </w:rPr>
        <w:t>（二）功能需求</w:t>
      </w:r>
      <w:bookmarkEnd w:id="22"/>
      <w:bookmarkEnd w:id="23"/>
      <w:bookmarkEnd w:id="24"/>
      <w:bookmarkEnd w:id="25"/>
    </w:p>
    <w:p w14:paraId="113329D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本包主要包括GIS地图、国省干线空间数据接入治理、多源地图数据融合3个部分。</w:t>
      </w:r>
    </w:p>
    <w:p w14:paraId="681786C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1.GIS地图</w:t>
      </w:r>
    </w:p>
    <w:p w14:paraId="699B6B2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通过对河南省公路水路交通基础设施的地理信息数据进行采集，生产各种类型的GIS数据资产，完成数据接入及融合建库，并通过搭建地图引擎，形成对接业务应用的融合开放平台，以支撑数字化转型的上层应用。</w:t>
      </w:r>
    </w:p>
    <w:p w14:paraId="0A6B44C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2.国省干线空间数据接入治理</w:t>
      </w:r>
    </w:p>
    <w:p w14:paraId="5039B52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包括全省国省干线空间数据接入、全省国省干线三维模型数据接入、全省国省干线空间数据治理标准、全省国省干线空间数据清洗与校准、全省国省干线空间数据格式转换、全省国省干线空间坐标转换、全省国省干线空间三维模型建模参数提取、编码转换、公里桩匹配。</w:t>
      </w:r>
    </w:p>
    <w:p w14:paraId="50E7312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3.多源地图数据融合</w:t>
      </w:r>
    </w:p>
    <w:p w14:paraId="14DE5BA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主要包括国省干线高精地图与高速公路高精地图融合、高精地图和标精地图融合、航道图与标精地图融合、全省影像数据和标精地图的融合。</w:t>
      </w:r>
    </w:p>
    <w:p w14:paraId="539E99F2">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26" w:name="_Toc73010254"/>
      <w:bookmarkStart w:id="27" w:name="_Toc7565"/>
      <w:bookmarkStart w:id="28" w:name="_Toc256000051"/>
      <w:bookmarkStart w:id="29" w:name="_Toc2426"/>
      <w:r>
        <w:rPr>
          <w:rFonts w:hint="eastAsia" w:ascii="宋体" w:hAnsi="宋体" w:eastAsia="宋体" w:cs="宋体"/>
          <w:color w:val="auto"/>
          <w:sz w:val="21"/>
          <w:szCs w:val="21"/>
          <w:highlight w:val="none"/>
          <w:lang w:val="en-US" w:eastAsia="zh-CN"/>
        </w:rPr>
        <w:t>（三）系统性能要求</w:t>
      </w:r>
      <w:bookmarkEnd w:id="26"/>
      <w:bookmarkEnd w:id="27"/>
      <w:bookmarkEnd w:id="28"/>
      <w:bookmarkEnd w:id="29"/>
    </w:p>
    <w:p w14:paraId="0684BE5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具体要求详见本采购需求附件。</w:t>
      </w:r>
    </w:p>
    <w:p w14:paraId="2D87F3BE">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30" w:name="_Toc5406"/>
      <w:bookmarkStart w:id="31" w:name="_Toc256000052"/>
      <w:bookmarkStart w:id="32" w:name="_Toc28260"/>
      <w:r>
        <w:rPr>
          <w:rFonts w:hint="eastAsia" w:ascii="宋体" w:hAnsi="宋体" w:eastAsia="宋体" w:cs="宋体"/>
          <w:color w:val="auto"/>
          <w:sz w:val="21"/>
          <w:szCs w:val="21"/>
          <w:highlight w:val="none"/>
          <w:lang w:val="en-US" w:eastAsia="zh-CN"/>
        </w:rPr>
        <w:t>（四）信创要求</w:t>
      </w:r>
      <w:bookmarkEnd w:id="30"/>
      <w:bookmarkEnd w:id="31"/>
    </w:p>
    <w:p w14:paraId="539E807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为贯彻国家信息化创新（信创）发展战略，确保本项目在关键技术上的自主可控与安全可靠，本项目要求须全面符合国家信创标准。具体包括：</w:t>
      </w:r>
    </w:p>
    <w:p w14:paraId="02B310C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1.技术路线要求：投标人提供的硬件及成品软件须为符合信创技术路线的产品。</w:t>
      </w:r>
    </w:p>
    <w:p w14:paraId="2A984B7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2.产品兼容性：投标人须确保其提供的系统软件、应用软件与中国信息安全测评中心发布的安全可靠测评结果公告内的主流国产基础软硬件具有良好的兼容性。</w:t>
      </w:r>
    </w:p>
    <w:p w14:paraId="2F93B02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3.安全可控要求：系统设计应遵循安全可控原则，从数据安全、网络安全、身份认证与访问控制等方面，利用国产化技术体系实现安全增强，确保从底层基础设施到上层应用的全链路安全。</w:t>
      </w:r>
    </w:p>
    <w:p w14:paraId="4FDABC0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4.实施与交付：中标人应在项目实施、部署、测试及试运行等各个环节，确保所开发的系统完成在国产化环境下的适配、调优与稳定运行，最终交付的系统必须是完整、可用的国产化信息系统。</w:t>
      </w:r>
    </w:p>
    <w:p w14:paraId="156C919E">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33" w:name="_Toc256000053"/>
      <w:bookmarkStart w:id="34" w:name="_Toc11772"/>
      <w:r>
        <w:rPr>
          <w:rFonts w:hint="eastAsia" w:ascii="宋体" w:hAnsi="宋体" w:eastAsia="宋体" w:cs="宋体"/>
          <w:color w:val="auto"/>
          <w:sz w:val="21"/>
          <w:szCs w:val="21"/>
          <w:highlight w:val="none"/>
          <w:lang w:val="en-US" w:eastAsia="zh-CN"/>
        </w:rPr>
        <w:t>（五）等保要求</w:t>
      </w:r>
      <w:bookmarkEnd w:id="33"/>
      <w:bookmarkEnd w:id="34"/>
    </w:p>
    <w:p w14:paraId="011B26E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为保障本项目的安全稳定运行，依据《中华人民共和国网络安全法》及国家网络安全等级保护制度，本项目须严格遵循以下要求：</w:t>
      </w:r>
    </w:p>
    <w:p w14:paraId="09B030D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1.定级与备案要求：系统安全保护等级原则上不得低于等保三级（项目一阶段设计所明确的等级）。中标人须协助采购人，依据《信息安全技术 网络安全等级保护定级指南》（GB/T 22240-2020）等国家标准，完成系统的等保定级及备案工作。</w:t>
      </w:r>
    </w:p>
    <w:p w14:paraId="474EF93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2.安全设计与建设要求：中标人须在系统设计与开发阶段，严格依据《信息安全技术 网络安全等级保护基本要求》（GB/T 22239-2019）中相应等保级别要求，对系统的技术安全（包括安全物理环境、安全通信网络、安全区域边界、安全计算环境）和管理安全（包括安全管理制度、安全管理机构、安全管理人员、安全建设管理、安全运维管理）进行同步规划、同步建设。</w:t>
      </w:r>
    </w:p>
    <w:p w14:paraId="3BBC303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3.测评与整改要求：系统开发部署完成后，中标人须配合采购人委托的具有资质的第三方测评机构，对系统进行全面测评。中标人须负责解决测评过程中发现的所有安全问题并进行整改，直至所有系统通过测评。</w:t>
      </w:r>
    </w:p>
    <w:p w14:paraId="3D91FBEE">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35" w:name="_Toc28772"/>
      <w:bookmarkStart w:id="36" w:name="_Toc256000054"/>
      <w:r>
        <w:rPr>
          <w:rFonts w:hint="eastAsia" w:ascii="宋体" w:hAnsi="宋体" w:eastAsia="宋体" w:cs="宋体"/>
          <w:color w:val="auto"/>
          <w:sz w:val="21"/>
          <w:szCs w:val="21"/>
          <w:highlight w:val="none"/>
          <w:lang w:val="en-US" w:eastAsia="zh-CN"/>
        </w:rPr>
        <w:t>（六）国密要求</w:t>
      </w:r>
      <w:bookmarkEnd w:id="35"/>
      <w:bookmarkEnd w:id="36"/>
    </w:p>
    <w:p w14:paraId="247AA66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为保障本项目数据传输、存储及应用系统的安全可控，满足国家密码法律法规及商用密码管理要求，本项目在密码技术的应用上须遵循以下规定：</w:t>
      </w:r>
    </w:p>
    <w:p w14:paraId="104EF8E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1.算法标准：所有系统必须采用国家密码管理局批准的国产商用密码算法，包括但不限于SM2、SM3、SM4等，用于实现系统的身份认证、数字签名、数据加密、完整性保护等安全功能。</w:t>
      </w:r>
    </w:p>
    <w:p w14:paraId="40AF082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2.应用场景：国密算法应用场景包括但不限于传输、存储、身份认证、数字签名等</w:t>
      </w:r>
    </w:p>
    <w:p w14:paraId="15D8013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3.产品与合规要求：所使用的密码产品或内嵌密码技术的模块，原则上应选用具有《商用密码产品认证证书》的产品。</w:t>
      </w:r>
    </w:p>
    <w:p w14:paraId="1AB3F81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估与整改要求：中标人应配合采购人委托的具有资质的第三方评估机构开展商用密码应用安全性评估工作。中标人须负责解决评估过程中发现的所有安全问题并进行整改，直至所有系统通过评估，并取得国家商用密码管理部门出具的备案证明。</w:t>
      </w:r>
    </w:p>
    <w:p w14:paraId="68537C4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（七）为保障本项目数据库统一管理，本包中标人需提出数据库详细设计，由采购人统一创建数据库。</w:t>
      </w:r>
    </w:p>
    <w:p w14:paraId="05418B63">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37" w:name="_Toc256000055"/>
      <w:r>
        <w:rPr>
          <w:rFonts w:hint="eastAsia" w:ascii="宋体" w:hAnsi="宋体" w:eastAsia="宋体" w:cs="宋体"/>
          <w:color w:val="auto"/>
          <w:sz w:val="21"/>
          <w:szCs w:val="21"/>
          <w:highlight w:val="none"/>
          <w:lang w:val="en-US" w:eastAsia="zh-CN"/>
        </w:rPr>
        <w:t>三、技术规格</w:t>
      </w:r>
      <w:bookmarkEnd w:id="32"/>
      <w:bookmarkEnd w:id="37"/>
    </w:p>
    <w:p w14:paraId="3E8D003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（一）功能要求</w:t>
      </w:r>
    </w:p>
    <w:tbl>
      <w:tblPr>
        <w:tblStyle w:val="4"/>
        <w:tblpPr w:leftFromText="180" w:rightFromText="180" w:vertAnchor="text" w:horzAnchor="page" w:tblpX="1949"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339"/>
        <w:gridCol w:w="5735"/>
      </w:tblGrid>
      <w:tr w14:paraId="4F4B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64" w:type="dxa"/>
            <w:gridSpan w:val="2"/>
            <w:vAlign w:val="center"/>
          </w:tcPr>
          <w:p w14:paraId="3E909FD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GIS地图功能模块</w:t>
            </w:r>
          </w:p>
        </w:tc>
        <w:tc>
          <w:tcPr>
            <w:tcW w:w="5735" w:type="dxa"/>
            <w:vMerge w:val="restart"/>
            <w:vAlign w:val="center"/>
          </w:tcPr>
          <w:p w14:paraId="4D519EF3">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功能模块</w:t>
            </w:r>
          </w:p>
        </w:tc>
      </w:tr>
      <w:tr w14:paraId="70FF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25" w:type="dxa"/>
            <w:vAlign w:val="center"/>
          </w:tcPr>
          <w:p w14:paraId="279B921C">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一级功能</w:t>
            </w:r>
          </w:p>
        </w:tc>
        <w:tc>
          <w:tcPr>
            <w:tcW w:w="1339" w:type="dxa"/>
            <w:vAlign w:val="center"/>
          </w:tcPr>
          <w:p w14:paraId="164116FD">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二级功能</w:t>
            </w:r>
          </w:p>
        </w:tc>
        <w:tc>
          <w:tcPr>
            <w:tcW w:w="5735" w:type="dxa"/>
            <w:vMerge w:val="continue"/>
            <w:vAlign w:val="center"/>
          </w:tcPr>
          <w:p w14:paraId="5A1BA114">
            <w:pPr>
              <w:bidi w:val="0"/>
              <w:spacing w:line="360" w:lineRule="auto"/>
              <w:ind w:firstLine="420" w:firstLineChars="200"/>
              <w:rPr>
                <w:rFonts w:hint="eastAsia" w:ascii="宋体" w:hAnsi="宋体" w:eastAsia="宋体" w:cs="宋体"/>
                <w:color w:val="auto"/>
                <w:sz w:val="21"/>
                <w:szCs w:val="21"/>
                <w:highlight w:val="none"/>
                <w:lang w:val="en-US" w:eastAsia="zh-CN"/>
              </w:rPr>
            </w:pPr>
          </w:p>
        </w:tc>
      </w:tr>
      <w:tr w14:paraId="3BF3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1525" w:type="dxa"/>
            <w:vMerge w:val="restart"/>
            <w:vAlign w:val="center"/>
          </w:tcPr>
          <w:p w14:paraId="11FE144C">
            <w:pPr>
              <w:bidi w:val="0"/>
              <w:spacing w:line="360" w:lineRule="auto"/>
              <w:jc w:val="center"/>
              <w:rPr>
                <w:rFonts w:hint="eastAsia" w:ascii="宋体" w:hAnsi="宋体" w:eastAsia="宋体" w:cs="宋体"/>
                <w:color w:val="auto"/>
                <w:sz w:val="21"/>
                <w:szCs w:val="21"/>
                <w:highlight w:val="none"/>
                <w:lang w:val="en-US" w:eastAsia="zh-CN"/>
              </w:rPr>
            </w:pPr>
            <w:bookmarkStart w:id="38" w:name="OLE_LINK45"/>
            <w:bookmarkStart w:id="39" w:name="OLE_LINK43"/>
            <w:r>
              <w:rPr>
                <w:rFonts w:hint="eastAsia" w:ascii="宋体" w:hAnsi="宋体" w:eastAsia="宋体" w:cs="宋体"/>
                <w:color w:val="auto"/>
                <w:sz w:val="21"/>
                <w:szCs w:val="21"/>
                <w:highlight w:val="none"/>
                <w:lang w:val="en-US" w:eastAsia="zh-CN"/>
              </w:rPr>
              <w:t>数据管理</w:t>
            </w:r>
          </w:p>
        </w:tc>
        <w:tc>
          <w:tcPr>
            <w:tcW w:w="1339" w:type="dxa"/>
            <w:vAlign w:val="center"/>
          </w:tcPr>
          <w:p w14:paraId="5B5D6C04">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数据接入</w:t>
            </w:r>
          </w:p>
        </w:tc>
        <w:tc>
          <w:tcPr>
            <w:tcW w:w="5735" w:type="dxa"/>
            <w:vAlign w:val="center"/>
          </w:tcPr>
          <w:p w14:paraId="2A05CF70">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1.标精基础地图：提供标精地图数据接入功能，通过接口方式完成标精地图数据导入。</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普通公路存量地图：支持接入普通公路地图数据，包括路面要素数据、三维模型数据、普通公路道路数据、桥隧数据、交通安全设施数据、服务设施数据和管理设施数据，支持基于地图引擎实现数据可视化渲染。</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高速公路地图：支持接入高速公路地图数据，包括路面要素数据、桥隧数据、交通安全设施数据、服务设施数据和管理设施数据，支持访问、查看高速公路高精地图或基于高精地图开发的各类高精地图业务应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4.全省DEM数据：支持接入DEM数据，提供全省高程数据渲染、数据发布功能。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5.全省DOM数据：支持接入DOM数据，提供全省卫星影像数据渲染、数据发布功能。</w:t>
            </w:r>
          </w:p>
        </w:tc>
      </w:tr>
      <w:tr w14:paraId="74B2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3" w:hRule="atLeast"/>
        </w:trPr>
        <w:tc>
          <w:tcPr>
            <w:tcW w:w="1525" w:type="dxa"/>
            <w:vMerge w:val="continue"/>
            <w:vAlign w:val="center"/>
          </w:tcPr>
          <w:p w14:paraId="12AA00DC">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1339" w:type="dxa"/>
            <w:vAlign w:val="center"/>
          </w:tcPr>
          <w:p w14:paraId="1EEFA70E">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平台门户</w:t>
            </w:r>
          </w:p>
        </w:tc>
        <w:tc>
          <w:tcPr>
            <w:tcW w:w="5735" w:type="dxa"/>
            <w:vAlign w:val="center"/>
          </w:tcPr>
          <w:p w14:paraId="6AE8813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1.数字底座“一张图”：具备平台接入的多元地图数据资源能力和可视化展示能力，兼容矢量电子地图、影像1.电子地图、三维电子地图等多种类型。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2.快捷入口：具备的各类数字化工具整合，提供便捷式的访问界面。</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3.我的事项：提供平台任务事项处理展示，包括待办事项、待阅事项和我的已办。</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4.经典应用：以卡片列表的方式直观呈现基于高精度数字底图研发的各类典型应用。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5.统计看板：基于图表形式呈现平台服务的整体态势，包括展示用户数量、应用数量、服务接口数量、服务访问量以及服务访问趋势情况。</w:t>
            </w:r>
          </w:p>
        </w:tc>
      </w:tr>
      <w:tr w14:paraId="4F5D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1525" w:type="dxa"/>
            <w:vMerge w:val="continue"/>
            <w:vAlign w:val="center"/>
          </w:tcPr>
          <w:p w14:paraId="7C8B18E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7F475B83">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地图样式管理</w:t>
            </w:r>
          </w:p>
        </w:tc>
        <w:tc>
          <w:tcPr>
            <w:tcW w:w="5735" w:type="dxa"/>
            <w:vAlign w:val="center"/>
          </w:tcPr>
          <w:p w14:paraId="6F8EABB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1.地图样式模板：基于可视化需求对已经生成的地图样式模板选择，支持对模板的编辑修改。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2.二维地图样式：可根据配图工作台工具对地图设置，对图层颜色、显示隐藏、显示层级等属性进行编辑。</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3.三维地图样式：支持地图样式编辑，可对地图视野、天气、光照等进行个性化设置。</w:t>
            </w:r>
          </w:p>
        </w:tc>
      </w:tr>
      <w:tr w14:paraId="7208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525" w:type="dxa"/>
            <w:vMerge w:val="continue"/>
            <w:vAlign w:val="center"/>
          </w:tcPr>
          <w:p w14:paraId="5926FAA4">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76A438A">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设施设备管理</w:t>
            </w:r>
          </w:p>
        </w:tc>
        <w:tc>
          <w:tcPr>
            <w:tcW w:w="5735" w:type="dxa"/>
            <w:vAlign w:val="center"/>
          </w:tcPr>
          <w:p w14:paraId="52ADD66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1.设施设备编辑：具备设施设备模型添加，可支持对已添加模型的位置调整、旋转操作。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2.设施设备审核：提供已提交的设施设备模型核实和审批的管理流程，提供关于审核任务的设备类型、创建人员、创建时间、审核状态。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3.情报板管理：对已审核的情报板模型的预览和修改功能，提供广告牌的快速检索。</w:t>
            </w:r>
          </w:p>
        </w:tc>
      </w:tr>
      <w:tr w14:paraId="0F0C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1525" w:type="dxa"/>
            <w:vMerge w:val="continue"/>
            <w:vAlign w:val="center"/>
          </w:tcPr>
          <w:p w14:paraId="3B624BD8">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504676C">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空间数据管理</w:t>
            </w:r>
          </w:p>
        </w:tc>
        <w:tc>
          <w:tcPr>
            <w:tcW w:w="5735" w:type="dxa"/>
            <w:vAlign w:val="center"/>
          </w:tcPr>
          <w:p w14:paraId="55007EC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1.地图数据管理：支持矢量数据和栅格数据上传、预览、下载和删除。</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2.数据模板管理：可实现对数据模版添加、编辑管理，支持添加名称、字段名、数据类型长度、排序等方式创建模板。</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3.业务数据管理：可支持业务数据导入、管理及通过引擎进行二次开发应用，形成相应专题数据，支持通过数据模版快速添加业务数据。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4.三维模型管理：支持构建道路三维模型数据库，支持模型导入管理和属性编辑。</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5.地图资源管理：提供地图所需JS类库、字体和图标的资源管理。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6.服务发布管理：支持MVT、WMTS等类型的OGC服务，以及3DTILES三维地图服务的发布。</w:t>
            </w:r>
          </w:p>
        </w:tc>
      </w:tr>
      <w:tr w14:paraId="0D11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7B63DD2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12824F8">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数据开放服务</w:t>
            </w:r>
          </w:p>
        </w:tc>
        <w:tc>
          <w:tcPr>
            <w:tcW w:w="5735" w:type="dxa"/>
            <w:vAlign w:val="center"/>
          </w:tcPr>
          <w:p w14:paraId="3C1F050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1.Web服务API：提供基于API方式搜索、查询服务，包括接口功能描述、请求方式、编码格式、接口参数说明。</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2.二维地图引擎JS：提供二维地图开发相关的JS示例。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3.三维地图引擎JS：提供三维地图开发相关的JS示例。</w:t>
            </w:r>
          </w:p>
        </w:tc>
      </w:tr>
      <w:tr w14:paraId="0A80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77EA8E1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7C59782B">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服务申请管理</w:t>
            </w:r>
          </w:p>
        </w:tc>
        <w:tc>
          <w:tcPr>
            <w:tcW w:w="5735" w:type="dxa"/>
            <w:vAlign w:val="center"/>
          </w:tcPr>
          <w:p w14:paraId="0F6400D6">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1.接口注册：提供多项数据服务接口注册的功能，注册的数据接口通过统一的 API 网关对外使用。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2.服务接口：支持接口状态监测，接口新建、编辑管理，接口的参数和测试等功能。</w:t>
            </w:r>
          </w:p>
        </w:tc>
      </w:tr>
      <w:tr w14:paraId="6B4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525" w:type="dxa"/>
            <w:vMerge w:val="continue"/>
            <w:vAlign w:val="center"/>
          </w:tcPr>
          <w:p w14:paraId="090F4789">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A381648">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图层管理</w:t>
            </w:r>
          </w:p>
        </w:tc>
        <w:tc>
          <w:tcPr>
            <w:tcW w:w="5735" w:type="dxa"/>
            <w:vAlign w:val="center"/>
          </w:tcPr>
          <w:p w14:paraId="44BB94E2">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1.基础图层：基础图层列表，包括基础地理底图、基础交通图层和业务图层，支持新增和删除场景图层。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2.临时图层：添加临时图层，提供添加在线OGC标准图层URL叠加显示，上传符合规范的shp，geojson叠加显示的能力。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3.图层操作：图层操作，提供对二三维图层的显示隐藏、底图切换显示能力。</w:t>
            </w:r>
          </w:p>
        </w:tc>
      </w:tr>
      <w:tr w14:paraId="02FF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1" w:hRule="atLeast"/>
        </w:trPr>
        <w:tc>
          <w:tcPr>
            <w:tcW w:w="1525" w:type="dxa"/>
            <w:vMerge w:val="restart"/>
            <w:vAlign w:val="center"/>
          </w:tcPr>
          <w:p w14:paraId="49DE9E39">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空间分析</w:t>
            </w:r>
          </w:p>
        </w:tc>
        <w:tc>
          <w:tcPr>
            <w:tcW w:w="1339" w:type="dxa"/>
            <w:vAlign w:val="center"/>
          </w:tcPr>
          <w:p w14:paraId="7C68CA3E">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二维地图引擎</w:t>
            </w:r>
          </w:p>
        </w:tc>
        <w:tc>
          <w:tcPr>
            <w:tcW w:w="5735" w:type="dxa"/>
            <w:vAlign w:val="center"/>
          </w:tcPr>
          <w:p w14:paraId="5B23AF0C">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1.基础功能包：提供引擎的基础架构及功能,提供地图的二、三维（2.5D）展示,提供地图放大、缩小、漫游、旋转、视野设定等交互控制。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2.地图展示：提供地图的二、三维展示。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3.地图样式切换：提供多种地图样式的切换服务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4.地图交互控制：提供地图放大、缩小、漫游、旋转、视野设定等交互控制。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5.搜索服务：基于基础地理数据信息，结合用户搜索习惯及不同的搜索需求，为用户提供最全面、更强大的搜索服务，包括关键字搜索、周边搜索、空间查询等。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6.输入提示服务：输入提示可根据用户在输入查询的关键词时，给出相应的提示信息，将联想的搜索词以下拉框方式呈现给用户，以减少用户输入，提升用户体验。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7.地理编码服务:地理编码是根据各数据点的地理坐标（点的经纬度坐标）或空间地址（如省市、区县等），将数据库中的数据与其在地图上相对应的图形元素一一对应。</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9.点聚合服务:可提供点显示时的聚合服务。点聚合服务为地理信息系统处理海量点数据时的关键技术，通过聚合分类算法结合地图等级将空间中距离相近的点要素归为一类，以优化可视效果和展示空间分布特征。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10.路径规划服务:提供指定起终点坐标以及途经点，返回规划路线的坐标集合，为用户规划驾车方式的出行方案。</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11.坐标处理服务:支持WGS84坐标向GJC-02坐标进行转换。支持批量矢量数据的坐标转换，支持以RESTful接口提供服务。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12.三级行政区划服务:行政区是指国家为实行行政管理而分级划分并相应建立各级行政机关的区域。地理信息系统行政区域划分应用能够通过拓扑建立面状行政区域，统计行政区域境界的界桩点的个数。能够快速的对行政单元或者地名库中的具体数据进行查询，从而返回行政区域的边界及地理位置描述信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13.轨迹纠偏服务:轨迹纠偏服务用于纠正一段或多段轨迹的漂移，提供基于多点轨迹的后处理服务，可处理定位偏移的轨迹点，使其绑定到道路内，还原真实轨迹。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14.信息标注:提供地图上进行标注的功能。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15.空间计算:基于位置的空间关系判断、距离计算等空间数据运算服务，包括判断两几何对象的包含关系、相交关系、距离、交集、并集等，以及距离、面积测算服务。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16.实时交通路况渲染服务：根据采集到的互联网实时路况数据和平台计算数据，实时渲染到地图上，每隔2分钟刷新一次，通过全新的实时交通渲染内核，支持矢量路况渲染发布，加载地图平台可获取路况的状态信息，包括拥堵段的路段名称、拥堵状态、实时时速、拥堵长度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17.个性化可视化展示:提供了基于WebGL的ECharts GL 4.0内置了丰富功能可视化插件，拥有多种可视化数据效果，可实现能够展现千万级的数据用于地理数据地图可视化，并提供了丰富的展现效果。</w:t>
            </w:r>
          </w:p>
        </w:tc>
      </w:tr>
      <w:bookmarkEnd w:id="38"/>
      <w:tr w14:paraId="65BD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1525" w:type="dxa"/>
            <w:vMerge w:val="continue"/>
            <w:vAlign w:val="center"/>
          </w:tcPr>
          <w:p w14:paraId="16AF0F45">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54E9754D">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三维地图引擎</w:t>
            </w:r>
          </w:p>
        </w:tc>
        <w:tc>
          <w:tcPr>
            <w:tcW w:w="5735" w:type="dxa"/>
            <w:vAlign w:val="center"/>
          </w:tcPr>
          <w:p w14:paraId="1B45F466">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础功能包：系统提供引擎的基础架构及功能，提供地图的二、三维展示，可通过Web浏览器端查看地图，并进行地图的相关操作；提供地图浏览、平移、放大、缩小、漫游、旋转、视野设定等交互控制；支持地图状态设置，设置地图初始化视野级别、中心点、地图载入效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地图展示：系统平台支持多种类型地图数据展示，以海量的卫星影像、数字高程模型数据、矢量地图数据、精细三维模型等数据为基础建立一个三维可视化的数字地球模型，并实现基于三维地球的放大、缩小、平移、旋转、倾斜、复位等地图基本浏览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3.地图样式切换：提供多种地图样式的切换服务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4.地图交互控制：提供地图放大、缩小、漫游、旋转、视野设定等交互控制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5.基础控件：支持鼠标拾取、图形绘制、距离量算、面积量算、坡度测量、曲率测量、POI检索等功能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6.三维模型：支持三维模型展示功能，可支持3D楼块、高精道路、DEM、DOM、倾斜摄影模型，系统可以支持客户需求叠加不同的图层。用户可设定要显示/隐藏图层，以满足业务工作需要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7.场景控制：系统具备多种空间浏览能力，支持视野切换动画和场景漫游</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8.空间分析：支持通视分析、可视域分析、点源淹没分析、地形开挖分析</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9.模型渲染：支持批量模型渲染、点线面渲染，根据交通场景常见需求定制三维地图场景下的标准可视化渲染API，包括动态情报板、动态信号灯、动态车流、动态隧道风机、动态升降杆等，支持业务方直接调用接口控制相关基础设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10.天气特效：系统具备强大的天气场景模拟能力，支持降雨、降雪、降雾天气场景特效</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11.专题图层：系统可实现能够展现千万级的数据用于地理数据地图可视化，并提供了丰富的展现效果：热力图、线图、粒子效果图、飞行轨迹、聚合效果、迁徙效果等。</w:t>
            </w:r>
          </w:p>
        </w:tc>
      </w:tr>
      <w:tr w14:paraId="198F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3A08CD7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7EBE5DD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融合开放服务</w:t>
            </w:r>
          </w:p>
        </w:tc>
        <w:tc>
          <w:tcPr>
            <w:tcW w:w="5735" w:type="dxa"/>
            <w:vAlign w:val="center"/>
          </w:tcPr>
          <w:p w14:paraId="6822C94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需包括平台门户、地图样式、设施设备管理、空间数据管理、常用工具集、数据开放服务、服务申请管理等功能服务模块。</w:t>
            </w:r>
          </w:p>
        </w:tc>
      </w:tr>
      <w:tr w14:paraId="6941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525" w:type="dxa"/>
            <w:vMerge w:val="restart"/>
            <w:vAlign w:val="center"/>
          </w:tcPr>
          <w:p w14:paraId="407E608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可视化渲染</w:t>
            </w:r>
          </w:p>
        </w:tc>
        <w:tc>
          <w:tcPr>
            <w:tcW w:w="1339" w:type="dxa"/>
            <w:vAlign w:val="center"/>
          </w:tcPr>
          <w:p w14:paraId="4B4B0C5D">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普通公路可计算路网功能</w:t>
            </w:r>
          </w:p>
        </w:tc>
        <w:tc>
          <w:tcPr>
            <w:tcW w:w="5735" w:type="dxa"/>
            <w:vAlign w:val="center"/>
          </w:tcPr>
          <w:p w14:paraId="1926316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通过接入已有公里桩数据，实现以下能力：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1.普通公路公里桩：普通公路公里桩号映射及虚拟桩号输出功能。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2.普通公路百米桩：普通公路百米桩号映射及虚拟桩号输出。</w:t>
            </w:r>
          </w:p>
        </w:tc>
      </w:tr>
      <w:tr w14:paraId="42C5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121E285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9FE2790">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高速公路可计算路网功能</w:t>
            </w:r>
          </w:p>
        </w:tc>
        <w:tc>
          <w:tcPr>
            <w:tcW w:w="5735" w:type="dxa"/>
            <w:vAlign w:val="center"/>
          </w:tcPr>
          <w:p w14:paraId="16407B4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通过对接高速公路1589公里高精数据，在高精地图采集范围实现以下能力：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1.高速公路公里桩：高速公路公里桩号映射及虚拟桩号输出功能。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2.高速公路百米桩：高速公路百米桩号映射及虚拟桩号输出功能。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3.高速公路米级网格：高速公路米级网格映射及数据输出。</w:t>
            </w:r>
          </w:p>
        </w:tc>
      </w:tr>
      <w:tr w14:paraId="0FC2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525" w:type="dxa"/>
            <w:vMerge w:val="continue"/>
            <w:vAlign w:val="center"/>
          </w:tcPr>
          <w:p w14:paraId="26F88D1F">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84AB07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三维模型</w:t>
            </w:r>
          </w:p>
        </w:tc>
        <w:tc>
          <w:tcPr>
            <w:tcW w:w="5735" w:type="dxa"/>
            <w:vAlign w:val="center"/>
          </w:tcPr>
          <w:p w14:paraId="54605C4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1.标准模型：标准模型库是高速公路包括路线、路基路面、桥梁、隧道、涵洞、服务区、停车区、养护工区、安全设施（标志、标线、护栏等）、监控设施、收费设施及其他相关设施。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2.三维定制化模型：三维定制化模型库是项目针对部分需精细化建模的收费站、服务区、隧道、养护工区、桥梁等采用人工建模方法形成的精细化模型数据。</w:t>
            </w:r>
          </w:p>
        </w:tc>
      </w:tr>
      <w:tr w14:paraId="23F1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247D2F6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71914249">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普通公路可计算路网渲染</w:t>
            </w:r>
          </w:p>
        </w:tc>
        <w:tc>
          <w:tcPr>
            <w:tcW w:w="5735" w:type="dxa"/>
            <w:vAlign w:val="center"/>
          </w:tcPr>
          <w:p w14:paraId="6CA8D49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需实现普通干线公路公里桩、百米桩和米级网格数据的渲染输出。</w:t>
            </w:r>
          </w:p>
        </w:tc>
      </w:tr>
      <w:tr w14:paraId="1A50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05A2677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267CD45">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高速公路可计算路网渲染</w:t>
            </w:r>
          </w:p>
        </w:tc>
        <w:tc>
          <w:tcPr>
            <w:tcW w:w="5735" w:type="dxa"/>
            <w:vAlign w:val="center"/>
          </w:tcPr>
          <w:p w14:paraId="233A9AC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需实现高速公路公里桩、百米桩和米级网格数据的渲染输出。</w:t>
            </w:r>
          </w:p>
        </w:tc>
      </w:tr>
      <w:tr w14:paraId="5270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16DCAE1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B10842D">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高速公路专题数据渲染</w:t>
            </w:r>
          </w:p>
        </w:tc>
        <w:tc>
          <w:tcPr>
            <w:tcW w:w="5735" w:type="dxa"/>
            <w:vAlign w:val="center"/>
          </w:tcPr>
          <w:p w14:paraId="33AB6C9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需支持高速公路高精地图数据及三维模型数据的渲染输出。</w:t>
            </w:r>
          </w:p>
        </w:tc>
      </w:tr>
      <w:tr w14:paraId="4E2D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4DC280B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39D042F9">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普通公路专题数据渲染</w:t>
            </w:r>
          </w:p>
        </w:tc>
        <w:tc>
          <w:tcPr>
            <w:tcW w:w="5735" w:type="dxa"/>
            <w:vAlign w:val="center"/>
          </w:tcPr>
          <w:p w14:paraId="05A60C2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需支持普通公路高精地图数据及三维模型数据的渲染输出。</w:t>
            </w:r>
          </w:p>
        </w:tc>
      </w:tr>
      <w:tr w14:paraId="166B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trPr>
        <w:tc>
          <w:tcPr>
            <w:tcW w:w="1525" w:type="dxa"/>
            <w:vMerge w:val="restart"/>
            <w:vAlign w:val="center"/>
          </w:tcPr>
          <w:p w14:paraId="1E43A663">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业务支撑</w:t>
            </w:r>
          </w:p>
        </w:tc>
        <w:tc>
          <w:tcPr>
            <w:tcW w:w="1339" w:type="dxa"/>
            <w:vAlign w:val="center"/>
          </w:tcPr>
          <w:p w14:paraId="07D4919C">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路况上图</w:t>
            </w:r>
          </w:p>
        </w:tc>
        <w:tc>
          <w:tcPr>
            <w:tcW w:w="5735" w:type="dxa"/>
            <w:vAlign w:val="center"/>
          </w:tcPr>
          <w:p w14:paraId="0270648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1.互联网路况数据接入：接入互联网交通实时路况大数据，包括河南省高速公路、国省干道路网运行数据，实现分钟级路况更新。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2.路况数据压缩/解压缩：由于互联网数据是要从互联网接口传输到政务网同时需要在分钟级内入库，必须对数据进行压缩，进入政务网后进行解压缩</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3.数据入库：路况按照红黄绿路况类、事件类和安全类进行分别入库</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4.数据实时渲染：分别按照深红、红色、黄色和绿色进行四色路况18级瓦片数据的实时渲染发布</w:t>
            </w:r>
          </w:p>
        </w:tc>
      </w:tr>
      <w:tr w14:paraId="5275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0D7BE11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5952E2CA">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车辆轨迹上图</w:t>
            </w:r>
          </w:p>
        </w:tc>
        <w:tc>
          <w:tcPr>
            <w:tcW w:w="5735" w:type="dxa"/>
            <w:vAlign w:val="center"/>
          </w:tcPr>
          <w:p w14:paraId="6C0A5CB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1.轨迹上图：提供原始车辆轨迹上图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2.沿车道中心线上图：车辆轨迹沿车道中心线上图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3.沿道路中心线上图：车辆轨迹沿道路中心线上图</w:t>
            </w:r>
          </w:p>
        </w:tc>
      </w:tr>
      <w:tr w14:paraId="391D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29AEE8C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773942A1">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路段绘制工具</w:t>
            </w:r>
          </w:p>
        </w:tc>
        <w:tc>
          <w:tcPr>
            <w:tcW w:w="5735" w:type="dxa"/>
            <w:vAlign w:val="center"/>
          </w:tcPr>
          <w:p w14:paraId="1CBFFFA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提供路段绘制工具，并可编制路段属性信息</w:t>
            </w:r>
          </w:p>
        </w:tc>
      </w:tr>
      <w:tr w14:paraId="42EB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5D18FF6A">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3F82EF54">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区域绘制工具</w:t>
            </w:r>
          </w:p>
        </w:tc>
        <w:tc>
          <w:tcPr>
            <w:tcW w:w="5735" w:type="dxa"/>
            <w:vAlign w:val="center"/>
          </w:tcPr>
          <w:p w14:paraId="596572A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提供区域绘制工具，并可编制区域属性信息。根据多边形、矩形和任意范围进行套合数据的选取</w:t>
            </w:r>
          </w:p>
        </w:tc>
      </w:tr>
      <w:tr w14:paraId="01EE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17671DE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06734A39">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数据套合工具</w:t>
            </w:r>
          </w:p>
        </w:tc>
        <w:tc>
          <w:tcPr>
            <w:tcW w:w="5735" w:type="dxa"/>
            <w:vAlign w:val="center"/>
          </w:tcPr>
          <w:p w14:paraId="62D445E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提供区域数据套合工具，支持区域内某项业务数据统一赋值。对可套合数据的业务种类和字段进行配置选择需要套合的业务数据的字段进行赋值，确认后修改入库</w:t>
            </w:r>
          </w:p>
        </w:tc>
      </w:tr>
      <w:tr w14:paraId="37E7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78F0295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687BEBEC">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地图工具</w:t>
            </w:r>
          </w:p>
        </w:tc>
        <w:tc>
          <w:tcPr>
            <w:tcW w:w="5735" w:type="dxa"/>
            <w:vAlign w:val="center"/>
          </w:tcPr>
          <w:p w14:paraId="3E818A5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提供地图测量、查询、计算、绘制等功能的工具集合</w:t>
            </w:r>
          </w:p>
        </w:tc>
      </w:tr>
      <w:tr w14:paraId="1E4E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018B328C">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39E92438">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网格化工具</w:t>
            </w:r>
          </w:p>
        </w:tc>
        <w:tc>
          <w:tcPr>
            <w:tcW w:w="5735" w:type="dxa"/>
            <w:vAlign w:val="center"/>
          </w:tcPr>
          <w:p w14:paraId="60D4AEF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以规则的网格单元对各车道进行细致分割；支持用户自由选择特定的道路点位，并支持显示任意长度范围内的网格</w:t>
            </w:r>
          </w:p>
        </w:tc>
      </w:tr>
      <w:tr w14:paraId="77F1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33375A7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6D965C6C">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二维地图数据制作</w:t>
            </w:r>
          </w:p>
        </w:tc>
        <w:tc>
          <w:tcPr>
            <w:tcW w:w="5735" w:type="dxa"/>
            <w:vAlign w:val="center"/>
          </w:tcPr>
          <w:p w14:paraId="3C64893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需提供河南省全省矢量地图数据：电子地图为河南省范围内的标准电子地图，主要包括但不限于水系、居民地及设施、交通、境界与政区、植被、POI几大类信息。</w:t>
            </w:r>
          </w:p>
        </w:tc>
      </w:tr>
      <w:tr w14:paraId="6241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034DC46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5973A3AA">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二维地图数据更新</w:t>
            </w:r>
          </w:p>
        </w:tc>
        <w:tc>
          <w:tcPr>
            <w:tcW w:w="5735" w:type="dxa"/>
            <w:vAlign w:val="center"/>
          </w:tcPr>
          <w:p w14:paraId="445A963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需提供河南省全省矢量地图数据4次更新：二维标精基础地图数据更新的内容包括境界与行政区区划数据、交通路网数据、水系数据、植被数据、POI数据、路网连接关系数据以及地图部署使用的渲染数据等。</w:t>
            </w:r>
          </w:p>
        </w:tc>
      </w:tr>
      <w:tr w14:paraId="4B89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864" w:type="dxa"/>
            <w:gridSpan w:val="2"/>
            <w:vAlign w:val="center"/>
          </w:tcPr>
          <w:p w14:paraId="0679E95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数据工程</w:t>
            </w:r>
          </w:p>
        </w:tc>
        <w:tc>
          <w:tcPr>
            <w:tcW w:w="5735" w:type="dxa"/>
            <w:vAlign w:val="center"/>
          </w:tcPr>
          <w:p w14:paraId="0DFA047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工作内容</w:t>
            </w:r>
          </w:p>
        </w:tc>
      </w:tr>
      <w:bookmarkEnd w:id="39"/>
      <w:tr w14:paraId="4A2C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restart"/>
            <w:vAlign w:val="center"/>
          </w:tcPr>
          <w:p w14:paraId="78C1696D">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国省干线空间数据接入治理</w:t>
            </w:r>
          </w:p>
        </w:tc>
        <w:tc>
          <w:tcPr>
            <w:tcW w:w="1339" w:type="dxa"/>
            <w:vAlign w:val="center"/>
          </w:tcPr>
          <w:p w14:paraId="2EF67568">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全省国省干线空间数据接入</w:t>
            </w:r>
          </w:p>
        </w:tc>
        <w:tc>
          <w:tcPr>
            <w:tcW w:w="5735" w:type="dxa"/>
            <w:vAlign w:val="center"/>
          </w:tcPr>
          <w:p w14:paraId="4002E58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需接入全省3万多公里的国省干线道路地图数据，可接入Shapefile、GeoJSON等多种格式，并针对不同数据格式选择合适转换工具进行数据接入，全部转换统一的数据格式。</w:t>
            </w:r>
          </w:p>
        </w:tc>
      </w:tr>
      <w:tr w14:paraId="58BC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24B4A4E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126C8B2">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全省国省干线三维模型数据接入</w:t>
            </w:r>
          </w:p>
        </w:tc>
        <w:tc>
          <w:tcPr>
            <w:tcW w:w="5735" w:type="dxa"/>
            <w:vAlign w:val="center"/>
          </w:tcPr>
          <w:p w14:paraId="07EE36E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需接入全省国省干线道路三维模型空间数据，可接入.obj、.3ds、.fbx等数据格式，对不同格式模型数据转换为统一的格式。</w:t>
            </w:r>
          </w:p>
        </w:tc>
      </w:tr>
      <w:tr w14:paraId="286F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5E39A0E9">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63DF02D4">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全省国省干线空间数据治理标准</w:t>
            </w:r>
          </w:p>
        </w:tc>
        <w:tc>
          <w:tcPr>
            <w:tcW w:w="5735" w:type="dxa"/>
            <w:vAlign w:val="center"/>
          </w:tcPr>
          <w:p w14:paraId="7D7C665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需建立与数据底座一致的数据标准，作为普通公路地图数据治理、融合的标准，具体包括数据格式、编码规则、数据定义等。确保不同部门、不同系统采集的数据具有一致性和兼容性，便于数据的共享和交换。</w:t>
            </w:r>
          </w:p>
        </w:tc>
      </w:tr>
      <w:tr w14:paraId="3AC9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525" w:type="dxa"/>
            <w:vMerge w:val="continue"/>
            <w:vAlign w:val="center"/>
          </w:tcPr>
          <w:p w14:paraId="45F7744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135341E">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全省国省干线空间数据清洗与校准</w:t>
            </w:r>
          </w:p>
        </w:tc>
        <w:tc>
          <w:tcPr>
            <w:tcW w:w="5735" w:type="dxa"/>
            <w:vAlign w:val="center"/>
          </w:tcPr>
          <w:p w14:paraId="311D38B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（1）建立数据校验规则库，对接入的数据进行完整性、准确性、一致性校验。完整性校验检查数据是否存在缺失值。</w:t>
            </w:r>
          </w:p>
          <w:p w14:paraId="4914B75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于校验过程中发现的错误数据、重复数据和无效数据，进行数据清洗操作。通过编写数据清洗脚本或使用专业的数据清洗工具，自动或手动删除重复数据，修正错误数据，剔除无效数据，提高数据的质量。</w:t>
            </w:r>
          </w:p>
        </w:tc>
      </w:tr>
      <w:tr w14:paraId="6CD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5CE1285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4D58213">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全省国省干线空间数据格式转换</w:t>
            </w:r>
          </w:p>
        </w:tc>
        <w:tc>
          <w:tcPr>
            <w:tcW w:w="5735" w:type="dxa"/>
            <w:vAlign w:val="center"/>
          </w:tcPr>
          <w:p w14:paraId="4DEBDF0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需对接入各类格式地图数据进行格式转换处理，采用格式转换工具使其符合统一的标准格式，如地图数据可统一转换为Shapefile、GeoJSON格式，三维模型数据可统一转换为fbx格式。</w:t>
            </w:r>
          </w:p>
        </w:tc>
      </w:tr>
      <w:tr w14:paraId="053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1525" w:type="dxa"/>
            <w:vMerge w:val="continue"/>
            <w:vAlign w:val="center"/>
          </w:tcPr>
          <w:p w14:paraId="35460210">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59C9F65A">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全省国省干线空间坐标转换</w:t>
            </w:r>
          </w:p>
        </w:tc>
        <w:tc>
          <w:tcPr>
            <w:tcW w:w="5735" w:type="dxa"/>
            <w:vAlign w:val="center"/>
          </w:tcPr>
          <w:p w14:paraId="33FCD30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当接入到的地图数据后，识别数据原有的坐标系统，将其转换为高精数据底座的坐标系。对于大规模的地图数据，采用分布式计算方式，将数据分块进行坐标转换，提高转换效率。转换完成后，对转换后的数据进行精度验证，通过选取一定数量的特征点，对比转换前后坐标值的差异，若误差超过设定阈值，则重新进行转换。</w:t>
            </w:r>
          </w:p>
        </w:tc>
      </w:tr>
      <w:tr w14:paraId="2B96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1525" w:type="dxa"/>
            <w:vMerge w:val="continue"/>
            <w:vAlign w:val="center"/>
          </w:tcPr>
          <w:p w14:paraId="69B0CAF0">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3E664CCD">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全省国省干线空间三维模型建模参数提取</w:t>
            </w:r>
          </w:p>
        </w:tc>
        <w:tc>
          <w:tcPr>
            <w:tcW w:w="5735" w:type="dxa"/>
            <w:vAlign w:val="center"/>
          </w:tcPr>
          <w:p w14:paraId="759D38B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针对三维地图模型数据，使用建模参数提取工具输出参数化建模所需信息。工具自动扫描模型文件，提取模型的几何参数（如顶点坐标、边和面的数量等）、纹理参数（如纹理图片路径、纹理映射方式等）和拓扑参数（如模型各部分的连接关系等）。将提取到的参数进行结构化处理，存储在系统的元数据数据库中。同时，对提取的参数进行完整性检查，确保没有遗漏重要参数。若发现参数缺失，及时与数据提供方沟通，获取完整的参数信息。</w:t>
            </w:r>
          </w:p>
        </w:tc>
      </w:tr>
      <w:tr w14:paraId="4B15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375A7890">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4D00F38">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编码转换</w:t>
            </w:r>
          </w:p>
        </w:tc>
        <w:tc>
          <w:tcPr>
            <w:tcW w:w="5735" w:type="dxa"/>
            <w:vAlign w:val="center"/>
          </w:tcPr>
          <w:p w14:paraId="5CE4A83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需对于地图数据中的各类编码，如道路编码、设施编码等，依据统一的编码标准，通过编码转换工具进行转换。</w:t>
            </w:r>
          </w:p>
        </w:tc>
      </w:tr>
      <w:tr w14:paraId="3C35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0842BAE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0308D131">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公里桩匹配</w:t>
            </w:r>
          </w:p>
        </w:tc>
        <w:tc>
          <w:tcPr>
            <w:tcW w:w="5735" w:type="dxa"/>
            <w:vAlign w:val="center"/>
          </w:tcPr>
          <w:p w14:paraId="044DEA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国省干线高精地图与高速公路高精地图进行数据融合，包括空间几何信息、属性信息的融合，同时建立建立冲突解决规则，确保要素冲突的合理化处理。对融合后的数据进行全面审核，检查数据的准确性、完整性和一致性。通过核查、数据分析等手段，对发现的问题进行修正，确保地图数据的质量长期稳定可靠。</w:t>
            </w:r>
          </w:p>
        </w:tc>
      </w:tr>
      <w:tr w14:paraId="75FA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1525" w:type="dxa"/>
            <w:vMerge w:val="restart"/>
            <w:vAlign w:val="center"/>
          </w:tcPr>
          <w:p w14:paraId="5DCF8A4B">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多源地图数据融合</w:t>
            </w:r>
          </w:p>
        </w:tc>
        <w:tc>
          <w:tcPr>
            <w:tcW w:w="1339" w:type="dxa"/>
            <w:vAlign w:val="center"/>
          </w:tcPr>
          <w:p w14:paraId="7DF944C5">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国省干线高精地图与高速公路高精地图融合</w:t>
            </w:r>
          </w:p>
        </w:tc>
        <w:tc>
          <w:tcPr>
            <w:tcW w:w="5735" w:type="dxa"/>
            <w:vAlign w:val="center"/>
          </w:tcPr>
          <w:p w14:paraId="5ED03E7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国省干线高精地图与高速公路高精地图进行数据融合，包括空间几何信息、属性信息的融合，同时建立建立冲突解决规则，确保要素冲突的合理化处理。对融合后的数据进行全面审核，检查数据的准确性、完整性和一致性。通过核查、数据分析等手段，对发现的问题进行修正，确保地图数据的质量长期稳定可靠。</w:t>
            </w:r>
          </w:p>
        </w:tc>
      </w:tr>
      <w:tr w14:paraId="126D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525" w:type="dxa"/>
            <w:vMerge w:val="continue"/>
            <w:vAlign w:val="center"/>
          </w:tcPr>
          <w:p w14:paraId="184D2868">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6313D527">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高精地图和标精地图融合</w:t>
            </w:r>
          </w:p>
        </w:tc>
        <w:tc>
          <w:tcPr>
            <w:tcW w:w="5735" w:type="dxa"/>
            <w:vAlign w:val="center"/>
          </w:tcPr>
          <w:p w14:paraId="0AE51BE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路网标精地图和高精地图数据进行融合处理，主要包括数据分层与分类、数据匹配与对齐、数据格式与标准统一以及多尺度表达与融合，确保数据的准确性、完整性、一致性和可访问性，支持空间数据在各类应用中的有效利用，最终实现标清地图和高精地图一体化融合展示。</w:t>
            </w:r>
          </w:p>
        </w:tc>
      </w:tr>
      <w:tr w14:paraId="424B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7DF22C6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E9F72C5">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航道图与标精地图融合</w:t>
            </w:r>
          </w:p>
        </w:tc>
        <w:tc>
          <w:tcPr>
            <w:tcW w:w="5735" w:type="dxa"/>
            <w:vAlign w:val="center"/>
          </w:tcPr>
          <w:p w14:paraId="5602BE5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需对航道图和标精地图数据进行融合处理，主要包括空间几何信息、航道沿线重叠设施的融合处理，建立重叠设施的处理规则，确保公路业务和航道业务的合理化使用。</w:t>
            </w:r>
          </w:p>
        </w:tc>
      </w:tr>
      <w:tr w14:paraId="7B6A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525" w:type="dxa"/>
            <w:vMerge w:val="continue"/>
            <w:vAlign w:val="center"/>
          </w:tcPr>
          <w:p w14:paraId="78993FB5">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A2E0CA0">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全省影像数据和标精地图的融合</w:t>
            </w:r>
          </w:p>
        </w:tc>
        <w:tc>
          <w:tcPr>
            <w:tcW w:w="5735" w:type="dxa"/>
            <w:vAlign w:val="center"/>
          </w:tcPr>
          <w:p w14:paraId="43A711F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需对全省影像数据进行处理，主要包括数据预处理、空间配准、几何校正、语义融合和质量验证。</w:t>
            </w:r>
          </w:p>
        </w:tc>
      </w:tr>
    </w:tbl>
    <w:p w14:paraId="21FBD9A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（二）与本项目其他包之间的关系</w:t>
      </w:r>
    </w:p>
    <w:p w14:paraId="55DA80A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本包与项目其他包之间的关系包括但不限于以下内容：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28"/>
        <w:gridCol w:w="2258"/>
        <w:gridCol w:w="2865"/>
      </w:tblGrid>
      <w:tr w14:paraId="0173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1" w:type="dxa"/>
            <w:vAlign w:val="center"/>
          </w:tcPr>
          <w:p w14:paraId="79286119">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828" w:type="dxa"/>
            <w:vAlign w:val="center"/>
          </w:tcPr>
          <w:p w14:paraId="06DE264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其他包名称</w:t>
            </w:r>
          </w:p>
        </w:tc>
        <w:tc>
          <w:tcPr>
            <w:tcW w:w="2258" w:type="dxa"/>
            <w:vAlign w:val="center"/>
          </w:tcPr>
          <w:p w14:paraId="77E1BA3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其他包具体内容</w:t>
            </w:r>
          </w:p>
        </w:tc>
        <w:tc>
          <w:tcPr>
            <w:tcW w:w="2865" w:type="dxa"/>
            <w:vAlign w:val="center"/>
          </w:tcPr>
          <w:p w14:paraId="691A92F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关系</w:t>
            </w:r>
          </w:p>
        </w:tc>
      </w:tr>
      <w:tr w14:paraId="3C23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1A39239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828" w:type="dxa"/>
            <w:vAlign w:val="center"/>
          </w:tcPr>
          <w:p w14:paraId="6EE5E44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129A8DB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业务中台</w:t>
            </w:r>
          </w:p>
        </w:tc>
        <w:tc>
          <w:tcPr>
            <w:tcW w:w="2865" w:type="dxa"/>
            <w:vAlign w:val="center"/>
          </w:tcPr>
          <w:p w14:paraId="1B0EFC7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内容纳入业务中台统一门户管理范围，统一UI设计，统一授时，统一权限管理；调用业务中台可视化工具；调用业务中台工作流引擎进行工作量配置；纳入业务中台搜索引擎搜索范围，并可调用搜索引擎；软件开发符合业务中台代码通用管理系统要求；调用电子航道图数据。</w:t>
            </w:r>
          </w:p>
        </w:tc>
      </w:tr>
      <w:tr w14:paraId="3900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544B6F8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828" w:type="dxa"/>
            <w:vAlign w:val="center"/>
          </w:tcPr>
          <w:p w14:paraId="15B943E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2EF46A5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云平台软件</w:t>
            </w:r>
          </w:p>
        </w:tc>
        <w:tc>
          <w:tcPr>
            <w:tcW w:w="2865" w:type="dxa"/>
            <w:vAlign w:val="center"/>
          </w:tcPr>
          <w:p w14:paraId="517A5A3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本包建设的GIS地图部署于云平台软件管理下的云服务器。</w:t>
            </w:r>
          </w:p>
        </w:tc>
      </w:tr>
      <w:tr w14:paraId="289E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7ECAFA5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828" w:type="dxa"/>
            <w:vAlign w:val="center"/>
          </w:tcPr>
          <w:p w14:paraId="663E520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3DD65EC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云平台硬件</w:t>
            </w:r>
          </w:p>
        </w:tc>
        <w:tc>
          <w:tcPr>
            <w:tcW w:w="2865" w:type="dxa"/>
            <w:vAlign w:val="center"/>
          </w:tcPr>
          <w:p w14:paraId="4B19027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本包建设的GIS地图部署于云平台硬件构成的政务云交通专有域。</w:t>
            </w:r>
          </w:p>
        </w:tc>
      </w:tr>
      <w:tr w14:paraId="3C96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4E12730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828" w:type="dxa"/>
            <w:vAlign w:val="center"/>
          </w:tcPr>
          <w:p w14:paraId="2C367F4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651528D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安全和密码设备</w:t>
            </w:r>
          </w:p>
        </w:tc>
        <w:tc>
          <w:tcPr>
            <w:tcW w:w="2865" w:type="dxa"/>
            <w:vAlign w:val="center"/>
          </w:tcPr>
          <w:p w14:paraId="1251F82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本包建设的GIS地图部署环境受安全和密码设备保护，本包按照3级等保和密码保护要求进行开发。</w:t>
            </w:r>
          </w:p>
        </w:tc>
      </w:tr>
      <w:tr w14:paraId="1907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5F08271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828" w:type="dxa"/>
            <w:vAlign w:val="center"/>
          </w:tcPr>
          <w:p w14:paraId="01215CF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08D72C6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国产化操作系统</w:t>
            </w:r>
          </w:p>
        </w:tc>
        <w:tc>
          <w:tcPr>
            <w:tcW w:w="2865" w:type="dxa"/>
            <w:vAlign w:val="center"/>
          </w:tcPr>
          <w:p w14:paraId="57D0856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本包定制化开发的应用系统适配国产化操作系统。</w:t>
            </w:r>
          </w:p>
        </w:tc>
      </w:tr>
      <w:tr w14:paraId="32B7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1EF93A5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828" w:type="dxa"/>
            <w:vAlign w:val="center"/>
          </w:tcPr>
          <w:p w14:paraId="617836D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22FE3F2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机房及通信链路租赁</w:t>
            </w:r>
          </w:p>
        </w:tc>
        <w:tc>
          <w:tcPr>
            <w:tcW w:w="2865" w:type="dxa"/>
            <w:vAlign w:val="center"/>
          </w:tcPr>
          <w:p w14:paraId="7609891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本包建设的GIS地图部署于政务云交通专有域，使用物理环境和通信链路。</w:t>
            </w:r>
          </w:p>
        </w:tc>
      </w:tr>
      <w:tr w14:paraId="11ED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1" w:type="dxa"/>
            <w:shd w:val="clear" w:color="auto" w:fill="auto"/>
            <w:vAlign w:val="center"/>
          </w:tcPr>
          <w:p w14:paraId="5C2202A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828" w:type="dxa"/>
            <w:vAlign w:val="center"/>
          </w:tcPr>
          <w:p w14:paraId="44EE647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服务器</w:t>
            </w:r>
          </w:p>
        </w:tc>
        <w:tc>
          <w:tcPr>
            <w:tcW w:w="2258" w:type="dxa"/>
            <w:vAlign w:val="center"/>
          </w:tcPr>
          <w:p w14:paraId="751D2D3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通用算力服务器</w:t>
            </w:r>
          </w:p>
        </w:tc>
        <w:tc>
          <w:tcPr>
            <w:tcW w:w="2865" w:type="dxa"/>
            <w:vAlign w:val="center"/>
          </w:tcPr>
          <w:p w14:paraId="03C7705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本包建设的GIS地图部署于云平台里的通用算力云服务器。</w:t>
            </w:r>
          </w:p>
        </w:tc>
      </w:tr>
      <w:tr w14:paraId="6987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1" w:type="dxa"/>
            <w:shd w:val="clear" w:color="auto" w:fill="auto"/>
            <w:vAlign w:val="center"/>
          </w:tcPr>
          <w:p w14:paraId="01AD67B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828" w:type="dxa"/>
            <w:vAlign w:val="center"/>
          </w:tcPr>
          <w:p w14:paraId="73D8D49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服务器</w:t>
            </w:r>
          </w:p>
        </w:tc>
        <w:tc>
          <w:tcPr>
            <w:tcW w:w="2258" w:type="dxa"/>
            <w:vAlign w:val="center"/>
          </w:tcPr>
          <w:p w14:paraId="5A08ADF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国产化操作系统</w:t>
            </w:r>
          </w:p>
        </w:tc>
        <w:tc>
          <w:tcPr>
            <w:tcW w:w="2865" w:type="dxa"/>
            <w:vAlign w:val="center"/>
          </w:tcPr>
          <w:p w14:paraId="2A75C67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本包建设GIS地图的正常运行需要依赖于国产化操作系统。</w:t>
            </w:r>
          </w:p>
        </w:tc>
      </w:tr>
      <w:tr w14:paraId="12DE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1" w:type="dxa"/>
            <w:shd w:val="clear" w:color="auto" w:fill="auto"/>
            <w:vAlign w:val="center"/>
          </w:tcPr>
          <w:p w14:paraId="358C8F2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828" w:type="dxa"/>
            <w:vAlign w:val="center"/>
          </w:tcPr>
          <w:p w14:paraId="62EB23D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服务器</w:t>
            </w:r>
          </w:p>
        </w:tc>
        <w:tc>
          <w:tcPr>
            <w:tcW w:w="2258" w:type="dxa"/>
            <w:vAlign w:val="center"/>
          </w:tcPr>
          <w:p w14:paraId="1E00733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中间件</w:t>
            </w:r>
          </w:p>
        </w:tc>
        <w:tc>
          <w:tcPr>
            <w:tcW w:w="2865" w:type="dxa"/>
            <w:vAlign w:val="center"/>
          </w:tcPr>
          <w:p w14:paraId="02A87DF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本包建设GIS地图的正常运行需要依赖于中间件。</w:t>
            </w:r>
          </w:p>
        </w:tc>
      </w:tr>
      <w:tr w14:paraId="4C57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1" w:type="dxa"/>
            <w:shd w:val="clear" w:color="auto" w:fill="auto"/>
            <w:vAlign w:val="center"/>
          </w:tcPr>
          <w:p w14:paraId="7A8304B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828" w:type="dxa"/>
            <w:vAlign w:val="center"/>
          </w:tcPr>
          <w:p w14:paraId="56F4E44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2C2E09B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数据资源规划</w:t>
            </w:r>
          </w:p>
        </w:tc>
        <w:tc>
          <w:tcPr>
            <w:tcW w:w="2865" w:type="dxa"/>
            <w:vAlign w:val="center"/>
          </w:tcPr>
          <w:p w14:paraId="2859EB5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本包建设内容纳入数据加工治理及中台建设包的数据资源规划。</w:t>
            </w:r>
          </w:p>
        </w:tc>
      </w:tr>
      <w:tr w14:paraId="5387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071027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828" w:type="dxa"/>
            <w:vAlign w:val="center"/>
          </w:tcPr>
          <w:p w14:paraId="7B4FDE5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730C88C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数据仓库建设</w:t>
            </w:r>
          </w:p>
        </w:tc>
        <w:tc>
          <w:tcPr>
            <w:tcW w:w="2865" w:type="dxa"/>
            <w:vAlign w:val="center"/>
          </w:tcPr>
          <w:p w14:paraId="29E7932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本包产生的数据存储于数据加工治理及中台建设包的数据仓库。</w:t>
            </w:r>
          </w:p>
        </w:tc>
      </w:tr>
      <w:tr w14:paraId="5676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9439E0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828" w:type="dxa"/>
            <w:vAlign w:val="center"/>
          </w:tcPr>
          <w:p w14:paraId="7DEB3D5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4A4D537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数据共享</w:t>
            </w:r>
          </w:p>
        </w:tc>
        <w:tc>
          <w:tcPr>
            <w:tcW w:w="2865" w:type="dxa"/>
            <w:vAlign w:val="center"/>
          </w:tcPr>
          <w:p w14:paraId="54E8658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本包产生的数据由数据加工治理及中台建设包的数据共享功能向外共享。</w:t>
            </w:r>
          </w:p>
        </w:tc>
      </w:tr>
      <w:tr w14:paraId="3B19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13E10D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828" w:type="dxa"/>
            <w:vAlign w:val="center"/>
          </w:tcPr>
          <w:p w14:paraId="6D0B8FC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1655AB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数据中台</w:t>
            </w:r>
          </w:p>
        </w:tc>
        <w:tc>
          <w:tcPr>
            <w:tcW w:w="2865" w:type="dxa"/>
            <w:vAlign w:val="center"/>
          </w:tcPr>
          <w:p w14:paraId="20DB38A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本包产生的数据供数据中台调用，调用数据加工治理及中台建设数据中台功能</w:t>
            </w:r>
          </w:p>
        </w:tc>
      </w:tr>
      <w:tr w14:paraId="7C4E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340D01A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828" w:type="dxa"/>
            <w:vAlign w:val="center"/>
          </w:tcPr>
          <w:p w14:paraId="12D6489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1F7B94F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AI数据需求调研对接和调优测试</w:t>
            </w:r>
          </w:p>
        </w:tc>
        <w:tc>
          <w:tcPr>
            <w:tcW w:w="2865" w:type="dxa"/>
            <w:vAlign w:val="center"/>
          </w:tcPr>
          <w:p w14:paraId="4602DCB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本包接受数据加工治理及中台建设的AI数据需求调研，并配合调优</w:t>
            </w:r>
          </w:p>
        </w:tc>
      </w:tr>
      <w:tr w14:paraId="50CB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 w:type="dxa"/>
            <w:shd w:val="clear" w:color="auto" w:fill="auto"/>
            <w:vAlign w:val="center"/>
          </w:tcPr>
          <w:p w14:paraId="2CDF8F0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828" w:type="dxa"/>
            <w:vAlign w:val="center"/>
          </w:tcPr>
          <w:p w14:paraId="0DAE136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2486475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数据综合管理</w:t>
            </w:r>
          </w:p>
        </w:tc>
        <w:tc>
          <w:tcPr>
            <w:tcW w:w="2865" w:type="dxa"/>
            <w:vAlign w:val="center"/>
          </w:tcPr>
          <w:p w14:paraId="2B99C48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本包产生的数据受数据加工治理及中台建设包的数据综合管理</w:t>
            </w:r>
          </w:p>
        </w:tc>
      </w:tr>
      <w:tr w14:paraId="2604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67D635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828" w:type="dxa"/>
            <w:vAlign w:val="center"/>
          </w:tcPr>
          <w:p w14:paraId="6AAAF4A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运行监测预警服务和系统集成</w:t>
            </w:r>
          </w:p>
        </w:tc>
        <w:tc>
          <w:tcPr>
            <w:tcW w:w="2258" w:type="dxa"/>
            <w:vAlign w:val="center"/>
          </w:tcPr>
          <w:p w14:paraId="0BBC103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运行监测预警</w:t>
            </w:r>
          </w:p>
        </w:tc>
        <w:tc>
          <w:tcPr>
            <w:tcW w:w="2865" w:type="dxa"/>
            <w:vAlign w:val="center"/>
          </w:tcPr>
          <w:p w14:paraId="2B4B810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运行监测预警需要的地理信息服务由本包来提供</w:t>
            </w:r>
          </w:p>
        </w:tc>
      </w:tr>
      <w:tr w14:paraId="302A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E40162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828" w:type="dxa"/>
            <w:vAlign w:val="center"/>
          </w:tcPr>
          <w:p w14:paraId="296978D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道路运输与执法监管和系统集成</w:t>
            </w:r>
          </w:p>
        </w:tc>
        <w:tc>
          <w:tcPr>
            <w:tcW w:w="2258" w:type="dxa"/>
            <w:vAlign w:val="center"/>
          </w:tcPr>
          <w:p w14:paraId="1A0D9A6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道路运输与执法监管</w:t>
            </w:r>
          </w:p>
        </w:tc>
        <w:tc>
          <w:tcPr>
            <w:tcW w:w="2865" w:type="dxa"/>
            <w:vAlign w:val="center"/>
          </w:tcPr>
          <w:p w14:paraId="457335B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道路运输与执法监管需要的地理信息服务由本包来提供</w:t>
            </w:r>
          </w:p>
        </w:tc>
      </w:tr>
      <w:tr w14:paraId="6E1C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9A2478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828" w:type="dxa"/>
            <w:vAlign w:val="center"/>
          </w:tcPr>
          <w:p w14:paraId="6788A8B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普通公路管理和系统集成</w:t>
            </w:r>
          </w:p>
        </w:tc>
        <w:tc>
          <w:tcPr>
            <w:tcW w:w="2258" w:type="dxa"/>
            <w:vAlign w:val="center"/>
          </w:tcPr>
          <w:p w14:paraId="66E3C80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普通公路管理</w:t>
            </w:r>
          </w:p>
        </w:tc>
        <w:tc>
          <w:tcPr>
            <w:tcW w:w="2865" w:type="dxa"/>
            <w:vAlign w:val="center"/>
          </w:tcPr>
          <w:p w14:paraId="353EB93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普通公路管理需要的地理信息服务由本包来提供</w:t>
            </w:r>
          </w:p>
        </w:tc>
      </w:tr>
      <w:tr w14:paraId="3090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F114C5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828" w:type="dxa"/>
            <w:vAlign w:val="center"/>
          </w:tcPr>
          <w:p w14:paraId="4694392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基础设施监测预警</w:t>
            </w:r>
          </w:p>
        </w:tc>
        <w:tc>
          <w:tcPr>
            <w:tcW w:w="2258" w:type="dxa"/>
            <w:vAlign w:val="center"/>
          </w:tcPr>
          <w:p w14:paraId="7C2DE53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基础设施监测预警</w:t>
            </w:r>
          </w:p>
        </w:tc>
        <w:tc>
          <w:tcPr>
            <w:tcW w:w="2865" w:type="dxa"/>
            <w:vAlign w:val="center"/>
          </w:tcPr>
          <w:p w14:paraId="7A19390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基础设施监测预警需要的地理信息服务由本包来提供</w:t>
            </w:r>
          </w:p>
        </w:tc>
      </w:tr>
      <w:tr w14:paraId="275B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46F1B3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828" w:type="dxa"/>
            <w:vAlign w:val="center"/>
          </w:tcPr>
          <w:p w14:paraId="4D3446A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电子航道图与内河航运综合监管</w:t>
            </w:r>
          </w:p>
        </w:tc>
        <w:tc>
          <w:tcPr>
            <w:tcW w:w="2258" w:type="dxa"/>
            <w:vAlign w:val="center"/>
          </w:tcPr>
          <w:p w14:paraId="5FD2159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电子航道图</w:t>
            </w:r>
          </w:p>
        </w:tc>
        <w:tc>
          <w:tcPr>
            <w:tcW w:w="2865" w:type="dxa"/>
            <w:vAlign w:val="center"/>
          </w:tcPr>
          <w:p w14:paraId="550A379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本包涉及内河航运相关内容调用电子航道图与内河航运综合监管的数据</w:t>
            </w:r>
          </w:p>
        </w:tc>
      </w:tr>
      <w:tr w14:paraId="0E1E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71" w:type="dxa"/>
            <w:shd w:val="clear" w:color="auto" w:fill="auto"/>
            <w:vAlign w:val="center"/>
          </w:tcPr>
          <w:p w14:paraId="44F230B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828" w:type="dxa"/>
            <w:vAlign w:val="center"/>
          </w:tcPr>
          <w:p w14:paraId="4502F9F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工程监理</w:t>
            </w:r>
          </w:p>
        </w:tc>
        <w:tc>
          <w:tcPr>
            <w:tcW w:w="2258" w:type="dxa"/>
            <w:vAlign w:val="center"/>
          </w:tcPr>
          <w:p w14:paraId="340238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工程监理</w:t>
            </w:r>
          </w:p>
        </w:tc>
        <w:tc>
          <w:tcPr>
            <w:tcW w:w="2865" w:type="dxa"/>
            <w:vAlign w:val="center"/>
          </w:tcPr>
          <w:p w14:paraId="6653ADB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本包建设监理由工程监理包执行</w:t>
            </w:r>
          </w:p>
        </w:tc>
      </w:tr>
      <w:tr w14:paraId="57CB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37703D0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828" w:type="dxa"/>
            <w:vAlign w:val="center"/>
          </w:tcPr>
          <w:p w14:paraId="1688311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安全等级保护测评</w:t>
            </w:r>
          </w:p>
        </w:tc>
        <w:tc>
          <w:tcPr>
            <w:tcW w:w="2258" w:type="dxa"/>
            <w:vAlign w:val="center"/>
          </w:tcPr>
          <w:p w14:paraId="0B4837E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安全等级保护测评费用</w:t>
            </w:r>
          </w:p>
        </w:tc>
        <w:tc>
          <w:tcPr>
            <w:tcW w:w="2865" w:type="dxa"/>
            <w:vAlign w:val="center"/>
          </w:tcPr>
          <w:p w14:paraId="07A78F3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本包安全等级保护测评由安全等级保护测评包执行</w:t>
            </w:r>
          </w:p>
        </w:tc>
      </w:tr>
      <w:tr w14:paraId="7603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71" w:type="dxa"/>
            <w:shd w:val="clear" w:color="auto" w:fill="auto"/>
            <w:vAlign w:val="center"/>
          </w:tcPr>
          <w:p w14:paraId="2D4904E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828" w:type="dxa"/>
            <w:vAlign w:val="center"/>
          </w:tcPr>
          <w:p w14:paraId="407862B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商用密码应用安全评估</w:t>
            </w:r>
          </w:p>
        </w:tc>
        <w:tc>
          <w:tcPr>
            <w:tcW w:w="2258" w:type="dxa"/>
            <w:vAlign w:val="center"/>
          </w:tcPr>
          <w:p w14:paraId="082CCA2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商用密码应用安全评估</w:t>
            </w:r>
          </w:p>
        </w:tc>
        <w:tc>
          <w:tcPr>
            <w:tcW w:w="2865" w:type="dxa"/>
            <w:vAlign w:val="center"/>
          </w:tcPr>
          <w:p w14:paraId="59A837B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本包商用密码应用安全评估由商用密码应用安全评估包执行</w:t>
            </w:r>
          </w:p>
        </w:tc>
      </w:tr>
      <w:tr w14:paraId="4F72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71" w:type="dxa"/>
            <w:shd w:val="clear" w:color="auto" w:fill="auto"/>
            <w:vAlign w:val="center"/>
          </w:tcPr>
          <w:p w14:paraId="7A30A70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828" w:type="dxa"/>
            <w:vAlign w:val="center"/>
          </w:tcPr>
          <w:p w14:paraId="3C7B446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第三方软件测试</w:t>
            </w:r>
          </w:p>
        </w:tc>
        <w:tc>
          <w:tcPr>
            <w:tcW w:w="2258" w:type="dxa"/>
            <w:vAlign w:val="center"/>
          </w:tcPr>
          <w:p w14:paraId="1B3A00B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第三方软件测试</w:t>
            </w:r>
          </w:p>
        </w:tc>
        <w:tc>
          <w:tcPr>
            <w:tcW w:w="2865" w:type="dxa"/>
            <w:vAlign w:val="center"/>
          </w:tcPr>
          <w:p w14:paraId="655FBF7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本包第三方软件测试由第三方软件测试包执行</w:t>
            </w:r>
          </w:p>
        </w:tc>
      </w:tr>
    </w:tbl>
    <w:p w14:paraId="25FD2CAB">
      <w:pPr>
        <w:bidi w:val="0"/>
        <w:spacing w:line="360" w:lineRule="auto"/>
        <w:ind w:firstLine="420" w:firstLineChars="200"/>
        <w:rPr>
          <w:rFonts w:hint="eastAsia" w:ascii="宋体" w:hAnsi="宋体" w:eastAsia="宋体" w:cs="宋体"/>
          <w:color w:val="auto"/>
          <w:sz w:val="21"/>
          <w:szCs w:val="21"/>
          <w:highlight w:val="none"/>
          <w:lang w:val="en-US" w:eastAsia="zh-CN"/>
        </w:rPr>
      </w:pPr>
    </w:p>
    <w:p w14:paraId="5C38C74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（三）详细技术要求</w:t>
      </w:r>
    </w:p>
    <w:p w14:paraId="0941952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具体要求详见本采购需求附件。</w:t>
      </w:r>
    </w:p>
    <w:p w14:paraId="4ECB7884">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40" w:name="_Toc19648"/>
      <w:bookmarkStart w:id="41" w:name="_Toc6792"/>
      <w:bookmarkStart w:id="42" w:name="_Toc256000059"/>
      <w:bookmarkStart w:id="43" w:name="_Toc256000065"/>
      <w:bookmarkStart w:id="44" w:name="_Toc4734"/>
      <w:bookmarkStart w:id="45" w:name="_Toc4794"/>
      <w:bookmarkStart w:id="46" w:name="_Toc9123"/>
      <w:bookmarkStart w:id="47" w:name="_Toc531623766"/>
      <w:bookmarkStart w:id="48" w:name="_Toc484418457"/>
      <w:bookmarkStart w:id="49" w:name="_Toc530909363"/>
      <w:r>
        <w:rPr>
          <w:rFonts w:hint="eastAsia" w:ascii="宋体" w:hAnsi="宋体" w:eastAsia="宋体" w:cs="宋体"/>
          <w:color w:val="auto"/>
          <w:sz w:val="21"/>
          <w:szCs w:val="21"/>
          <w:highlight w:val="none"/>
          <w:lang w:val="en-US" w:eastAsia="zh-CN"/>
        </w:rPr>
        <w:t>四、系统集成要求</w:t>
      </w:r>
      <w:bookmarkEnd w:id="40"/>
      <w:r>
        <w:rPr>
          <w:rFonts w:hint="eastAsia" w:ascii="宋体" w:hAnsi="宋体" w:eastAsia="宋体" w:cs="宋体"/>
          <w:color w:val="auto"/>
          <w:sz w:val="21"/>
          <w:szCs w:val="21"/>
          <w:highlight w:val="none"/>
          <w:lang w:val="en-US" w:eastAsia="zh-CN"/>
        </w:rPr>
        <w:t>（提供承诺函，格式自拟）</w:t>
      </w:r>
      <w:bookmarkEnd w:id="41"/>
      <w:bookmarkEnd w:id="42"/>
    </w:p>
    <w:p w14:paraId="2226FA1D">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50" w:name="_Toc256000063"/>
      <w:bookmarkStart w:id="51" w:name="_Toc22429"/>
      <w:bookmarkStart w:id="52" w:name="_Toc28507"/>
      <w:r>
        <w:rPr>
          <w:rFonts w:hint="eastAsia" w:ascii="宋体" w:hAnsi="宋体" w:eastAsia="宋体" w:cs="宋体"/>
          <w:color w:val="auto"/>
          <w:sz w:val="21"/>
          <w:szCs w:val="21"/>
          <w:highlight w:val="none"/>
          <w:lang w:val="en-US" w:eastAsia="zh-CN"/>
        </w:rPr>
        <w:t>为确保本项目与河南省公路交通基础设施数字化转型升级工程数据中心以外的其他项目以及河南省交通运输厅其他业务系统之间的集成，系统集成需满足以下要求：</w:t>
      </w:r>
    </w:p>
    <w:p w14:paraId="38B7645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包括但不限于以下内容：</w:t>
      </w:r>
    </w:p>
    <w:p w14:paraId="5221C1E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1.实现与已建或在建系统平台的软件集成、数据对接。</w:t>
      </w:r>
    </w:p>
    <w:p w14:paraId="54FE2F0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2.实现与河南省公路水路基础设施数字化转型其他建设任务的软硬件集成、数据对接。</w:t>
      </w:r>
    </w:p>
    <w:p w14:paraId="3E95DC3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3.按照运行监测预警服务包建立的智慧交通服务门户完成功能集成，确保系统间的一致性与协同性。</w:t>
      </w:r>
    </w:p>
    <w:p w14:paraId="257B23F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4.按照河南省智慧交通服务云平台相关项目的要求，完成移动应用APP功能集成。</w:t>
      </w:r>
    </w:p>
    <w:p w14:paraId="56D702A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五、系统部署要求</w:t>
      </w:r>
      <w:bookmarkEnd w:id="50"/>
      <w:bookmarkEnd w:id="51"/>
      <w:bookmarkEnd w:id="52"/>
    </w:p>
    <w:p w14:paraId="7721227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为确保本项目所建设系统的顺利运行，需满足以下要求：</w:t>
      </w:r>
    </w:p>
    <w:p w14:paraId="385B003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1.在系统开发和测试阶段，中标人自行搭建能完全满足本项目需求的软硬件环境。</w:t>
      </w:r>
    </w:p>
    <w:p w14:paraId="7BD375C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部署要求：中标人应利用代码通用管理系统对所有定制开发的软件源代码和系统运行必要的第三方插件包进行统一管理，实现源代码及文档托管、源代码自动编译、统一部署集成，并接受代码通用管理系统的权限控制、代码审计和部署监控。中标人在交工验收前应按照采购人要求编制系统部署方案，并在后续迭代过程中持续完善。</w:t>
      </w:r>
    </w:p>
    <w:p w14:paraId="3C0D32E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用系统集成要求：中标人应利用本项目智慧交通服务门户、统一权限管理、统一部署集成，按照智慧交通服务门户统一权限管理、统一门户集成要求，开发对接统一门户的接口、页面等工作，须最终实现按照专题划分集成各应用系统。</w:t>
      </w:r>
    </w:p>
    <w:p w14:paraId="7A054E2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4.应用系统部署要求：中标人应利用本项目数据中台、业务中台、AI中台、云平台开展应用系统的部署、调试工作。中标人应将需要纳入中台的软件模块、算法等部署至中台，由中台统一管理。</w:t>
      </w:r>
    </w:p>
    <w:p w14:paraId="695C92D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六、培训要求</w:t>
      </w:r>
      <w:bookmarkEnd w:id="43"/>
      <w:bookmarkEnd w:id="44"/>
      <w:bookmarkEnd w:id="45"/>
      <w:bookmarkEnd w:id="46"/>
    </w:p>
    <w:p w14:paraId="1F7AA4F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1.培训要求：中标人应组建专门的培训团队，并明确分工职责。中标人应及时对采购人（含相关用户单位）的相关人员开展多批次、多层次、多种形式的培训和应用指导。具体要求如下：</w:t>
      </w:r>
    </w:p>
    <w:p w14:paraId="3F18580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（1）中标人应保证提供有经验且熟悉并全程跟踪本项目的培训人员。</w:t>
      </w:r>
    </w:p>
    <w:p w14:paraId="23F6B1E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（2）培训包括但不限于使用培训、系统维护管理培训等。</w:t>
      </w:r>
    </w:p>
    <w:p w14:paraId="4A13DA3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（3）中标人应根据采购人要求提供灵活多样的培训。</w:t>
      </w:r>
    </w:p>
    <w:p w14:paraId="76A6332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（4）中标人应提供培训方案、培训计划、培训教材等，经监理单位审核后报采购人批准方可执行。</w:t>
      </w:r>
    </w:p>
    <w:p w14:paraId="61058FE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2.培训目标</w:t>
      </w:r>
    </w:p>
    <w:p w14:paraId="2D6F3D7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过培训，采购人及相关用户单位人员掌握软件系统原理和安装、调试、操作、使用、维护等有关知识；系统管理员能够独立完成软件的管理、故障恢复、应急处理等，能够在软件崩溃后完成恢复操作，能够进行数据库备份及恢复操作，能够独立处理常见突发事件及操作员提出的常见操作问题；操作人员能掌握计算机基本知识，熟悉软件流程，独立使用软件处理日常业务。</w:t>
      </w:r>
    </w:p>
    <w:p w14:paraId="1F957A7D">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53" w:name="_Toc4620"/>
      <w:bookmarkStart w:id="54" w:name="_Toc9909"/>
      <w:bookmarkStart w:id="55" w:name="_Toc256000066"/>
      <w:bookmarkStart w:id="56" w:name="_Toc19678"/>
      <w:r>
        <w:rPr>
          <w:rFonts w:hint="eastAsia" w:ascii="宋体" w:hAnsi="宋体" w:eastAsia="宋体" w:cs="宋体"/>
          <w:color w:val="auto"/>
          <w:sz w:val="21"/>
          <w:szCs w:val="21"/>
          <w:highlight w:val="none"/>
          <w:lang w:val="en-US" w:eastAsia="zh-CN"/>
        </w:rPr>
        <w:t>七、应用推广要求</w:t>
      </w:r>
      <w:bookmarkEnd w:id="53"/>
      <w:bookmarkEnd w:id="54"/>
      <w:bookmarkEnd w:id="55"/>
    </w:p>
    <w:p w14:paraId="4488BDB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为了使本项目具有良好的应用推广效果，实现应用系统的建设目标，中标人需：</w:t>
      </w:r>
    </w:p>
    <w:p w14:paraId="4CE3DB9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1.按照采购人及相关用户单位要求编制系统推广应用相关的配套制度，配合采购人及相关用户单位开展应用效果考核等工作。</w:t>
      </w:r>
    </w:p>
    <w:p w14:paraId="5C6B36B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2.按照采购人及相关用户单位要求做好充分的培训，并根据需要到相关系统应用现场进行指导。</w:t>
      </w:r>
    </w:p>
    <w:p w14:paraId="181E2F8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3.系统质保期（免费维护期）内，中标人应在相关系统应用范围内深入推广应用，并采取多种方式指导各级各类用户操作使用，及时解决系统应用过程中出现的各种问题。</w:t>
      </w:r>
    </w:p>
    <w:bookmarkEnd w:id="47"/>
    <w:bookmarkEnd w:id="48"/>
    <w:bookmarkEnd w:id="49"/>
    <w:bookmarkEnd w:id="56"/>
    <w:p w14:paraId="5911C786">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57" w:name="_Toc256000067"/>
      <w:bookmarkStart w:id="58" w:name="_Toc5403"/>
      <w:bookmarkStart w:id="59" w:name="_Toc8529"/>
      <w:r>
        <w:rPr>
          <w:rFonts w:hint="eastAsia" w:ascii="宋体" w:hAnsi="宋体" w:eastAsia="宋体" w:cs="宋体"/>
          <w:color w:val="auto"/>
          <w:sz w:val="21"/>
          <w:szCs w:val="21"/>
          <w:highlight w:val="none"/>
          <w:lang w:val="en-US" w:eastAsia="zh-CN"/>
        </w:rPr>
        <w:t>八、项目进度要求</w:t>
      </w:r>
      <w:bookmarkEnd w:id="57"/>
      <w:bookmarkEnd w:id="58"/>
      <w:bookmarkEnd w:id="59"/>
    </w:p>
    <w:p w14:paraId="7E902BF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之日起6个月内，中标人应当完成GIS地图的部署工作，在14个月内完成软件系统及接口开发、数据资源相关建设，完成系统测试、软件部署。由中标人组织交工验收，由采购人同意后，相关系统进入系统联调。</w:t>
      </w:r>
    </w:p>
    <w:p w14:paraId="79507A1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2.系统联调满3个月，由采购人组织项目初步验收。初步验收通过后进入试运行，试运行不少于3个月，试运行后采购人组织竣工验收。</w:t>
      </w:r>
    </w:p>
    <w:p w14:paraId="516ADF7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sz w:val="21"/>
          <w:szCs w:val="21"/>
          <w:highlight w:val="none"/>
          <w:lang w:val="en-US" w:eastAsia="zh-CN"/>
        </w:rPr>
        <w:t>3.项目实施总时间：</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745CBF8C">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0" w:name="_Toc24547"/>
      <w:bookmarkStart w:id="61" w:name="_Toc25982"/>
      <w:bookmarkStart w:id="62" w:name="_Toc256000068"/>
      <w:r>
        <w:rPr>
          <w:rFonts w:hint="eastAsia" w:ascii="宋体" w:hAnsi="宋体" w:eastAsia="宋体" w:cs="宋体"/>
          <w:color w:val="auto"/>
          <w:sz w:val="21"/>
          <w:szCs w:val="21"/>
          <w:highlight w:val="none"/>
          <w:lang w:val="en-US" w:eastAsia="zh-CN"/>
        </w:rPr>
        <w:t>九、组织机构要求</w:t>
      </w:r>
      <w:bookmarkEnd w:id="60"/>
      <w:bookmarkEnd w:id="61"/>
      <w:bookmarkEnd w:id="62"/>
    </w:p>
    <w:p w14:paraId="252D46B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1.项目实施团队人员</w:t>
      </w:r>
    </w:p>
    <w:p w14:paraId="54FD85E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（1）投标人应指派项目经理1名，负责整体项目实施全过程管理和控制各项工作。</w:t>
      </w:r>
    </w:p>
    <w:p w14:paraId="1D07096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（2）投标人应指派技术负责人1名，负责项目整体项目实施全过程技术把关。</w:t>
      </w:r>
    </w:p>
    <w:p w14:paraId="32013C8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（3）投标人应指派不少于</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人的项目团队。</w:t>
      </w:r>
    </w:p>
    <w:p w14:paraId="747C5E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2.项目实施团队人员要求</w:t>
      </w:r>
    </w:p>
    <w:p w14:paraId="624F166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投标人应提供项目团队人员一览表（至少包括姓名、学历、职称及执业资格、所在团队、所在分组、拟任职务、是否核心人员、是否驻场）。</w:t>
      </w:r>
    </w:p>
    <w:p w14:paraId="0F1A4A9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注：项目团队中的项目经理、技术负责人、各团队负责人、团队内各分组负责人、团队内各分组主要成员均应列为核心人员（注：在中标人投标文件商务部分评审中得分的人员均应列为核心人员）。</w:t>
      </w:r>
    </w:p>
    <w:p w14:paraId="7EACB4B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3.项目驻场要求</w:t>
      </w:r>
    </w:p>
    <w:p w14:paraId="3EFB1EC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障项目建设实施过程的高效沟通与衔接，确保项目建设任务高质量如期完成，项目上线试运行前需提供现场服务（地点应在省交通运输厅10公里以内，由中标人自行选择并承担相关费用），现场服务人员不少于4人（核心人员均应驻场），且该驻地包括至少可容4人办公的办公场所或1间不少于10人位的会议场所，用于召开例会、调度会、关键节点审查会及各类协调会议等，项目负责人、项目技术负责人、各分组负责人在项目交工验收合格前应全程在项目驻地办公（国家法定节假日除外），其他人员在项目驻地办公要求由采购人根据项目进展及项目建设实际需要确定。</w:t>
      </w:r>
    </w:p>
    <w:p w14:paraId="6EFBCBF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初步验收合格后，质保期（免费维护期）结束前，中标人应根据采购人要求至少安排1人提供驻场服务（驻场人员须为项目核心人员，驻场场地由中标人自行提供并承担一切费用，不少于1个工位，提供系统运行和使用技术支持，确保系统稳定运行及项目建设目标有效实现。同时，采购人应根据项目运维工作实际需要，安排部分运维人员在相关用户单位提供的其他场地驻场运维。</w:t>
      </w:r>
    </w:p>
    <w:p w14:paraId="429E726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驻场人员工作时间与采购人一致。</w:t>
      </w:r>
    </w:p>
    <w:p w14:paraId="5E1A867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4.团队管理要求</w:t>
      </w:r>
    </w:p>
    <w:p w14:paraId="6AEA3D5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（1）中标人为本项目组成的团队人员及资质应与投标文件保持一致。如果在合同履行过程中采购人发现有团队成员不符合招标文件规定的，中标人应无条件更换为符合招标文件规定的人员。</w:t>
      </w:r>
    </w:p>
    <w:p w14:paraId="0724BF6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（2）本项目交工验收前，中标人原则上不得变更项目团队人员。中标人更换项目团队成员的，采购人将按照如下方式处理：</w:t>
      </w:r>
    </w:p>
    <w:p w14:paraId="6B92246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中标人非因意外情况及不可抗力事件导致而变更项目核心人员的，须经采购人书面同意，采购人从合同总金额中扣除人民币拾万元（100000元）/人次的违约金；中标人未经采购人书面同意擅自更换核心人员的，采购人从合同总金额中扣除人民币贰拾万元（200000元）/人次的违约金，给采购人造成损失的，中标人还须全额赔偿采购人损失。</w:t>
      </w:r>
    </w:p>
    <w:p w14:paraId="7EBFA7E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中标人变更项目团队其它人员的，须经采购人书面同意；中标人未经采购人书面同意擅自更换的，采购人从合同总金额中扣除人民币捌万元（80000元）/人次的违约金，给采购人造成损失的，中标人还须全额赔偿采购人损失。</w:t>
      </w:r>
    </w:p>
    <w:p w14:paraId="552933A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（3）中标人项目组应建立项目调度制度，定期举行工地例会，汇报项目计划执行情况和解决项目执行过程中存在的困难和问题。</w:t>
      </w:r>
    </w:p>
    <w:p w14:paraId="24ADFEA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（4）日常考勤及处理：</w:t>
      </w:r>
    </w:p>
    <w:p w14:paraId="58150ED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①采购人委托监理单位负责对中标人驻场项目组成员进行日常考勤，及时向采购人项目联系人报告，考勤情况须写入监理周报。</w:t>
      </w:r>
    </w:p>
    <w:p w14:paraId="2651BB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②中标人驻场项目组成员请假半天及半天以上须履行请假手续，否则以旷工论处。</w:t>
      </w:r>
    </w:p>
    <w:p w14:paraId="1A74B7C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③中标人驻场项目组成员旷工的，采购人从合同总金额中扣除人民币壹仟元（1000元）/人次的违约金。同一人累计旷工超过3次的（含3次），采购人要求中标人以同等或更高资历条件的人员替换该旷工人员。</w:t>
      </w:r>
    </w:p>
    <w:p w14:paraId="0ABC2957">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3" w:name="_Toc256000069"/>
      <w:bookmarkStart w:id="64" w:name="_Toc23676"/>
      <w:bookmarkStart w:id="65" w:name="_Toc11602"/>
      <w:r>
        <w:rPr>
          <w:rFonts w:hint="eastAsia" w:ascii="宋体" w:hAnsi="宋体" w:eastAsia="宋体" w:cs="宋体"/>
          <w:color w:val="auto"/>
          <w:sz w:val="21"/>
          <w:szCs w:val="21"/>
          <w:highlight w:val="none"/>
          <w:lang w:val="en-US" w:eastAsia="zh-CN"/>
        </w:rPr>
        <w:t>十、质量保证及运维要求</w:t>
      </w:r>
      <w:bookmarkEnd w:id="63"/>
      <w:bookmarkEnd w:id="64"/>
      <w:bookmarkEnd w:id="65"/>
    </w:p>
    <w:p w14:paraId="6F8A975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1.中标人应保证系统的开发、实施及维护满足采购人需求，完全符合合同规定质量、技术和性能的要求。所有第三方技术或产品必须得到合法的使用授权。</w:t>
      </w:r>
    </w:p>
    <w:p w14:paraId="3F92399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硬件质保期自项目竣工验收合格之日起开始计算，本项目硬件设备三年免费原厂质保针对本项目提供7*24免费售后技术支持服务(包括但不限于设备更换、部件更换、固件版粜赚约升级、规则库升级、病毒库升级、特征库升级、漏洞库升级、故障排除、性能调优、技术咨询等)。</w:t>
      </w:r>
    </w:p>
    <w:p w14:paraId="0AAA016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软件运维期自项目竣工验收合格之日起开始计算，成品软件免费运维三年；其他免费运维一年。针对本项目提供7*24免费售后技术支持服务(包括但不限于版本升级、漏洞修复、故障排除、性能调优、技术咨询等)。</w:t>
      </w:r>
    </w:p>
    <w:p w14:paraId="2F5148C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保期（免费维护期）：质保期（免费维护期）从竣工验收合格之日起计算。质保期（免费维护期）内，中标人应当保证接到通知后10分钟内响应，30分钟内赶到现场提供服务。以上质保期（免费维护期）如涉及费用均包含在合同价中。在质保期（免费维护期）内，中标人应当免费为采购人提供上门系统维护服务，如有质量问题，中标人应予以免费更换、修改、维修。质保期（免费维护期）内中标人有义务向采购人免费提供软件系统的最新技术和软件升级版本，满足新的业务需求。</w:t>
      </w:r>
    </w:p>
    <w:p w14:paraId="33C7D76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5.在质保期（免费维护期）内，如发现系统有潜在设计缺陷或维护服务措施不当，采购人有权退货或向中标人索赔，或者要求中标人限期整改。</w:t>
      </w:r>
    </w:p>
    <w:p w14:paraId="2025BE5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6.中标人应保证按照招标文件要求实现采购人所有开发、实施、测试、培训、验收和维护工作。</w:t>
      </w:r>
    </w:p>
    <w:p w14:paraId="1BA90D8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7.中标人必须严格遵守《中华人民共和国产品质量法》，并完整地履行质保期（免费维护期）内的免费现场维修服务承诺。</w:t>
      </w:r>
    </w:p>
    <w:p w14:paraId="47F785E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8.由于产品技术性能或服务响应不及时到位给采购人造成损失或不良影响的，中标人应赔偿采购人损失。</w:t>
      </w:r>
    </w:p>
    <w:p w14:paraId="0B131D1B">
      <w:pPr>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自项目部署完毕之日起至项目质保期(免费维护期)结束之日内中标人应免费进行GIS地图更新</w:t>
      </w:r>
      <w:r>
        <w:rPr>
          <w:rFonts w:hint="eastAsia" w:cs="宋体"/>
          <w:color w:val="auto"/>
          <w:sz w:val="21"/>
          <w:szCs w:val="21"/>
          <w:highlight w:val="none"/>
          <w:lang w:val="en-US" w:eastAsia="zh-CN"/>
        </w:rPr>
        <w:t>，每季度不少于1次。河南省内高速公路应在开通后一周内更新完毕。</w:t>
      </w:r>
    </w:p>
    <w:p w14:paraId="6CB9A9C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.在质保期结束之后，采购人可要求中标人继续提供日常维护支持服务，并支付相应的维护服务费，中标人应提供优惠收费，具体由双方另行商定。</w:t>
      </w:r>
    </w:p>
    <w:p w14:paraId="29B28D30">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6" w:name="_Toc256000070"/>
      <w:bookmarkStart w:id="67" w:name="_Toc8267"/>
      <w:bookmarkStart w:id="68" w:name="_Toc1397"/>
      <w:r>
        <w:rPr>
          <w:rFonts w:hint="eastAsia" w:ascii="宋体" w:hAnsi="宋体" w:eastAsia="宋体" w:cs="宋体"/>
          <w:color w:val="auto"/>
          <w:sz w:val="21"/>
          <w:szCs w:val="21"/>
          <w:highlight w:val="none"/>
          <w:lang w:val="en-US" w:eastAsia="zh-CN"/>
        </w:rPr>
        <w:t>十一、违约与赔偿责任</w:t>
      </w:r>
      <w:bookmarkEnd w:id="66"/>
      <w:bookmarkEnd w:id="67"/>
      <w:bookmarkEnd w:id="68"/>
    </w:p>
    <w:p w14:paraId="41DF264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本合同履行中，因出现在现有技术水平和条件下难以克服的技术困难，导致中标人开发失败或部分失败的，采购人有权单方解除合同，中标人应当赔偿由此给采购人造成的全部损失，中标人损失赔偿额不超过本合同的总金额。</w:t>
      </w:r>
    </w:p>
    <w:p w14:paraId="28CD5D3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本合同履行过程中，中标人若出现或凭其判断可能出现无法克服的技术困难，并可能致使开发失败或者部分失败的情形时，应当及时通知采购人并采取适当措施减少损失。没有及时通知并采取适当措施，采购人有权单方解除合同，给采购人造成损失的，中标人应当赔偿采购人的全部损失，中标人赔偿额不超过本合同的总金额。</w:t>
      </w:r>
    </w:p>
    <w:p w14:paraId="697D1F5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未能履行本合同约定，安装未经双方确认的应用软件，必须主动迅速停用或更换软件，并承担停用及更换的费用，赔偿相关损失。如果中标人在采购人指定的日期前仍不更换软件，采购人有权单方解除合同，停止向中标人付款，中标人还应赔偿由此给采购人造成的全部损失。</w:t>
      </w:r>
    </w:p>
    <w:p w14:paraId="0028B7E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4.质保期（免费维护期）内，中标人未能履行本合同约定，不能按时完成软件的升级工作或未能按约提供维修或维护服务，中标人每次需按照合同总额的千分之三（3‰）支付违约金。</w:t>
      </w:r>
    </w:p>
    <w:p w14:paraId="35231A1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5.因中标人原因造成采购人数据丢失、泄露的，中标人应承担相应的赔偿及法律责任。</w:t>
      </w:r>
    </w:p>
    <w:p w14:paraId="1EABC42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因中标人原因（包括但不限于系统功能未实现、性能不达标、数据错误、交付延迟等）导致河南省智慧交通服务云平台项目在2025年度、2026年度交通运输部组织的数字化转型升级绩效评价考核中扣分，造成河南省未获得全额中央财政资金补助的，按以下方式处理：</w:t>
      </w:r>
    </w:p>
    <w:p w14:paraId="3E9133C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按“中标人原因扣分值/厅本级总扣分值×厅本级未获取资金金额”承担损失，中标人损失赔偿额不超过合同总金额，该金额直接从合同应付款项中扣除。中标人有异议的，可在采购人明确损失赔偿额后10个工作日内提出申辩，由采购人复核并出具最终认定意见。</w:t>
      </w:r>
    </w:p>
    <w:p w14:paraId="637C662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7.中标人需遵守项目监理有关规范，如有违约，将按照该办法的相关要求进行处理。</w:t>
      </w:r>
    </w:p>
    <w:p w14:paraId="3667F8F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8.合同履行过程中，如中标人出现违约行为，中标人同意采购人在应付款项中直接扣除相应违约金。中标人违约金的承担方式不影响发票开具，中标人向采购人开票金额仍以合同约定的应付款为准。</w:t>
      </w:r>
    </w:p>
    <w:p w14:paraId="4DC67C1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9.本项目所称采购人的损失既包括直接损失，也包括期待利益等间接损失及可能发生的诉讼费、保全费、律师费等实现债权的费用。</w:t>
      </w:r>
    </w:p>
    <w:p w14:paraId="52942559">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9" w:name="_Toc18356"/>
      <w:bookmarkStart w:id="70" w:name="_Toc5931"/>
      <w:bookmarkStart w:id="71" w:name="_Toc256000071"/>
      <w:r>
        <w:rPr>
          <w:rFonts w:hint="eastAsia" w:ascii="宋体" w:hAnsi="宋体" w:eastAsia="宋体" w:cs="宋体"/>
          <w:color w:val="auto"/>
          <w:sz w:val="21"/>
          <w:szCs w:val="21"/>
          <w:highlight w:val="none"/>
          <w:lang w:val="en-US" w:eastAsia="zh-CN"/>
        </w:rPr>
        <w:t>十二、保密要求</w:t>
      </w:r>
      <w:bookmarkEnd w:id="69"/>
      <w:bookmarkEnd w:id="70"/>
      <w:bookmarkEnd w:id="71"/>
    </w:p>
    <w:p w14:paraId="1869A5B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按规定严格做好保密工作，未经采购人许可，在本合同有效期间及有效期结束后，中标人不得将合同执行过程中获悉的任何资料及数据擅自复印、修改，或向第三方透露、转让、提供版权或所有权，不得向任何第三方提供本项目信息系统的源程序，否则中标人应承担由此引起的法律后果及经济赔偿责任。</w:t>
      </w:r>
    </w:p>
    <w:p w14:paraId="28083EC5">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2" w:name="_Toc256000072"/>
      <w:bookmarkStart w:id="73" w:name="_Toc16731"/>
      <w:bookmarkStart w:id="74" w:name="_Toc29037"/>
      <w:r>
        <w:rPr>
          <w:rFonts w:hint="eastAsia" w:ascii="宋体" w:hAnsi="宋体" w:eastAsia="宋体" w:cs="宋体"/>
          <w:color w:val="auto"/>
          <w:sz w:val="21"/>
          <w:szCs w:val="21"/>
          <w:highlight w:val="none"/>
          <w:lang w:val="en-US" w:eastAsia="zh-CN"/>
        </w:rPr>
        <w:t>十三、知识产权归属</w:t>
      </w:r>
      <w:bookmarkEnd w:id="72"/>
      <w:bookmarkEnd w:id="73"/>
      <w:bookmarkEnd w:id="74"/>
    </w:p>
    <w:p w14:paraId="5F5CCFC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向采购人提交的河南省智慧交通服务云平台项目应用软件开发成果的知识产权，以及中标人为河南省智慧交通服务云平台项目应用软件开发之目的在开发过程中新形成的专利、计算机软件、技术诀窍、秘密信息、技术资料和文件的知识产权均归采购人单独所有（中标人在本合同签署之前已经拥有的知识产权和中标人按照本合同约定使用的第三方的知识产权除外）。</w:t>
      </w:r>
    </w:p>
    <w:p w14:paraId="069ADD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2.除非采购人书面同意，中标人不得以任何方式向第三方披露、转让和许可有关的技术成果、计算机软件、技术诀窍、秘密信息、技术资料、文件等。</w:t>
      </w:r>
    </w:p>
    <w:p w14:paraId="7E3CE92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3.除本项目开发工作需要之外，未得到采购人的书面许可，中标人不得以任何方式商业性地利用上述资料和技术。</w:t>
      </w:r>
    </w:p>
    <w:p w14:paraId="01C86C0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4.采购人委托中标人开发的本单位本项目产品升级后新产生的知识产权仍归采购人所有。</w:t>
      </w:r>
    </w:p>
    <w:p w14:paraId="00E54F0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5.双方确定，采购人有权使用中标人按照本合同约定提供的研究开发成果进行后续改进。由此产生的具有实质性或创造性技术进步特征的新的技术成果及其权利归属，由采购人享有。</w:t>
      </w:r>
    </w:p>
    <w:p w14:paraId="78160E3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6.中标人利用研究开发经费所购置与研究开发工作有关的设备、器材、资料等财产，归采购人所有。</w:t>
      </w:r>
    </w:p>
    <w:p w14:paraId="012B83A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中标人有权在完成本合同约定的研究开发工作后，利用该项研究开发成果（不包括软件系统中的用户信息和各类数据）进行后续改进。由此产生的具有实质性或创造性技术进步特征的新的技术成果，归中标人所有。</w:t>
      </w:r>
    </w:p>
    <w:p w14:paraId="7D666F4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8.双方完成本合同项目的主要研究人员享有在有关技术成果文件上写明技术成果完成者的权利和取得有关荣誉证书、奖励的权利。</w:t>
      </w:r>
    </w:p>
    <w:p w14:paraId="5DC75620">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5" w:name="_Toc21829"/>
      <w:bookmarkStart w:id="76" w:name="_Toc29074"/>
      <w:bookmarkStart w:id="77" w:name="_Toc256000073"/>
      <w:r>
        <w:rPr>
          <w:rFonts w:hint="eastAsia" w:ascii="宋体" w:hAnsi="宋体" w:eastAsia="宋体" w:cs="宋体"/>
          <w:color w:val="auto"/>
          <w:sz w:val="21"/>
          <w:szCs w:val="21"/>
          <w:highlight w:val="none"/>
          <w:lang w:val="en-US" w:eastAsia="zh-CN"/>
        </w:rPr>
        <w:t>十四、验收要求</w:t>
      </w:r>
      <w:bookmarkEnd w:id="75"/>
      <w:bookmarkEnd w:id="76"/>
      <w:bookmarkEnd w:id="77"/>
    </w:p>
    <w:p w14:paraId="17A449C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1.验收依据</w:t>
      </w:r>
    </w:p>
    <w:p w14:paraId="14AEAC9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（1）国家、省有关法律、法规，以及国家、省关于信息系统建设的有关标准、规范、办法及文件等。</w:t>
      </w:r>
    </w:p>
    <w:p w14:paraId="0C1FBBC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（2）报交通运输部备案的《河南省“一轴一廊”交通基础设施数字化转型升级示范通道及网络实施方案》。</w:t>
      </w:r>
    </w:p>
    <w:p w14:paraId="387481F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（3）经批准的项目可行性报告及其批复文件。</w:t>
      </w:r>
    </w:p>
    <w:p w14:paraId="68AB8A9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（4）经批准的一阶段设计和投资概预算报告及批复文件。</w:t>
      </w:r>
    </w:p>
    <w:p w14:paraId="17EFDDB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（5）项目招投标文件、合同文件、设计文件、施工图纸、设备和软件技术说明书以及项目结、决算有关资料。</w:t>
      </w:r>
    </w:p>
    <w:p w14:paraId="681913F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（6）监理单位提供的有关验收规范。</w:t>
      </w:r>
    </w:p>
    <w:p w14:paraId="2520A35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2.验收组织</w:t>
      </w:r>
    </w:p>
    <w:p w14:paraId="7026C63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中标人应配合监理单位做好验收收尾、资料准备等工作。项目验收工作由包括采购人上级主管部门、采购人、监理单位、用户单位、测评单位、专家和中标人等在内的项目验收组来完成。</w:t>
      </w:r>
    </w:p>
    <w:p w14:paraId="1A8F6A7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（1）验收分为交工验收、初步验收和竣工验收。</w:t>
      </w:r>
    </w:p>
    <w:p w14:paraId="737B1E5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（2）交工验收由中标人组织，并出具交工验收报告。</w:t>
      </w:r>
    </w:p>
    <w:p w14:paraId="3C856BA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（3）初步验收由采购人组织，并出具初步验收报告。</w:t>
      </w:r>
    </w:p>
    <w:p w14:paraId="657FFCC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（4）竣工验收由采购人上级有关部门组织。</w:t>
      </w:r>
    </w:p>
    <w:p w14:paraId="6A0A295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3.交工验收</w:t>
      </w:r>
    </w:p>
    <w:p w14:paraId="20813E8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（1）中标人自检合格后向监理单位提交交工验收申请。</w:t>
      </w:r>
    </w:p>
    <w:p w14:paraId="1947CF1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（2）监理单位组织审查中标人提出的交工验收申请和交工验收方案。</w:t>
      </w:r>
    </w:p>
    <w:p w14:paraId="11D4219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（3）中标人组织采购人、监理单位等对项目的工程、技术、功能、财务和档案等进行验收，合格后形成交工验收报告。</w:t>
      </w:r>
    </w:p>
    <w:p w14:paraId="16A7EBB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4.初步验收</w:t>
      </w:r>
    </w:p>
    <w:p w14:paraId="430AAA9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（1）交工验收后，系统试运行满3个月后，中标人向采购人提交初步验收申请。</w:t>
      </w:r>
    </w:p>
    <w:p w14:paraId="0B3E436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（2）采购人组织审查中标人提出的初步验收申请和初步验收方案。</w:t>
      </w:r>
    </w:p>
    <w:p w14:paraId="6EACD89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（3）采购人根据需要组织单项验收，形成单项验收报告。</w:t>
      </w:r>
    </w:p>
    <w:p w14:paraId="77FE746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（4）采购人组织第三方功能、性能、安全测评并出具测评报告。</w:t>
      </w:r>
    </w:p>
    <w:p w14:paraId="77C4289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（5）采购人组织等级保护测评及备案。</w:t>
      </w:r>
    </w:p>
    <w:p w14:paraId="3B57453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（6）经采购人审核确认后出具《数据接入认定书》《部署交付确认书》。</w:t>
      </w:r>
    </w:p>
    <w:p w14:paraId="1E060B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（7）采购人组织对项目的工程、技术和档案等进行验收，合格后形成初步验收报告。</w:t>
      </w:r>
    </w:p>
    <w:p w14:paraId="68FF3DE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（8）第三方测试（测评）合格，不免除中标人因产品质量问题而应承担的赔偿责任。</w:t>
      </w:r>
    </w:p>
    <w:p w14:paraId="22F72BA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（9）若第三方测试（测评）不合格，中标人应在采购人要求的时间内完成整改并重新申请验收，整改费用由中标人承担，逾期未通过验收的，中标人应承担逾期违约责任。</w:t>
      </w:r>
    </w:p>
    <w:p w14:paraId="7F53546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5.档案验收</w:t>
      </w:r>
    </w:p>
    <w:p w14:paraId="3AD8E07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为规范本项目档案管理工作，确保项目档案的完整性、准确性、系统性和安全性，为系统的长期运维和审计追溯提供可靠依据，本项目档案的整理及验收需满足如下要求：</w:t>
      </w:r>
    </w:p>
    <w:p w14:paraId="2D28C76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归档范围与质量要求：中标人负责从合同签订、项目调研、设计、开发、测试、培训、试运行、推广应用、验收到运维移交全过程中产生的，具有保存价值的各类文件材料（包括但不限于纸质、电子、声像等不同载体）的收集、整理与编制工作。归档文件材料必须齐全、完整、签章完备，其质量应符合国家及河南省关于档案案卷构成的相关要求。</w:t>
      </w:r>
    </w:p>
    <w:p w14:paraId="1076391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（2）整理标准与规范性要求：项目档案管理必须严格遵循《政务信息化项目档案管理规范》（DB43/T 1889-2020）以及河南省档案行政主管部门发布的现行相关法规、标准与文件要求。</w:t>
      </w:r>
    </w:p>
    <w:p w14:paraId="2278370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（3）专项验收要求：中标人须全程配合档案专项验收各项工作，直至本项目档案通过采购人上级有关档案主管部门组织的正式验收，并取得验收通过的正式意见或批复文件。</w:t>
      </w:r>
    </w:p>
    <w:p w14:paraId="78E449C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6.竣工验收</w:t>
      </w:r>
    </w:p>
    <w:p w14:paraId="68EE6A1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（1）竣工验收条件</w:t>
      </w:r>
    </w:p>
    <w:p w14:paraId="1D6A0E9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①项目建设已全部完成，交工验收合格后系统正常运行6个月内；</w:t>
      </w:r>
    </w:p>
    <w:p w14:paraId="08BE7CD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②完成结算审核和财务决算审计；</w:t>
      </w:r>
    </w:p>
    <w:p w14:paraId="0EC8109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③档案文件整理齐全，通过档案验收；</w:t>
      </w:r>
    </w:p>
    <w:p w14:paraId="2C31F59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④中标人对工程质量自检合格，并出具自检报告；</w:t>
      </w:r>
    </w:p>
    <w:p w14:paraId="13A8195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⑤经第三方软件测评、等级保护测评、密码安全评估合格，并出具测评/评估报告。</w:t>
      </w:r>
    </w:p>
    <w:p w14:paraId="32E11D3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⑥系统能完全满足相关用户使用需求，并由用户出具意见为合格（或满意）的书面用户使用报告。</w:t>
      </w:r>
    </w:p>
    <w:p w14:paraId="012B5F9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项目竣工验收具体条件根据采购人上级有关部门文件要求及竣工验收组织部门的相关要求确定。</w:t>
      </w:r>
    </w:p>
    <w:p w14:paraId="77FEE0B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（2）项目满足上述竣工验收条件后，中标人提交竣工验收申请。</w:t>
      </w:r>
    </w:p>
    <w:p w14:paraId="07FEF96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（3）由采购人上级有关部门组建竣工验收委员会。</w:t>
      </w:r>
    </w:p>
    <w:p w14:paraId="5BB21F8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（4）竣工验收委员会须对竣工验收的先期基础性工作进行检查，重点检查项目建设、设计、监理、施工、招标采购、档案资料、预算执行和财务决算等情况，提出评价意见和建议。</w:t>
      </w:r>
    </w:p>
    <w:p w14:paraId="5B718D8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（5）竣工验收委员会基于评价意见出具竣工验收报告。</w:t>
      </w:r>
    </w:p>
    <w:p w14:paraId="2E50944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7.中标人成果交付</w:t>
      </w:r>
    </w:p>
    <w:p w14:paraId="56E6525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中标人在双方组织的各项阶段性验收过程中，应当根据本合同要求免费向验收组提供完整的验收资料。中标人所有提交的文档必须符合采购人要求的文档规范。</w:t>
      </w:r>
    </w:p>
    <w:p w14:paraId="5CF121ED">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8" w:name="_Toc8614"/>
      <w:bookmarkStart w:id="79" w:name="_Toc256000074"/>
      <w:bookmarkStart w:id="80" w:name="_Toc4292"/>
      <w:r>
        <w:rPr>
          <w:rFonts w:hint="eastAsia" w:ascii="宋体" w:hAnsi="宋体" w:eastAsia="宋体" w:cs="宋体"/>
          <w:color w:val="auto"/>
          <w:sz w:val="21"/>
          <w:szCs w:val="21"/>
          <w:highlight w:val="none"/>
          <w:lang w:val="en-US" w:eastAsia="zh-CN"/>
        </w:rPr>
        <w:t>十五、费用支付</w:t>
      </w:r>
      <w:bookmarkEnd w:id="78"/>
      <w:bookmarkEnd w:id="79"/>
      <w:bookmarkEnd w:id="80"/>
    </w:p>
    <w:p w14:paraId="29AF70E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1.银行保函</w:t>
      </w:r>
    </w:p>
    <w:p w14:paraId="4A8AB4F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2个工作日之内，中标人向采购人提供合同金额的全额银行保函，保函时效不低于6个月。若中标人无法在限定时间内开具银行保函，资金被财政收回导致无法支付，后果由中标人自行承担。采购人在收到银行保函后支付等额项目资金。</w:t>
      </w:r>
    </w:p>
    <w:p w14:paraId="464D554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2.支付条件及支付额度</w:t>
      </w:r>
    </w:p>
    <w:p w14:paraId="1FCD4DB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其他条款以合同签订为准。</w:t>
      </w:r>
    </w:p>
    <w:p w14:paraId="222A9BC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3.支付单位：河南省交通运输调度指挥中心。</w:t>
      </w:r>
    </w:p>
    <w:p w14:paraId="57A5F8C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4.支付程序：合同签订后，中标人应配合采购人办理备案。每次付款前，中标人应将发票和相关支付材料交采购人，采购人通过国库集中支付网支付合同款。</w:t>
      </w:r>
    </w:p>
    <w:p w14:paraId="1545D6F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5.采购人不向项目合同约定的收款账户外的任何其他账户办理付款手续，中标人确需变更收款账户信息的，应当提交其法定代表人签字并加盖财务专用章的证明材料，并征得采购人书面同意。</w:t>
      </w:r>
    </w:p>
    <w:p w14:paraId="33539D9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6.采购人付款前，中标人应当向采购人出具符合要求的相应正式发票。如中标人未按时出具发票或出具发票不符合要求的，采购人可相应顺延付款时间，且不视为违约，无需承担任何违约责任。</w:t>
      </w:r>
    </w:p>
    <w:p w14:paraId="29D0782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7.本合同款项的支付均使用财政资金，因财政资金未到位或财政支付流程等原因导致付款延迟的，不视为采购人违约，采购人无需承担任何违约责任。</w:t>
      </w:r>
    </w:p>
    <w:p w14:paraId="3D9D4329">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81" w:name="_Toc256000075"/>
      <w:bookmarkStart w:id="82" w:name="_Toc11395"/>
      <w:r>
        <w:rPr>
          <w:rFonts w:hint="eastAsia" w:ascii="宋体" w:hAnsi="宋体" w:eastAsia="宋体" w:cs="宋体"/>
          <w:color w:val="auto"/>
          <w:sz w:val="21"/>
          <w:szCs w:val="21"/>
          <w:highlight w:val="none"/>
          <w:lang w:val="en-US" w:eastAsia="zh-CN"/>
        </w:rPr>
        <w:t>十六、转包和分包</w:t>
      </w:r>
      <w:bookmarkEnd w:id="81"/>
      <w:bookmarkEnd w:id="82"/>
    </w:p>
    <w:p w14:paraId="5526461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1.中标人不得以任何形式将合同转包、转让。</w:t>
      </w:r>
    </w:p>
    <w:p w14:paraId="385B1A0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2.除本招标文件中明确同意分包且中标人在其投标文件中明确响应分包的本项目非主体、非关键性工作外，中标人不得将合同的其他任何工作内容分包给他人。</w:t>
      </w:r>
    </w:p>
    <w:p w14:paraId="1A01365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3.中标人违反本条规定的，采购人有权单方解除合同，并要求中标人支付本合同总价款百分之二十（20%）的违约金，给采购人造成损失的，中标人还应赔偿采购人全部损失。</w:t>
      </w:r>
    </w:p>
    <w:p w14:paraId="3B8E4DE5">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83" w:name="_Toc18067"/>
      <w:bookmarkStart w:id="84" w:name="_Toc256000076"/>
      <w:bookmarkStart w:id="85" w:name="_Toc4805"/>
      <w:r>
        <w:rPr>
          <w:rFonts w:hint="eastAsia" w:ascii="宋体" w:hAnsi="宋体" w:eastAsia="宋体" w:cs="宋体"/>
          <w:color w:val="auto"/>
          <w:sz w:val="21"/>
          <w:szCs w:val="21"/>
          <w:highlight w:val="none"/>
          <w:lang w:val="en-US" w:eastAsia="zh-CN"/>
        </w:rPr>
        <w:t>十七、其他要求及相关约定</w:t>
      </w:r>
      <w:bookmarkEnd w:id="83"/>
      <w:bookmarkEnd w:id="84"/>
      <w:bookmarkEnd w:id="85"/>
    </w:p>
    <w:p w14:paraId="60E1552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见本招标文件《政府采购合同》</w:t>
      </w:r>
    </w:p>
    <w:p w14:paraId="07FCDF61">
      <w:pPr>
        <w:bidi w:val="0"/>
        <w:ind w:firstLine="420" w:firstLineChars="200"/>
        <w:rPr>
          <w:rFonts w:hint="eastAsia"/>
          <w:color w:val="auto"/>
          <w:highlight w:val="none"/>
          <w:lang w:val="en-US" w:eastAsia="zh-CN"/>
        </w:rPr>
      </w:pPr>
      <w:r>
        <w:rPr>
          <w:rFonts w:hint="eastAsia"/>
          <w:color w:val="auto"/>
          <w:highlight w:val="none"/>
          <w:lang w:val="en-US" w:eastAsia="zh-CN"/>
        </w:rPr>
        <w:t>招标文件附件（如有）,本附件如果与第六章正文不一致的，以正文为准。</w:t>
      </w:r>
    </w:p>
    <w:p w14:paraId="61D3D733">
      <w:pPr>
        <w:bidi w:val="0"/>
        <w:spacing w:line="360" w:lineRule="auto"/>
        <w:ind w:firstLine="420" w:firstLineChars="200"/>
        <w:rPr>
          <w:rFonts w:hint="default" w:ascii="宋体" w:hAnsi="宋体" w:eastAsia="宋体" w:cs="宋体"/>
          <w:color w:val="auto"/>
          <w:sz w:val="21"/>
          <w:szCs w:val="21"/>
          <w:highlight w:val="none"/>
          <w:lang w:val="en-US" w:eastAsia="zh-CN"/>
        </w:rPr>
        <w:sectPr>
          <w:footerReference r:id="rId3" w:type="default"/>
          <w:pgSz w:w="11906" w:h="16838"/>
          <w:pgMar w:top="1417" w:right="1417" w:bottom="1417" w:left="1417" w:header="777" w:footer="641" w:gutter="0"/>
          <w:pgBorders>
            <w:top w:val="none" w:sz="0" w:space="0"/>
            <w:left w:val="none" w:sz="0" w:space="0"/>
            <w:bottom w:val="none" w:sz="0" w:space="0"/>
            <w:right w:val="none" w:sz="0" w:space="0"/>
          </w:pgBorders>
          <w:pgNumType w:fmt="decimal"/>
          <w:cols w:space="720" w:num="1"/>
          <w:rtlGutter w:val="0"/>
          <w:docGrid w:linePitch="312" w:charSpace="0"/>
        </w:sectPr>
      </w:pPr>
    </w:p>
    <w:p w14:paraId="7830C60D">
      <w:pPr>
        <w:jc w:val="center"/>
        <w:rPr>
          <w:rFonts w:hint="eastAsia"/>
          <w:b/>
          <w:bCs/>
          <w:sz w:val="28"/>
          <w:szCs w:val="28"/>
          <w:lang w:val="en-US" w:eastAsia="zh-CN"/>
        </w:rPr>
      </w:pPr>
      <w:r>
        <w:rPr>
          <w:rFonts w:hint="eastAsia"/>
          <w:b/>
          <w:bCs/>
          <w:sz w:val="28"/>
          <w:szCs w:val="28"/>
          <w:lang w:val="en-US" w:eastAsia="zh-CN"/>
        </w:rPr>
        <w:t>包2采购需求</w:t>
      </w:r>
    </w:p>
    <w:p w14:paraId="6FF14087">
      <w:pPr>
        <w:keepNext/>
        <w:keepLines/>
        <w:numPr>
          <w:ilvl w:val="1"/>
          <w:numId w:val="0"/>
        </w:numPr>
        <w:spacing w:before="260" w:after="260" w:line="413" w:lineRule="auto"/>
        <w:jc w:val="center"/>
        <w:outlineLvl w:val="1"/>
        <w:rPr>
          <w:rFonts w:ascii="Arial" w:hAnsi="Arial" w:cs="Times New Roman"/>
          <w:b/>
          <w:bCs/>
          <w:color w:val="auto"/>
          <w:sz w:val="28"/>
          <w:szCs w:val="32"/>
          <w:highlight w:val="none"/>
        </w:rPr>
      </w:pPr>
      <w:bookmarkStart w:id="86" w:name="_Toc4568"/>
      <w:r>
        <w:rPr>
          <w:rFonts w:hint="eastAsia" w:ascii="Arial" w:hAnsi="Arial" w:cs="Times New Roman"/>
          <w:b/>
          <w:bCs/>
          <w:color w:val="auto"/>
          <w:sz w:val="28"/>
          <w:szCs w:val="32"/>
          <w:highlight w:val="none"/>
        </w:rPr>
        <w:t>第一节 采购清单一览表</w:t>
      </w:r>
      <w:bookmarkEnd w:id="86"/>
    </w:p>
    <w:tbl>
      <w:tblPr>
        <w:tblStyle w:val="4"/>
        <w:tblW w:w="4998" w:type="pct"/>
        <w:tblInd w:w="0" w:type="dxa"/>
        <w:tblLayout w:type="autofit"/>
        <w:tblCellMar>
          <w:top w:w="0" w:type="dxa"/>
          <w:left w:w="108" w:type="dxa"/>
          <w:bottom w:w="0" w:type="dxa"/>
          <w:right w:w="108" w:type="dxa"/>
        </w:tblCellMar>
      </w:tblPr>
      <w:tblGrid>
        <w:gridCol w:w="1107"/>
        <w:gridCol w:w="2845"/>
        <w:gridCol w:w="3053"/>
        <w:gridCol w:w="782"/>
        <w:gridCol w:w="732"/>
      </w:tblGrid>
      <w:tr w14:paraId="751C9D4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62AB5B8">
            <w:pPr>
              <w:pStyle w:val="8"/>
              <w:adjustRightInd w:val="0"/>
              <w:snapToGrid w:val="0"/>
              <w:spacing w:before="120" w:beforeLines="50" w:line="360" w:lineRule="auto"/>
              <w:jc w:val="center"/>
              <w:rPr>
                <w:rFonts w:ascii="宋体" w:hAnsi="宋体"/>
                <w:b/>
                <w:bCs/>
                <w:color w:val="auto"/>
                <w:szCs w:val="21"/>
                <w:highlight w:val="none"/>
              </w:rPr>
            </w:pPr>
            <w:bookmarkStart w:id="87" w:name="_Hlk215084873"/>
            <w:r>
              <w:rPr>
                <w:rFonts w:hint="eastAsia" w:ascii="宋体" w:hAnsi="宋体"/>
                <w:b/>
                <w:bCs/>
                <w:color w:val="auto"/>
                <w:szCs w:val="21"/>
                <w:highlight w:val="none"/>
              </w:rPr>
              <w:t>序号</w:t>
            </w:r>
          </w:p>
        </w:tc>
        <w:tc>
          <w:tcPr>
            <w:tcW w:w="1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D743C">
            <w:pPr>
              <w:pStyle w:val="8"/>
              <w:adjustRightInd w:val="0"/>
              <w:snapToGrid w:val="0"/>
              <w:spacing w:before="120" w:beforeLines="50" w:line="360" w:lineRule="auto"/>
              <w:jc w:val="center"/>
              <w:rPr>
                <w:rFonts w:ascii="宋体" w:hAnsi="宋体"/>
                <w:b/>
                <w:bCs/>
                <w:color w:val="auto"/>
                <w:szCs w:val="21"/>
                <w:highlight w:val="none"/>
              </w:rPr>
            </w:pPr>
            <w:r>
              <w:rPr>
                <w:rFonts w:hint="eastAsia" w:ascii="宋体" w:hAnsi="宋体"/>
                <w:b/>
                <w:bCs/>
                <w:color w:val="auto"/>
                <w:szCs w:val="21"/>
                <w:highlight w:val="none"/>
              </w:rPr>
              <w:t>分项项目名称</w:t>
            </w:r>
          </w:p>
        </w:tc>
        <w:tc>
          <w:tcPr>
            <w:tcW w:w="1792" w:type="pct"/>
            <w:tcBorders>
              <w:top w:val="single" w:color="000000" w:sz="4" w:space="0"/>
              <w:left w:val="single" w:color="000000" w:sz="4" w:space="0"/>
              <w:bottom w:val="single" w:color="000000" w:sz="4" w:space="0"/>
              <w:right w:val="single" w:color="000000" w:sz="4" w:space="0"/>
            </w:tcBorders>
            <w:vAlign w:val="center"/>
          </w:tcPr>
          <w:p w14:paraId="00C40D35">
            <w:pPr>
              <w:pStyle w:val="8"/>
              <w:adjustRightInd w:val="0"/>
              <w:snapToGrid w:val="0"/>
              <w:spacing w:before="120" w:beforeLines="50" w:line="360" w:lineRule="auto"/>
              <w:jc w:val="center"/>
              <w:rPr>
                <w:rFonts w:ascii="宋体" w:hAnsi="宋体"/>
                <w:b/>
                <w:bCs/>
                <w:color w:val="auto"/>
                <w:szCs w:val="21"/>
                <w:highlight w:val="none"/>
              </w:rPr>
            </w:pPr>
            <w:r>
              <w:rPr>
                <w:rFonts w:hint="eastAsia" w:ascii="宋体" w:hAnsi="宋体"/>
                <w:b/>
                <w:bCs/>
                <w:color w:val="auto"/>
                <w:szCs w:val="21"/>
                <w:highlight w:val="none"/>
              </w:rPr>
              <w:t>服务内容</w:t>
            </w:r>
          </w:p>
        </w:tc>
        <w:tc>
          <w:tcPr>
            <w:tcW w:w="459" w:type="pct"/>
            <w:tcBorders>
              <w:top w:val="single" w:color="000000" w:sz="4" w:space="0"/>
              <w:left w:val="single" w:color="000000" w:sz="4" w:space="0"/>
              <w:bottom w:val="single" w:color="000000" w:sz="4" w:space="0"/>
              <w:right w:val="single" w:color="000000" w:sz="4" w:space="0"/>
            </w:tcBorders>
            <w:vAlign w:val="center"/>
          </w:tcPr>
          <w:p w14:paraId="0538B9A9">
            <w:pPr>
              <w:pStyle w:val="8"/>
              <w:adjustRightInd w:val="0"/>
              <w:snapToGrid w:val="0"/>
              <w:spacing w:before="120" w:beforeLines="50" w:line="360" w:lineRule="auto"/>
              <w:jc w:val="center"/>
              <w:rPr>
                <w:rFonts w:ascii="宋体" w:hAnsi="宋体"/>
                <w:b/>
                <w:bCs/>
                <w:color w:val="auto"/>
                <w:szCs w:val="21"/>
                <w:highlight w:val="none"/>
              </w:rPr>
            </w:pPr>
            <w:r>
              <w:rPr>
                <w:rFonts w:hint="eastAsia" w:ascii="宋体" w:hAnsi="宋体"/>
                <w:b/>
                <w:bCs/>
                <w:color w:val="auto"/>
                <w:szCs w:val="21"/>
                <w:highlight w:val="none"/>
              </w:rPr>
              <w:t>数量</w:t>
            </w:r>
          </w:p>
        </w:tc>
        <w:tc>
          <w:tcPr>
            <w:tcW w:w="429" w:type="pct"/>
            <w:tcBorders>
              <w:top w:val="single" w:color="000000" w:sz="4" w:space="0"/>
              <w:left w:val="single" w:color="000000" w:sz="4" w:space="0"/>
              <w:bottom w:val="single" w:color="000000" w:sz="4" w:space="0"/>
              <w:right w:val="single" w:color="000000" w:sz="4" w:space="0"/>
            </w:tcBorders>
            <w:vAlign w:val="center"/>
          </w:tcPr>
          <w:p w14:paraId="106C02A8">
            <w:pPr>
              <w:pStyle w:val="8"/>
              <w:adjustRightInd w:val="0"/>
              <w:snapToGrid w:val="0"/>
              <w:spacing w:before="120" w:beforeLines="50" w:line="360" w:lineRule="auto"/>
              <w:jc w:val="center"/>
              <w:rPr>
                <w:rFonts w:ascii="宋体" w:hAnsi="宋体"/>
                <w:b/>
                <w:bCs/>
                <w:color w:val="auto"/>
                <w:szCs w:val="21"/>
                <w:highlight w:val="none"/>
              </w:rPr>
            </w:pPr>
            <w:r>
              <w:rPr>
                <w:rFonts w:hint="eastAsia" w:ascii="宋体" w:hAnsi="宋体"/>
                <w:b/>
                <w:bCs/>
                <w:color w:val="auto"/>
                <w:szCs w:val="21"/>
                <w:highlight w:val="none"/>
              </w:rPr>
              <w:t>单位</w:t>
            </w:r>
          </w:p>
        </w:tc>
      </w:tr>
      <w:tr w14:paraId="7A0C282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1980D54">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670" w:type="pct"/>
            <w:tcBorders>
              <w:top w:val="single" w:color="000000" w:sz="4" w:space="0"/>
              <w:left w:val="single" w:color="000000" w:sz="4" w:space="0"/>
              <w:bottom w:val="single" w:color="000000" w:sz="4" w:space="0"/>
              <w:right w:val="single" w:color="000000" w:sz="4" w:space="0"/>
            </w:tcBorders>
            <w:vAlign w:val="center"/>
          </w:tcPr>
          <w:p w14:paraId="4F11CAB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首版电子航道图生产</w:t>
            </w:r>
          </w:p>
        </w:tc>
        <w:tc>
          <w:tcPr>
            <w:tcW w:w="1792" w:type="pct"/>
            <w:tcBorders>
              <w:top w:val="single" w:color="000000" w:sz="4" w:space="0"/>
              <w:left w:val="single" w:color="000000" w:sz="4" w:space="0"/>
              <w:bottom w:val="single" w:color="000000" w:sz="4" w:space="0"/>
              <w:right w:val="single" w:color="000000" w:sz="4" w:space="0"/>
            </w:tcBorders>
            <w:vAlign w:val="center"/>
          </w:tcPr>
          <w:p w14:paraId="6E87AD14">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56D4EE0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7650D6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10E257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D84AD17">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1670" w:type="pct"/>
            <w:tcBorders>
              <w:top w:val="single" w:color="000000" w:sz="4" w:space="0"/>
              <w:left w:val="single" w:color="000000" w:sz="4" w:space="0"/>
              <w:bottom w:val="single" w:color="000000" w:sz="4" w:space="0"/>
              <w:right w:val="single" w:color="000000" w:sz="4" w:space="0"/>
            </w:tcBorders>
            <w:vAlign w:val="center"/>
          </w:tcPr>
          <w:p w14:paraId="18B5A71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数据采集：控制测量</w:t>
            </w:r>
          </w:p>
        </w:tc>
        <w:tc>
          <w:tcPr>
            <w:tcW w:w="1792" w:type="pct"/>
            <w:tcBorders>
              <w:top w:val="single" w:color="000000" w:sz="4" w:space="0"/>
              <w:left w:val="single" w:color="000000" w:sz="4" w:space="0"/>
              <w:bottom w:val="single" w:color="000000" w:sz="4" w:space="0"/>
              <w:right w:val="single" w:color="000000" w:sz="4" w:space="0"/>
            </w:tcBorders>
            <w:vAlign w:val="center"/>
          </w:tcPr>
          <w:p w14:paraId="44E65A9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需对全长400km河道按照GNSS测量D级网要求设置基准控制点，采用GNSS静态观测方式进行网平差，并按四等水准精度进行高程控制测量</w:t>
            </w:r>
          </w:p>
        </w:tc>
        <w:tc>
          <w:tcPr>
            <w:tcW w:w="459" w:type="pct"/>
            <w:tcBorders>
              <w:top w:val="single" w:color="000000" w:sz="4" w:space="0"/>
              <w:left w:val="single" w:color="000000" w:sz="4" w:space="0"/>
              <w:bottom w:val="single" w:color="000000" w:sz="4" w:space="0"/>
              <w:right w:val="single" w:color="000000" w:sz="4" w:space="0"/>
            </w:tcBorders>
            <w:vAlign w:val="center"/>
          </w:tcPr>
          <w:p w14:paraId="349FAD1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80</w:t>
            </w:r>
          </w:p>
        </w:tc>
        <w:tc>
          <w:tcPr>
            <w:tcW w:w="429" w:type="pct"/>
            <w:tcBorders>
              <w:top w:val="single" w:color="000000" w:sz="4" w:space="0"/>
              <w:left w:val="single" w:color="000000" w:sz="4" w:space="0"/>
              <w:bottom w:val="single" w:color="000000" w:sz="4" w:space="0"/>
              <w:right w:val="single" w:color="000000" w:sz="4" w:space="0"/>
            </w:tcBorders>
            <w:vAlign w:val="center"/>
          </w:tcPr>
          <w:p w14:paraId="500890C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个</w:t>
            </w:r>
          </w:p>
        </w:tc>
      </w:tr>
      <w:tr w14:paraId="5EBC8257">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2232B86">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1670" w:type="pct"/>
            <w:tcBorders>
              <w:top w:val="single" w:color="000000" w:sz="4" w:space="0"/>
              <w:left w:val="single" w:color="000000" w:sz="4" w:space="0"/>
              <w:bottom w:val="single" w:color="000000" w:sz="4" w:space="0"/>
              <w:right w:val="single" w:color="000000" w:sz="4" w:space="0"/>
            </w:tcBorders>
            <w:vAlign w:val="center"/>
          </w:tcPr>
          <w:p w14:paraId="1C4E091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数据采集：陆域地形测量</w:t>
            </w:r>
          </w:p>
        </w:tc>
        <w:tc>
          <w:tcPr>
            <w:tcW w:w="1792" w:type="pct"/>
            <w:tcBorders>
              <w:top w:val="single" w:color="000000" w:sz="4" w:space="0"/>
              <w:left w:val="single" w:color="000000" w:sz="4" w:space="0"/>
              <w:bottom w:val="single" w:color="000000" w:sz="4" w:space="0"/>
              <w:right w:val="single" w:color="000000" w:sz="4" w:space="0"/>
            </w:tcBorders>
            <w:vAlign w:val="center"/>
          </w:tcPr>
          <w:p w14:paraId="18A5CA4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需在已有成果基础上，对400公里河道地形进行修测</w:t>
            </w:r>
          </w:p>
        </w:tc>
        <w:tc>
          <w:tcPr>
            <w:tcW w:w="459" w:type="pct"/>
            <w:tcBorders>
              <w:top w:val="single" w:color="000000" w:sz="4" w:space="0"/>
              <w:left w:val="single" w:color="000000" w:sz="4" w:space="0"/>
              <w:bottom w:val="single" w:color="000000" w:sz="4" w:space="0"/>
              <w:right w:val="single" w:color="000000" w:sz="4" w:space="0"/>
            </w:tcBorders>
            <w:vAlign w:val="center"/>
          </w:tcPr>
          <w:p w14:paraId="3B166B1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40</w:t>
            </w:r>
          </w:p>
        </w:tc>
        <w:tc>
          <w:tcPr>
            <w:tcW w:w="429" w:type="pct"/>
            <w:tcBorders>
              <w:top w:val="single" w:color="000000" w:sz="4" w:space="0"/>
              <w:left w:val="single" w:color="000000" w:sz="4" w:space="0"/>
              <w:bottom w:val="single" w:color="000000" w:sz="4" w:space="0"/>
              <w:right w:val="single" w:color="000000" w:sz="4" w:space="0"/>
            </w:tcBorders>
            <w:vAlign w:val="center"/>
          </w:tcPr>
          <w:p w14:paraId="47456D2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km2</w:t>
            </w:r>
          </w:p>
        </w:tc>
      </w:tr>
      <w:tr w14:paraId="4112D4A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468613E">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1.3</w:t>
            </w:r>
          </w:p>
        </w:tc>
        <w:tc>
          <w:tcPr>
            <w:tcW w:w="1670" w:type="pct"/>
            <w:tcBorders>
              <w:top w:val="single" w:color="000000" w:sz="4" w:space="0"/>
              <w:left w:val="single" w:color="000000" w:sz="4" w:space="0"/>
              <w:bottom w:val="single" w:color="000000" w:sz="4" w:space="0"/>
              <w:right w:val="single" w:color="000000" w:sz="4" w:space="0"/>
            </w:tcBorders>
            <w:vAlign w:val="center"/>
          </w:tcPr>
          <w:p w14:paraId="6F5E4B4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数据采集：水下地形测量</w:t>
            </w:r>
          </w:p>
        </w:tc>
        <w:tc>
          <w:tcPr>
            <w:tcW w:w="1792" w:type="pct"/>
            <w:tcBorders>
              <w:top w:val="single" w:color="000000" w:sz="4" w:space="0"/>
              <w:left w:val="single" w:color="000000" w:sz="4" w:space="0"/>
              <w:bottom w:val="single" w:color="000000" w:sz="4" w:space="0"/>
              <w:right w:val="single" w:color="000000" w:sz="4" w:space="0"/>
            </w:tcBorders>
            <w:vAlign w:val="center"/>
          </w:tcPr>
          <w:p w14:paraId="45EE1FD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需在已有成果基础上，对400公里航道进行水深数据典型断面比对，明显变化区域重新采集水深数据</w:t>
            </w:r>
          </w:p>
        </w:tc>
        <w:tc>
          <w:tcPr>
            <w:tcW w:w="459" w:type="pct"/>
            <w:tcBorders>
              <w:top w:val="single" w:color="000000" w:sz="4" w:space="0"/>
              <w:left w:val="single" w:color="000000" w:sz="4" w:space="0"/>
              <w:bottom w:val="single" w:color="000000" w:sz="4" w:space="0"/>
              <w:right w:val="single" w:color="000000" w:sz="4" w:space="0"/>
            </w:tcBorders>
            <w:vAlign w:val="center"/>
          </w:tcPr>
          <w:p w14:paraId="638E731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80</w:t>
            </w:r>
          </w:p>
        </w:tc>
        <w:tc>
          <w:tcPr>
            <w:tcW w:w="429" w:type="pct"/>
            <w:tcBorders>
              <w:top w:val="single" w:color="000000" w:sz="4" w:space="0"/>
              <w:left w:val="single" w:color="000000" w:sz="4" w:space="0"/>
              <w:bottom w:val="single" w:color="000000" w:sz="4" w:space="0"/>
              <w:right w:val="single" w:color="000000" w:sz="4" w:space="0"/>
            </w:tcBorders>
            <w:vAlign w:val="center"/>
          </w:tcPr>
          <w:p w14:paraId="75A9EA2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km2</w:t>
            </w:r>
          </w:p>
        </w:tc>
      </w:tr>
      <w:tr w14:paraId="264C0F3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55F0897">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1.4</w:t>
            </w:r>
          </w:p>
        </w:tc>
        <w:tc>
          <w:tcPr>
            <w:tcW w:w="1670" w:type="pct"/>
            <w:tcBorders>
              <w:top w:val="single" w:color="000000" w:sz="4" w:space="0"/>
              <w:left w:val="single" w:color="000000" w:sz="4" w:space="0"/>
              <w:bottom w:val="single" w:color="000000" w:sz="4" w:space="0"/>
              <w:right w:val="single" w:color="000000" w:sz="4" w:space="0"/>
            </w:tcBorders>
            <w:vAlign w:val="center"/>
          </w:tcPr>
          <w:p w14:paraId="391E4EF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数据采集：要素属性采集与录入</w:t>
            </w:r>
          </w:p>
        </w:tc>
        <w:tc>
          <w:tcPr>
            <w:tcW w:w="1792" w:type="pct"/>
            <w:tcBorders>
              <w:top w:val="single" w:color="000000" w:sz="4" w:space="0"/>
              <w:left w:val="single" w:color="000000" w:sz="4" w:space="0"/>
              <w:bottom w:val="single" w:color="000000" w:sz="4" w:space="0"/>
              <w:right w:val="single" w:color="000000" w:sz="4" w:space="0"/>
            </w:tcBorders>
            <w:vAlign w:val="center"/>
          </w:tcPr>
          <w:p w14:paraId="759272E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需对全河段助航标志等各类地物要素信息进行实地采集、收集并录入，对外业采集的水深点数据进行处理，最终形成内业成果数据</w:t>
            </w:r>
          </w:p>
        </w:tc>
        <w:tc>
          <w:tcPr>
            <w:tcW w:w="459" w:type="pct"/>
            <w:tcBorders>
              <w:top w:val="single" w:color="000000" w:sz="4" w:space="0"/>
              <w:left w:val="single" w:color="000000" w:sz="4" w:space="0"/>
              <w:bottom w:val="single" w:color="000000" w:sz="4" w:space="0"/>
              <w:right w:val="single" w:color="000000" w:sz="4" w:space="0"/>
            </w:tcBorders>
            <w:vAlign w:val="center"/>
          </w:tcPr>
          <w:p w14:paraId="0E8BC81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400</w:t>
            </w:r>
          </w:p>
        </w:tc>
        <w:tc>
          <w:tcPr>
            <w:tcW w:w="429" w:type="pct"/>
            <w:tcBorders>
              <w:top w:val="single" w:color="000000" w:sz="4" w:space="0"/>
              <w:left w:val="single" w:color="000000" w:sz="4" w:space="0"/>
              <w:bottom w:val="single" w:color="000000" w:sz="4" w:space="0"/>
              <w:right w:val="single" w:color="000000" w:sz="4" w:space="0"/>
            </w:tcBorders>
            <w:vAlign w:val="center"/>
          </w:tcPr>
          <w:p w14:paraId="5701A63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w:t>
            </w:r>
          </w:p>
        </w:tc>
      </w:tr>
      <w:tr w14:paraId="66A7753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1FC80AA">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1.5</w:t>
            </w:r>
          </w:p>
        </w:tc>
        <w:tc>
          <w:tcPr>
            <w:tcW w:w="1670" w:type="pct"/>
            <w:tcBorders>
              <w:top w:val="single" w:color="000000" w:sz="4" w:space="0"/>
              <w:left w:val="single" w:color="000000" w:sz="4" w:space="0"/>
              <w:bottom w:val="single" w:color="000000" w:sz="4" w:space="0"/>
              <w:right w:val="single" w:color="000000" w:sz="4" w:space="0"/>
            </w:tcBorders>
            <w:vAlign w:val="center"/>
          </w:tcPr>
          <w:p w14:paraId="1ADF5D4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数据制作：制图数据预处理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03867A5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需完成数据识别分类、图层识别与提取、精细化处理、影像比对、预处理数据检查</w:t>
            </w:r>
          </w:p>
        </w:tc>
        <w:tc>
          <w:tcPr>
            <w:tcW w:w="459" w:type="pct"/>
            <w:tcBorders>
              <w:top w:val="single" w:color="000000" w:sz="4" w:space="0"/>
              <w:left w:val="single" w:color="000000" w:sz="4" w:space="0"/>
              <w:bottom w:val="single" w:color="000000" w:sz="4" w:space="0"/>
              <w:right w:val="single" w:color="000000" w:sz="4" w:space="0"/>
            </w:tcBorders>
            <w:vAlign w:val="center"/>
          </w:tcPr>
          <w:p w14:paraId="7EC6ACA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400</w:t>
            </w:r>
          </w:p>
        </w:tc>
        <w:tc>
          <w:tcPr>
            <w:tcW w:w="429" w:type="pct"/>
            <w:tcBorders>
              <w:top w:val="single" w:color="000000" w:sz="4" w:space="0"/>
              <w:left w:val="single" w:color="000000" w:sz="4" w:space="0"/>
              <w:bottom w:val="single" w:color="000000" w:sz="4" w:space="0"/>
              <w:right w:val="single" w:color="000000" w:sz="4" w:space="0"/>
            </w:tcBorders>
            <w:vAlign w:val="center"/>
          </w:tcPr>
          <w:p w14:paraId="5D3F917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w:t>
            </w:r>
          </w:p>
        </w:tc>
      </w:tr>
      <w:tr w14:paraId="6F552A1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9D39A6A">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1.6</w:t>
            </w:r>
          </w:p>
        </w:tc>
        <w:tc>
          <w:tcPr>
            <w:tcW w:w="1670" w:type="pct"/>
            <w:tcBorders>
              <w:top w:val="single" w:color="000000" w:sz="4" w:space="0"/>
              <w:left w:val="single" w:color="000000" w:sz="4" w:space="0"/>
              <w:bottom w:val="single" w:color="000000" w:sz="4" w:space="0"/>
              <w:right w:val="single" w:color="000000" w:sz="4" w:space="0"/>
            </w:tcBorders>
            <w:vAlign w:val="center"/>
          </w:tcPr>
          <w:p w14:paraId="791D42C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数据制作：电子航道图数据生产</w:t>
            </w:r>
          </w:p>
        </w:tc>
        <w:tc>
          <w:tcPr>
            <w:tcW w:w="1792" w:type="pct"/>
            <w:tcBorders>
              <w:top w:val="single" w:color="000000" w:sz="4" w:space="0"/>
              <w:left w:val="single" w:color="000000" w:sz="4" w:space="0"/>
              <w:bottom w:val="single" w:color="000000" w:sz="4" w:space="0"/>
              <w:right w:val="single" w:color="000000" w:sz="4" w:space="0"/>
            </w:tcBorders>
            <w:vAlign w:val="center"/>
          </w:tcPr>
          <w:p w14:paraId="7EF2C60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需完成源数据入库、源数据编辑、源数据质量检查、电子航道图产品数据创建、产品数据质量检查、产品数据输出、产品数据第三方质量检查</w:t>
            </w:r>
          </w:p>
        </w:tc>
        <w:tc>
          <w:tcPr>
            <w:tcW w:w="459" w:type="pct"/>
            <w:tcBorders>
              <w:top w:val="single" w:color="000000" w:sz="4" w:space="0"/>
              <w:left w:val="single" w:color="000000" w:sz="4" w:space="0"/>
              <w:bottom w:val="single" w:color="000000" w:sz="4" w:space="0"/>
              <w:right w:val="single" w:color="000000" w:sz="4" w:space="0"/>
            </w:tcBorders>
            <w:vAlign w:val="center"/>
          </w:tcPr>
          <w:p w14:paraId="3882763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400</w:t>
            </w:r>
          </w:p>
        </w:tc>
        <w:tc>
          <w:tcPr>
            <w:tcW w:w="429" w:type="pct"/>
            <w:tcBorders>
              <w:top w:val="single" w:color="000000" w:sz="4" w:space="0"/>
              <w:left w:val="single" w:color="000000" w:sz="4" w:space="0"/>
              <w:bottom w:val="single" w:color="000000" w:sz="4" w:space="0"/>
              <w:right w:val="single" w:color="000000" w:sz="4" w:space="0"/>
            </w:tcBorders>
            <w:vAlign w:val="center"/>
          </w:tcPr>
          <w:p w14:paraId="214A921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w:t>
            </w:r>
          </w:p>
        </w:tc>
      </w:tr>
      <w:tr w14:paraId="46C94C18">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F80DE04">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1.7</w:t>
            </w:r>
          </w:p>
        </w:tc>
        <w:tc>
          <w:tcPr>
            <w:tcW w:w="1670" w:type="pct"/>
            <w:tcBorders>
              <w:top w:val="single" w:color="000000" w:sz="4" w:space="0"/>
              <w:left w:val="single" w:color="000000" w:sz="4" w:space="0"/>
              <w:bottom w:val="single" w:color="000000" w:sz="4" w:space="0"/>
              <w:right w:val="single" w:color="000000" w:sz="4" w:space="0"/>
            </w:tcBorders>
            <w:vAlign w:val="center"/>
          </w:tcPr>
          <w:p w14:paraId="09D6683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数据制作：保密技术处理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0394CD6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需按照法律法规，结合实际管理需要，根据航道要素内容对数据进行分类分级，制定合理的电子航道图要素及其属性处理方案，完成电子航道图脱密</w:t>
            </w:r>
          </w:p>
        </w:tc>
        <w:tc>
          <w:tcPr>
            <w:tcW w:w="459" w:type="pct"/>
            <w:tcBorders>
              <w:top w:val="single" w:color="000000" w:sz="4" w:space="0"/>
              <w:left w:val="single" w:color="000000" w:sz="4" w:space="0"/>
              <w:bottom w:val="single" w:color="000000" w:sz="4" w:space="0"/>
              <w:right w:val="single" w:color="000000" w:sz="4" w:space="0"/>
            </w:tcBorders>
            <w:vAlign w:val="center"/>
          </w:tcPr>
          <w:p w14:paraId="09B00D1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400</w:t>
            </w:r>
          </w:p>
        </w:tc>
        <w:tc>
          <w:tcPr>
            <w:tcW w:w="429" w:type="pct"/>
            <w:tcBorders>
              <w:top w:val="single" w:color="000000" w:sz="4" w:space="0"/>
              <w:left w:val="single" w:color="000000" w:sz="4" w:space="0"/>
              <w:bottom w:val="single" w:color="000000" w:sz="4" w:space="0"/>
              <w:right w:val="single" w:color="000000" w:sz="4" w:space="0"/>
            </w:tcBorders>
            <w:vAlign w:val="center"/>
          </w:tcPr>
          <w:p w14:paraId="533F808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w:t>
            </w:r>
          </w:p>
        </w:tc>
      </w:tr>
      <w:tr w14:paraId="61CD546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5AB7977">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670" w:type="pct"/>
            <w:tcBorders>
              <w:top w:val="single" w:color="000000" w:sz="4" w:space="0"/>
              <w:left w:val="single" w:color="000000" w:sz="4" w:space="0"/>
              <w:bottom w:val="single" w:color="000000" w:sz="4" w:space="0"/>
              <w:right w:val="single" w:color="000000" w:sz="4" w:space="0"/>
            </w:tcBorders>
            <w:vAlign w:val="center"/>
          </w:tcPr>
          <w:p w14:paraId="56E0377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三维可视化模型构建</w:t>
            </w:r>
          </w:p>
        </w:tc>
        <w:tc>
          <w:tcPr>
            <w:tcW w:w="1792" w:type="pct"/>
            <w:tcBorders>
              <w:top w:val="single" w:color="000000" w:sz="4" w:space="0"/>
              <w:left w:val="single" w:color="000000" w:sz="4" w:space="0"/>
              <w:bottom w:val="single" w:color="000000" w:sz="4" w:space="0"/>
              <w:right w:val="single" w:color="000000" w:sz="4" w:space="0"/>
            </w:tcBorders>
            <w:vAlign w:val="center"/>
          </w:tcPr>
          <w:p w14:paraId="3E844B8F">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4C2C1C8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DA0F43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EEA59C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9D76065">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2.1</w:t>
            </w:r>
          </w:p>
        </w:tc>
        <w:tc>
          <w:tcPr>
            <w:tcW w:w="1670" w:type="pct"/>
            <w:tcBorders>
              <w:top w:val="single" w:color="000000" w:sz="4" w:space="0"/>
              <w:left w:val="single" w:color="000000" w:sz="4" w:space="0"/>
              <w:bottom w:val="single" w:color="000000" w:sz="4" w:space="0"/>
              <w:right w:val="single" w:color="000000" w:sz="4" w:space="0"/>
            </w:tcBorders>
            <w:vAlign w:val="center"/>
          </w:tcPr>
          <w:p w14:paraId="38EA3EF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数据采集与处理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A990CA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需收集示范段水上服务区、船闸、港口、码头等水上设施图纸、实景照片等，进行格式转换、去噪等预处理工作</w:t>
            </w:r>
          </w:p>
        </w:tc>
        <w:tc>
          <w:tcPr>
            <w:tcW w:w="459" w:type="pct"/>
            <w:tcBorders>
              <w:top w:val="single" w:color="000000" w:sz="4" w:space="0"/>
              <w:left w:val="single" w:color="000000" w:sz="4" w:space="0"/>
              <w:bottom w:val="single" w:color="000000" w:sz="4" w:space="0"/>
              <w:right w:val="single" w:color="000000" w:sz="4" w:space="0"/>
            </w:tcBorders>
            <w:vAlign w:val="center"/>
          </w:tcPr>
          <w:p w14:paraId="023D93E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10</w:t>
            </w:r>
          </w:p>
        </w:tc>
        <w:tc>
          <w:tcPr>
            <w:tcW w:w="429" w:type="pct"/>
            <w:tcBorders>
              <w:top w:val="single" w:color="000000" w:sz="4" w:space="0"/>
              <w:left w:val="single" w:color="000000" w:sz="4" w:space="0"/>
              <w:bottom w:val="single" w:color="000000" w:sz="4" w:space="0"/>
              <w:right w:val="single" w:color="000000" w:sz="4" w:space="0"/>
            </w:tcBorders>
            <w:vAlign w:val="center"/>
          </w:tcPr>
          <w:p w14:paraId="6A7A54E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w:t>
            </w:r>
          </w:p>
        </w:tc>
      </w:tr>
      <w:tr w14:paraId="24DF824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C87C7B4">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2.2</w:t>
            </w:r>
          </w:p>
        </w:tc>
        <w:tc>
          <w:tcPr>
            <w:tcW w:w="1670" w:type="pct"/>
            <w:tcBorders>
              <w:top w:val="single" w:color="000000" w:sz="4" w:space="0"/>
              <w:left w:val="single" w:color="000000" w:sz="4" w:space="0"/>
              <w:bottom w:val="single" w:color="000000" w:sz="4" w:space="0"/>
              <w:right w:val="single" w:color="000000" w:sz="4" w:space="0"/>
            </w:tcBorders>
            <w:vAlign w:val="center"/>
          </w:tcPr>
          <w:p w14:paraId="409A62D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倾斜摄影三维模型构建</w:t>
            </w:r>
          </w:p>
        </w:tc>
        <w:tc>
          <w:tcPr>
            <w:tcW w:w="1792" w:type="pct"/>
            <w:tcBorders>
              <w:top w:val="single" w:color="000000" w:sz="4" w:space="0"/>
              <w:left w:val="single" w:color="000000" w:sz="4" w:space="0"/>
              <w:bottom w:val="single" w:color="000000" w:sz="4" w:space="0"/>
              <w:right w:val="single" w:color="000000" w:sz="4" w:space="0"/>
            </w:tcBorders>
            <w:vAlign w:val="center"/>
          </w:tcPr>
          <w:p w14:paraId="123F2C4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需覆盖需求的地形等倾斜摄影三维建模(精度3CM），模型构建、材质与纹理处理、输出与集成等相关工作</w:t>
            </w:r>
          </w:p>
        </w:tc>
        <w:tc>
          <w:tcPr>
            <w:tcW w:w="459" w:type="pct"/>
            <w:tcBorders>
              <w:top w:val="single" w:color="000000" w:sz="4" w:space="0"/>
              <w:left w:val="single" w:color="000000" w:sz="4" w:space="0"/>
              <w:bottom w:val="single" w:color="000000" w:sz="4" w:space="0"/>
              <w:right w:val="single" w:color="000000" w:sz="4" w:space="0"/>
            </w:tcBorders>
            <w:vAlign w:val="center"/>
          </w:tcPr>
          <w:p w14:paraId="1E3BDEB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2452FB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F38078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698039F">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2.3</w:t>
            </w:r>
          </w:p>
        </w:tc>
        <w:tc>
          <w:tcPr>
            <w:tcW w:w="1670" w:type="pct"/>
            <w:tcBorders>
              <w:top w:val="single" w:color="000000" w:sz="4" w:space="0"/>
              <w:left w:val="single" w:color="000000" w:sz="4" w:space="0"/>
              <w:bottom w:val="single" w:color="000000" w:sz="4" w:space="0"/>
              <w:right w:val="single" w:color="000000" w:sz="4" w:space="0"/>
            </w:tcBorders>
            <w:vAlign w:val="center"/>
          </w:tcPr>
          <w:p w14:paraId="04F7791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精细化三维模型构建</w:t>
            </w:r>
          </w:p>
        </w:tc>
        <w:tc>
          <w:tcPr>
            <w:tcW w:w="1792" w:type="pct"/>
            <w:tcBorders>
              <w:top w:val="single" w:color="000000" w:sz="4" w:space="0"/>
              <w:left w:val="single" w:color="000000" w:sz="4" w:space="0"/>
              <w:bottom w:val="single" w:color="000000" w:sz="4" w:space="0"/>
              <w:right w:val="single" w:color="000000" w:sz="4" w:space="0"/>
            </w:tcBorders>
            <w:vAlign w:val="center"/>
          </w:tcPr>
          <w:p w14:paraId="350CD71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需完成部分港口、码头、船闸及水上服务区精细化三维建模(精度5cm)，模型构建、材质与纹理处理、输出与集成等相关工作</w:t>
            </w:r>
          </w:p>
        </w:tc>
        <w:tc>
          <w:tcPr>
            <w:tcW w:w="459" w:type="pct"/>
            <w:tcBorders>
              <w:top w:val="single" w:color="000000" w:sz="4" w:space="0"/>
              <w:left w:val="single" w:color="000000" w:sz="4" w:space="0"/>
              <w:bottom w:val="single" w:color="000000" w:sz="4" w:space="0"/>
              <w:right w:val="single" w:color="000000" w:sz="4" w:space="0"/>
            </w:tcBorders>
            <w:vAlign w:val="center"/>
          </w:tcPr>
          <w:p w14:paraId="1491560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A0CCC0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5187142">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86D395E">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2.4</w:t>
            </w:r>
          </w:p>
        </w:tc>
        <w:tc>
          <w:tcPr>
            <w:tcW w:w="1670" w:type="pct"/>
            <w:tcBorders>
              <w:top w:val="single" w:color="000000" w:sz="4" w:space="0"/>
              <w:left w:val="single" w:color="000000" w:sz="4" w:space="0"/>
              <w:bottom w:val="single" w:color="000000" w:sz="4" w:space="0"/>
              <w:right w:val="single" w:color="000000" w:sz="4" w:space="0"/>
            </w:tcBorders>
            <w:vAlign w:val="center"/>
          </w:tcPr>
          <w:p w14:paraId="2EB4143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激光雷达点云三维模型构建</w:t>
            </w:r>
          </w:p>
        </w:tc>
        <w:tc>
          <w:tcPr>
            <w:tcW w:w="1792" w:type="pct"/>
            <w:tcBorders>
              <w:top w:val="single" w:color="000000" w:sz="4" w:space="0"/>
              <w:left w:val="single" w:color="000000" w:sz="4" w:space="0"/>
              <w:bottom w:val="single" w:color="000000" w:sz="4" w:space="0"/>
              <w:right w:val="single" w:color="000000" w:sz="4" w:space="0"/>
            </w:tcBorders>
            <w:vAlign w:val="center"/>
          </w:tcPr>
          <w:p w14:paraId="764093A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需完成部分港口、码头、船闸及水上服务区激光雷达点云三维模型，模型构建、材质与纹理处理、输出与集成等相关工作</w:t>
            </w:r>
          </w:p>
        </w:tc>
        <w:tc>
          <w:tcPr>
            <w:tcW w:w="459" w:type="pct"/>
            <w:tcBorders>
              <w:top w:val="single" w:color="000000" w:sz="4" w:space="0"/>
              <w:left w:val="single" w:color="000000" w:sz="4" w:space="0"/>
              <w:bottom w:val="single" w:color="000000" w:sz="4" w:space="0"/>
              <w:right w:val="single" w:color="000000" w:sz="4" w:space="0"/>
            </w:tcBorders>
            <w:vAlign w:val="center"/>
          </w:tcPr>
          <w:p w14:paraId="392761E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285C08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044F8F8">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AD2D5CB">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2.5</w:t>
            </w:r>
          </w:p>
        </w:tc>
        <w:tc>
          <w:tcPr>
            <w:tcW w:w="1670" w:type="pct"/>
            <w:tcBorders>
              <w:top w:val="single" w:color="000000" w:sz="4" w:space="0"/>
              <w:left w:val="single" w:color="000000" w:sz="4" w:space="0"/>
              <w:bottom w:val="single" w:color="000000" w:sz="4" w:space="0"/>
              <w:right w:val="single" w:color="000000" w:sz="4" w:space="0"/>
            </w:tcBorders>
            <w:vAlign w:val="center"/>
          </w:tcPr>
          <w:p w14:paraId="3C71E12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水下点云三维建模</w:t>
            </w:r>
          </w:p>
        </w:tc>
        <w:tc>
          <w:tcPr>
            <w:tcW w:w="1792" w:type="pct"/>
            <w:tcBorders>
              <w:top w:val="single" w:color="000000" w:sz="4" w:space="0"/>
              <w:left w:val="single" w:color="000000" w:sz="4" w:space="0"/>
              <w:bottom w:val="single" w:color="000000" w:sz="4" w:space="0"/>
              <w:right w:val="single" w:color="000000" w:sz="4" w:space="0"/>
            </w:tcBorders>
            <w:vAlign w:val="center"/>
          </w:tcPr>
          <w:p w14:paraId="74ACBD3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需覆盖需求的水下点云三维建模，模型构建、材质与纹理处理、输出与集成等相关工作</w:t>
            </w:r>
          </w:p>
        </w:tc>
        <w:tc>
          <w:tcPr>
            <w:tcW w:w="459" w:type="pct"/>
            <w:tcBorders>
              <w:top w:val="single" w:color="000000" w:sz="4" w:space="0"/>
              <w:left w:val="single" w:color="000000" w:sz="4" w:space="0"/>
              <w:bottom w:val="single" w:color="000000" w:sz="4" w:space="0"/>
              <w:right w:val="single" w:color="000000" w:sz="4" w:space="0"/>
            </w:tcBorders>
            <w:vAlign w:val="center"/>
          </w:tcPr>
          <w:p w14:paraId="1D9FDF6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8B864D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E7127A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C5D5551">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2.6</w:t>
            </w:r>
          </w:p>
        </w:tc>
        <w:tc>
          <w:tcPr>
            <w:tcW w:w="1670" w:type="pct"/>
            <w:tcBorders>
              <w:top w:val="single" w:color="000000" w:sz="4" w:space="0"/>
              <w:left w:val="single" w:color="000000" w:sz="4" w:space="0"/>
              <w:bottom w:val="single" w:color="000000" w:sz="4" w:space="0"/>
              <w:right w:val="single" w:color="000000" w:sz="4" w:space="0"/>
            </w:tcBorders>
            <w:vAlign w:val="center"/>
          </w:tcPr>
          <w:p w14:paraId="3B7CDED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三维可视化模型封装</w:t>
            </w:r>
          </w:p>
        </w:tc>
        <w:tc>
          <w:tcPr>
            <w:tcW w:w="1792" w:type="pct"/>
            <w:tcBorders>
              <w:top w:val="single" w:color="000000" w:sz="4" w:space="0"/>
              <w:left w:val="single" w:color="000000" w:sz="4" w:space="0"/>
              <w:bottom w:val="single" w:color="000000" w:sz="4" w:space="0"/>
              <w:right w:val="single" w:color="000000" w:sz="4" w:space="0"/>
            </w:tcBorders>
            <w:vAlign w:val="center"/>
          </w:tcPr>
          <w:p w14:paraId="1E77709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需完成将三维可视化模型与电子航道图数据进行空间对齐、属性关联、封装为标准化GIS服务并支持接口调用</w:t>
            </w:r>
          </w:p>
        </w:tc>
        <w:tc>
          <w:tcPr>
            <w:tcW w:w="459" w:type="pct"/>
            <w:tcBorders>
              <w:top w:val="single" w:color="000000" w:sz="4" w:space="0"/>
              <w:left w:val="single" w:color="000000" w:sz="4" w:space="0"/>
              <w:bottom w:val="single" w:color="000000" w:sz="4" w:space="0"/>
              <w:right w:val="single" w:color="000000" w:sz="4" w:space="0"/>
            </w:tcBorders>
            <w:vAlign w:val="center"/>
          </w:tcPr>
          <w:p w14:paraId="7CBFB06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EC0C2F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2F3F52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F04A494">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670" w:type="pct"/>
            <w:tcBorders>
              <w:top w:val="single" w:color="000000" w:sz="4" w:space="0"/>
              <w:left w:val="single" w:color="000000" w:sz="4" w:space="0"/>
              <w:bottom w:val="single" w:color="000000" w:sz="4" w:space="0"/>
              <w:right w:val="single" w:color="000000" w:sz="4" w:space="0"/>
            </w:tcBorders>
            <w:vAlign w:val="center"/>
          </w:tcPr>
          <w:p w14:paraId="11C331F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电子航道图生产制作系统</w:t>
            </w:r>
          </w:p>
        </w:tc>
        <w:tc>
          <w:tcPr>
            <w:tcW w:w="1792" w:type="pct"/>
            <w:tcBorders>
              <w:top w:val="single" w:color="000000" w:sz="4" w:space="0"/>
              <w:left w:val="single" w:color="000000" w:sz="4" w:space="0"/>
              <w:bottom w:val="single" w:color="000000" w:sz="4" w:space="0"/>
              <w:right w:val="single" w:color="000000" w:sz="4" w:space="0"/>
            </w:tcBorders>
            <w:vAlign w:val="center"/>
          </w:tcPr>
          <w:p w14:paraId="63080B7B">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003BB12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FB06A1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DFA41C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E0CA222">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3.1</w:t>
            </w:r>
          </w:p>
        </w:tc>
        <w:tc>
          <w:tcPr>
            <w:tcW w:w="1670" w:type="pct"/>
            <w:tcBorders>
              <w:top w:val="single" w:color="000000" w:sz="4" w:space="0"/>
              <w:left w:val="single" w:color="000000" w:sz="4" w:space="0"/>
              <w:bottom w:val="single" w:color="000000" w:sz="4" w:space="0"/>
              <w:right w:val="single" w:color="000000" w:sz="4" w:space="0"/>
            </w:tcBorders>
            <w:vAlign w:val="center"/>
          </w:tcPr>
          <w:p w14:paraId="02E97A3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生产系统：数据预处理模块</w:t>
            </w:r>
          </w:p>
        </w:tc>
        <w:tc>
          <w:tcPr>
            <w:tcW w:w="1792" w:type="pct"/>
            <w:tcBorders>
              <w:top w:val="single" w:color="000000" w:sz="4" w:space="0"/>
              <w:left w:val="single" w:color="000000" w:sz="4" w:space="0"/>
              <w:bottom w:val="single" w:color="000000" w:sz="4" w:space="0"/>
              <w:right w:val="single" w:color="000000" w:sz="4" w:space="0"/>
            </w:tcBorders>
            <w:vAlign w:val="center"/>
          </w:tcPr>
          <w:p w14:paraId="7A77902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需实现多源数据导入、坐标系转换、类型转换与提取、空间关系检查、数据编辑、水深数据提取</w:t>
            </w:r>
          </w:p>
        </w:tc>
        <w:tc>
          <w:tcPr>
            <w:tcW w:w="459" w:type="pct"/>
            <w:tcBorders>
              <w:top w:val="single" w:color="000000" w:sz="4" w:space="0"/>
              <w:left w:val="single" w:color="000000" w:sz="4" w:space="0"/>
              <w:bottom w:val="single" w:color="000000" w:sz="4" w:space="0"/>
              <w:right w:val="single" w:color="000000" w:sz="4" w:space="0"/>
            </w:tcBorders>
            <w:vAlign w:val="center"/>
          </w:tcPr>
          <w:p w14:paraId="37A68CC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C96FED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D84401A">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4C148A7">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3.2</w:t>
            </w:r>
          </w:p>
        </w:tc>
        <w:tc>
          <w:tcPr>
            <w:tcW w:w="1670" w:type="pct"/>
            <w:tcBorders>
              <w:top w:val="single" w:color="000000" w:sz="4" w:space="0"/>
              <w:left w:val="single" w:color="000000" w:sz="4" w:space="0"/>
              <w:bottom w:val="single" w:color="000000" w:sz="4" w:space="0"/>
              <w:right w:val="single" w:color="000000" w:sz="4" w:space="0"/>
            </w:tcBorders>
            <w:vAlign w:val="center"/>
          </w:tcPr>
          <w:p w14:paraId="345E88A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生产系统：元数据管理模块</w:t>
            </w:r>
          </w:p>
        </w:tc>
        <w:tc>
          <w:tcPr>
            <w:tcW w:w="1792" w:type="pct"/>
            <w:tcBorders>
              <w:top w:val="single" w:color="000000" w:sz="4" w:space="0"/>
              <w:left w:val="single" w:color="000000" w:sz="4" w:space="0"/>
              <w:bottom w:val="single" w:color="000000" w:sz="4" w:space="0"/>
              <w:right w:val="single" w:color="000000" w:sz="4" w:space="0"/>
            </w:tcBorders>
            <w:vAlign w:val="center"/>
          </w:tcPr>
          <w:p w14:paraId="7750FB3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需实现创建元数据以及元数据查询</w:t>
            </w:r>
          </w:p>
        </w:tc>
        <w:tc>
          <w:tcPr>
            <w:tcW w:w="459" w:type="pct"/>
            <w:tcBorders>
              <w:top w:val="single" w:color="000000" w:sz="4" w:space="0"/>
              <w:left w:val="single" w:color="000000" w:sz="4" w:space="0"/>
              <w:bottom w:val="single" w:color="000000" w:sz="4" w:space="0"/>
              <w:right w:val="single" w:color="000000" w:sz="4" w:space="0"/>
            </w:tcBorders>
            <w:vAlign w:val="center"/>
          </w:tcPr>
          <w:p w14:paraId="768B3B5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8C1CC4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8DD541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E0AEE05">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3.3</w:t>
            </w:r>
          </w:p>
        </w:tc>
        <w:tc>
          <w:tcPr>
            <w:tcW w:w="1670" w:type="pct"/>
            <w:tcBorders>
              <w:top w:val="single" w:color="000000" w:sz="4" w:space="0"/>
              <w:left w:val="single" w:color="000000" w:sz="4" w:space="0"/>
              <w:bottom w:val="single" w:color="000000" w:sz="4" w:space="0"/>
              <w:right w:val="single" w:color="000000" w:sz="4" w:space="0"/>
            </w:tcBorders>
            <w:vAlign w:val="center"/>
          </w:tcPr>
          <w:p w14:paraId="76958E2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生产系统：物标数据管理模块</w:t>
            </w:r>
          </w:p>
        </w:tc>
        <w:tc>
          <w:tcPr>
            <w:tcW w:w="1792" w:type="pct"/>
            <w:tcBorders>
              <w:top w:val="single" w:color="000000" w:sz="4" w:space="0"/>
              <w:left w:val="single" w:color="000000" w:sz="4" w:space="0"/>
              <w:bottom w:val="single" w:color="000000" w:sz="4" w:space="0"/>
              <w:right w:val="single" w:color="000000" w:sz="4" w:space="0"/>
            </w:tcBorders>
            <w:vAlign w:val="center"/>
          </w:tcPr>
          <w:p w14:paraId="36E87ED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需实现物标数据集管理、物标对象编辑、物标属性编辑、水深物标管理、物标数据查询</w:t>
            </w:r>
          </w:p>
        </w:tc>
        <w:tc>
          <w:tcPr>
            <w:tcW w:w="459" w:type="pct"/>
            <w:tcBorders>
              <w:top w:val="single" w:color="000000" w:sz="4" w:space="0"/>
              <w:left w:val="single" w:color="000000" w:sz="4" w:space="0"/>
              <w:bottom w:val="single" w:color="000000" w:sz="4" w:space="0"/>
              <w:right w:val="single" w:color="000000" w:sz="4" w:space="0"/>
            </w:tcBorders>
            <w:vAlign w:val="center"/>
          </w:tcPr>
          <w:p w14:paraId="47456D1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D7B1F2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932DC8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E1F2190">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3.4</w:t>
            </w:r>
          </w:p>
        </w:tc>
        <w:tc>
          <w:tcPr>
            <w:tcW w:w="1670" w:type="pct"/>
            <w:tcBorders>
              <w:top w:val="single" w:color="000000" w:sz="4" w:space="0"/>
              <w:left w:val="single" w:color="000000" w:sz="4" w:space="0"/>
              <w:bottom w:val="single" w:color="000000" w:sz="4" w:space="0"/>
              <w:right w:val="single" w:color="000000" w:sz="4" w:space="0"/>
            </w:tcBorders>
            <w:vAlign w:val="center"/>
          </w:tcPr>
          <w:p w14:paraId="7174900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生产系统：数据检查模块</w:t>
            </w:r>
          </w:p>
        </w:tc>
        <w:tc>
          <w:tcPr>
            <w:tcW w:w="1792" w:type="pct"/>
            <w:tcBorders>
              <w:top w:val="single" w:color="000000" w:sz="4" w:space="0"/>
              <w:left w:val="single" w:color="000000" w:sz="4" w:space="0"/>
              <w:bottom w:val="single" w:color="000000" w:sz="4" w:space="0"/>
              <w:right w:val="single" w:color="000000" w:sz="4" w:space="0"/>
            </w:tcBorders>
            <w:vAlign w:val="center"/>
          </w:tcPr>
          <w:p w14:paraId="27F690C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需实现符合标准的数据检查功能以及交互式错误定位与修复</w:t>
            </w:r>
          </w:p>
        </w:tc>
        <w:tc>
          <w:tcPr>
            <w:tcW w:w="459" w:type="pct"/>
            <w:tcBorders>
              <w:top w:val="single" w:color="000000" w:sz="4" w:space="0"/>
              <w:left w:val="single" w:color="000000" w:sz="4" w:space="0"/>
              <w:bottom w:val="single" w:color="000000" w:sz="4" w:space="0"/>
              <w:right w:val="single" w:color="000000" w:sz="4" w:space="0"/>
            </w:tcBorders>
            <w:vAlign w:val="center"/>
          </w:tcPr>
          <w:p w14:paraId="416F125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E3B69E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701A6FF">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746CE23">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3.5</w:t>
            </w:r>
          </w:p>
        </w:tc>
        <w:tc>
          <w:tcPr>
            <w:tcW w:w="1670" w:type="pct"/>
            <w:tcBorders>
              <w:top w:val="single" w:color="000000" w:sz="4" w:space="0"/>
              <w:left w:val="single" w:color="000000" w:sz="4" w:space="0"/>
              <w:bottom w:val="single" w:color="000000" w:sz="4" w:space="0"/>
              <w:right w:val="single" w:color="000000" w:sz="4" w:space="0"/>
            </w:tcBorders>
            <w:vAlign w:val="center"/>
          </w:tcPr>
          <w:p w14:paraId="7CE52B8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生产系统：数据导出</w:t>
            </w:r>
          </w:p>
        </w:tc>
        <w:tc>
          <w:tcPr>
            <w:tcW w:w="1792" w:type="pct"/>
            <w:tcBorders>
              <w:top w:val="single" w:color="000000" w:sz="4" w:space="0"/>
              <w:left w:val="single" w:color="000000" w:sz="4" w:space="0"/>
              <w:bottom w:val="single" w:color="000000" w:sz="4" w:space="0"/>
              <w:right w:val="single" w:color="000000" w:sz="4" w:space="0"/>
            </w:tcBorders>
            <w:vAlign w:val="center"/>
          </w:tcPr>
          <w:p w14:paraId="6679F2D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需实现以下功能：1.产品输出：提供将符合标准的电子航道图数据导出为 *.000 文件或 *.shp 文件；2.航道图瓦片生成：提供多幅电子航道图数据拼接成电子地图后，提供二三维地图瓦片生产能力</w:t>
            </w:r>
          </w:p>
        </w:tc>
        <w:tc>
          <w:tcPr>
            <w:tcW w:w="459" w:type="pct"/>
            <w:tcBorders>
              <w:top w:val="single" w:color="000000" w:sz="4" w:space="0"/>
              <w:left w:val="single" w:color="000000" w:sz="4" w:space="0"/>
              <w:bottom w:val="single" w:color="000000" w:sz="4" w:space="0"/>
              <w:right w:val="single" w:color="000000" w:sz="4" w:space="0"/>
            </w:tcBorders>
            <w:vAlign w:val="center"/>
          </w:tcPr>
          <w:p w14:paraId="33C0FA4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BC9803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D8E889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8DF69AE">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3.6</w:t>
            </w:r>
          </w:p>
        </w:tc>
        <w:tc>
          <w:tcPr>
            <w:tcW w:w="1670" w:type="pct"/>
            <w:tcBorders>
              <w:top w:val="single" w:color="000000" w:sz="4" w:space="0"/>
              <w:left w:val="single" w:color="000000" w:sz="4" w:space="0"/>
              <w:bottom w:val="single" w:color="000000" w:sz="4" w:space="0"/>
              <w:right w:val="single" w:color="000000" w:sz="4" w:space="0"/>
            </w:tcBorders>
            <w:vAlign w:val="center"/>
          </w:tcPr>
          <w:p w14:paraId="53F2AD1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生产系统：数据服务发布与显示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41E8DC5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需实现航道图数据目录服务、动态服务发布、电子航道图服务管理、电子航道图要素服务、地图服务运维管理、电子航道图接口预留</w:t>
            </w:r>
          </w:p>
        </w:tc>
        <w:tc>
          <w:tcPr>
            <w:tcW w:w="459" w:type="pct"/>
            <w:tcBorders>
              <w:top w:val="single" w:color="000000" w:sz="4" w:space="0"/>
              <w:left w:val="single" w:color="000000" w:sz="4" w:space="0"/>
              <w:bottom w:val="single" w:color="000000" w:sz="4" w:space="0"/>
              <w:right w:val="single" w:color="000000" w:sz="4" w:space="0"/>
            </w:tcBorders>
            <w:vAlign w:val="center"/>
          </w:tcPr>
          <w:p w14:paraId="79EFCBB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7C7064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E22173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312935D">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3.7</w:t>
            </w:r>
          </w:p>
        </w:tc>
        <w:tc>
          <w:tcPr>
            <w:tcW w:w="1670" w:type="pct"/>
            <w:tcBorders>
              <w:top w:val="single" w:color="000000" w:sz="4" w:space="0"/>
              <w:left w:val="single" w:color="000000" w:sz="4" w:space="0"/>
              <w:bottom w:val="single" w:color="000000" w:sz="4" w:space="0"/>
              <w:right w:val="single" w:color="000000" w:sz="4" w:space="0"/>
            </w:tcBorders>
            <w:vAlign w:val="center"/>
          </w:tcPr>
          <w:p w14:paraId="5EC4AE4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生产系统：电子航道图干支衔接</w:t>
            </w:r>
          </w:p>
        </w:tc>
        <w:tc>
          <w:tcPr>
            <w:tcW w:w="1792" w:type="pct"/>
            <w:tcBorders>
              <w:top w:val="single" w:color="000000" w:sz="4" w:space="0"/>
              <w:left w:val="single" w:color="000000" w:sz="4" w:space="0"/>
              <w:bottom w:val="single" w:color="000000" w:sz="4" w:space="0"/>
              <w:right w:val="single" w:color="000000" w:sz="4" w:space="0"/>
            </w:tcBorders>
            <w:vAlign w:val="center"/>
          </w:tcPr>
          <w:p w14:paraId="69AEF3E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需实现电子航道图成果数据文件的在线推送、空间数据服务以及在线下载</w:t>
            </w:r>
          </w:p>
        </w:tc>
        <w:tc>
          <w:tcPr>
            <w:tcW w:w="459" w:type="pct"/>
            <w:tcBorders>
              <w:top w:val="single" w:color="000000" w:sz="4" w:space="0"/>
              <w:left w:val="single" w:color="000000" w:sz="4" w:space="0"/>
              <w:bottom w:val="single" w:color="000000" w:sz="4" w:space="0"/>
              <w:right w:val="single" w:color="000000" w:sz="4" w:space="0"/>
            </w:tcBorders>
            <w:vAlign w:val="center"/>
          </w:tcPr>
          <w:p w14:paraId="43BEC50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DF579D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B53E16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EA2B84E">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3.8</w:t>
            </w:r>
          </w:p>
        </w:tc>
        <w:tc>
          <w:tcPr>
            <w:tcW w:w="1670" w:type="pct"/>
            <w:tcBorders>
              <w:top w:val="single" w:color="000000" w:sz="4" w:space="0"/>
              <w:left w:val="single" w:color="000000" w:sz="4" w:space="0"/>
              <w:bottom w:val="single" w:color="000000" w:sz="4" w:space="0"/>
              <w:right w:val="single" w:color="000000" w:sz="4" w:space="0"/>
            </w:tcBorders>
            <w:vAlign w:val="center"/>
          </w:tcPr>
          <w:p w14:paraId="33AA7C9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基础平台：电子航道图生产GIS桌面软件</w:t>
            </w:r>
          </w:p>
        </w:tc>
        <w:tc>
          <w:tcPr>
            <w:tcW w:w="1792" w:type="pct"/>
            <w:tcBorders>
              <w:top w:val="single" w:color="000000" w:sz="4" w:space="0"/>
              <w:left w:val="single" w:color="000000" w:sz="4" w:space="0"/>
              <w:bottom w:val="single" w:color="000000" w:sz="4" w:space="0"/>
              <w:right w:val="single" w:color="000000" w:sz="4" w:space="0"/>
            </w:tcBorders>
            <w:vAlign w:val="center"/>
          </w:tcPr>
          <w:p w14:paraId="1698D1D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需支持3用户访问、编辑、管理电子航道图用户。该软件用于开展现有电子航道图数据迁移工作，用于功能扩展开发的基础平台软件</w:t>
            </w:r>
          </w:p>
        </w:tc>
        <w:tc>
          <w:tcPr>
            <w:tcW w:w="459" w:type="pct"/>
            <w:tcBorders>
              <w:top w:val="single" w:color="000000" w:sz="4" w:space="0"/>
              <w:left w:val="single" w:color="000000" w:sz="4" w:space="0"/>
              <w:bottom w:val="single" w:color="000000" w:sz="4" w:space="0"/>
              <w:right w:val="single" w:color="000000" w:sz="4" w:space="0"/>
            </w:tcBorders>
            <w:vAlign w:val="center"/>
          </w:tcPr>
          <w:p w14:paraId="3F9FBAA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3</w:t>
            </w:r>
          </w:p>
        </w:tc>
        <w:tc>
          <w:tcPr>
            <w:tcW w:w="429" w:type="pct"/>
            <w:tcBorders>
              <w:top w:val="single" w:color="000000" w:sz="4" w:space="0"/>
              <w:left w:val="single" w:color="000000" w:sz="4" w:space="0"/>
              <w:bottom w:val="single" w:color="000000" w:sz="4" w:space="0"/>
              <w:right w:val="single" w:color="000000" w:sz="4" w:space="0"/>
            </w:tcBorders>
            <w:vAlign w:val="center"/>
          </w:tcPr>
          <w:p w14:paraId="7C868BF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套</w:t>
            </w:r>
          </w:p>
        </w:tc>
      </w:tr>
      <w:tr w14:paraId="531C79A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903B4D6">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3.9</w:t>
            </w:r>
          </w:p>
        </w:tc>
        <w:tc>
          <w:tcPr>
            <w:tcW w:w="1670" w:type="pct"/>
            <w:tcBorders>
              <w:top w:val="single" w:color="000000" w:sz="4" w:space="0"/>
              <w:left w:val="single" w:color="000000" w:sz="4" w:space="0"/>
              <w:bottom w:val="single" w:color="000000" w:sz="4" w:space="0"/>
              <w:right w:val="single" w:color="000000" w:sz="4" w:space="0"/>
            </w:tcBorders>
            <w:vAlign w:val="center"/>
          </w:tcPr>
          <w:p w14:paraId="546493C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基础平台：电子航道图发布GIS服务器软件</w:t>
            </w:r>
          </w:p>
        </w:tc>
        <w:tc>
          <w:tcPr>
            <w:tcW w:w="1792" w:type="pct"/>
            <w:tcBorders>
              <w:top w:val="single" w:color="000000" w:sz="4" w:space="0"/>
              <w:left w:val="single" w:color="000000" w:sz="4" w:space="0"/>
              <w:bottom w:val="single" w:color="000000" w:sz="4" w:space="0"/>
              <w:right w:val="single" w:color="000000" w:sz="4" w:space="0"/>
            </w:tcBorders>
            <w:vAlign w:val="center"/>
          </w:tcPr>
          <w:p w14:paraId="597FCB8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需提供电子航道图数据与GIS数据的统一管理及缓存技术，支持电子航道图数据一体化存储、显示与发布</w:t>
            </w:r>
          </w:p>
        </w:tc>
        <w:tc>
          <w:tcPr>
            <w:tcW w:w="459" w:type="pct"/>
            <w:tcBorders>
              <w:top w:val="single" w:color="000000" w:sz="4" w:space="0"/>
              <w:left w:val="single" w:color="000000" w:sz="4" w:space="0"/>
              <w:bottom w:val="single" w:color="000000" w:sz="4" w:space="0"/>
              <w:right w:val="single" w:color="000000" w:sz="4" w:space="0"/>
            </w:tcBorders>
            <w:vAlign w:val="center"/>
          </w:tcPr>
          <w:p w14:paraId="4E9752C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8166B2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套</w:t>
            </w:r>
          </w:p>
        </w:tc>
      </w:tr>
      <w:tr w14:paraId="354DB4F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6FD58AE">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670" w:type="pct"/>
            <w:tcBorders>
              <w:top w:val="single" w:color="000000" w:sz="4" w:space="0"/>
              <w:left w:val="single" w:color="000000" w:sz="4" w:space="0"/>
              <w:bottom w:val="single" w:color="000000" w:sz="4" w:space="0"/>
              <w:right w:val="single" w:color="000000" w:sz="4" w:space="0"/>
            </w:tcBorders>
            <w:vAlign w:val="center"/>
          </w:tcPr>
          <w:p w14:paraId="7EA97BF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港航建设项目管理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48A50A31">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7671300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0FD4DE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7E50C22">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311F5C7">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4.1</w:t>
            </w:r>
          </w:p>
        </w:tc>
        <w:tc>
          <w:tcPr>
            <w:tcW w:w="1670" w:type="pct"/>
            <w:tcBorders>
              <w:top w:val="single" w:color="000000" w:sz="4" w:space="0"/>
              <w:left w:val="single" w:color="000000" w:sz="4" w:space="0"/>
              <w:bottom w:val="single" w:color="000000" w:sz="4" w:space="0"/>
              <w:right w:val="single" w:color="000000" w:sz="4" w:space="0"/>
            </w:tcBorders>
            <w:vAlign w:val="center"/>
          </w:tcPr>
          <w:p w14:paraId="5548200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项目前期管理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74615E2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需实现从项目规划、项目库建立、资金计划下达等全过程进度管理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4559F81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869A77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F61886F">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E3BA0B1">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4.2</w:t>
            </w:r>
          </w:p>
        </w:tc>
        <w:tc>
          <w:tcPr>
            <w:tcW w:w="1670" w:type="pct"/>
            <w:tcBorders>
              <w:top w:val="single" w:color="000000" w:sz="4" w:space="0"/>
              <w:left w:val="single" w:color="000000" w:sz="4" w:space="0"/>
              <w:bottom w:val="single" w:color="000000" w:sz="4" w:space="0"/>
              <w:right w:val="single" w:color="000000" w:sz="4" w:space="0"/>
            </w:tcBorders>
            <w:vAlign w:val="center"/>
          </w:tcPr>
          <w:p w14:paraId="5C4CC79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项目建设监管</w:t>
            </w:r>
          </w:p>
        </w:tc>
        <w:tc>
          <w:tcPr>
            <w:tcW w:w="1792" w:type="pct"/>
            <w:tcBorders>
              <w:top w:val="single" w:color="000000" w:sz="4" w:space="0"/>
              <w:left w:val="single" w:color="000000" w:sz="4" w:space="0"/>
              <w:bottom w:val="single" w:color="000000" w:sz="4" w:space="0"/>
              <w:right w:val="single" w:color="000000" w:sz="4" w:space="0"/>
            </w:tcBorders>
            <w:vAlign w:val="center"/>
          </w:tcPr>
          <w:p w14:paraId="7819CD5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需实现对工程建设进度、人员履约、质量安全、投资计量及农民工工资支付的全过程在线监管</w:t>
            </w:r>
          </w:p>
        </w:tc>
        <w:tc>
          <w:tcPr>
            <w:tcW w:w="459" w:type="pct"/>
            <w:tcBorders>
              <w:top w:val="single" w:color="000000" w:sz="4" w:space="0"/>
              <w:left w:val="single" w:color="000000" w:sz="4" w:space="0"/>
              <w:bottom w:val="single" w:color="000000" w:sz="4" w:space="0"/>
              <w:right w:val="single" w:color="000000" w:sz="4" w:space="0"/>
            </w:tcBorders>
            <w:vAlign w:val="center"/>
          </w:tcPr>
          <w:p w14:paraId="3728889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475434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247206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E2BD8A6">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670" w:type="pct"/>
            <w:tcBorders>
              <w:top w:val="single" w:color="000000" w:sz="4" w:space="0"/>
              <w:left w:val="single" w:color="000000" w:sz="4" w:space="0"/>
              <w:bottom w:val="single" w:color="000000" w:sz="4" w:space="0"/>
              <w:right w:val="single" w:color="000000" w:sz="4" w:space="0"/>
            </w:tcBorders>
            <w:vAlign w:val="center"/>
          </w:tcPr>
          <w:p w14:paraId="33DD105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航道养护管理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5DC1211D">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5662712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4A8D48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D520EC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04CE41D">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5.1</w:t>
            </w:r>
          </w:p>
        </w:tc>
        <w:tc>
          <w:tcPr>
            <w:tcW w:w="1670" w:type="pct"/>
            <w:tcBorders>
              <w:top w:val="single" w:color="000000" w:sz="4" w:space="0"/>
              <w:left w:val="single" w:color="000000" w:sz="4" w:space="0"/>
              <w:bottom w:val="single" w:color="000000" w:sz="4" w:space="0"/>
              <w:right w:val="single" w:color="000000" w:sz="4" w:space="0"/>
            </w:tcBorders>
            <w:vAlign w:val="center"/>
          </w:tcPr>
          <w:p w14:paraId="45ADC9F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养护物资管理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2588E18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需实现对工作船舶、养护器材等核心资产的全生命周期数字化管理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7FFC193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A4C97E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015C01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896549A">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5.2</w:t>
            </w:r>
          </w:p>
        </w:tc>
        <w:tc>
          <w:tcPr>
            <w:tcW w:w="1670" w:type="pct"/>
            <w:tcBorders>
              <w:top w:val="single" w:color="000000" w:sz="4" w:space="0"/>
              <w:left w:val="single" w:color="000000" w:sz="4" w:space="0"/>
              <w:bottom w:val="single" w:color="000000" w:sz="4" w:space="0"/>
              <w:right w:val="single" w:color="000000" w:sz="4" w:space="0"/>
            </w:tcBorders>
            <w:vAlign w:val="center"/>
          </w:tcPr>
          <w:p w14:paraId="2A86362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养护巡查管理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12514B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需实现从巡查计划制定、船舶与人员排班、任务下达与现场执行，到病害识别确认、养护工单自动分发与处置跟踪的数字化全流程</w:t>
            </w:r>
          </w:p>
        </w:tc>
        <w:tc>
          <w:tcPr>
            <w:tcW w:w="459" w:type="pct"/>
            <w:tcBorders>
              <w:top w:val="single" w:color="000000" w:sz="4" w:space="0"/>
              <w:left w:val="single" w:color="000000" w:sz="4" w:space="0"/>
              <w:bottom w:val="single" w:color="000000" w:sz="4" w:space="0"/>
              <w:right w:val="single" w:color="000000" w:sz="4" w:space="0"/>
            </w:tcBorders>
            <w:vAlign w:val="center"/>
          </w:tcPr>
          <w:p w14:paraId="7D34FC9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6B1E69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E8224E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C2F6B88">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5.3</w:t>
            </w:r>
          </w:p>
        </w:tc>
        <w:tc>
          <w:tcPr>
            <w:tcW w:w="1670" w:type="pct"/>
            <w:tcBorders>
              <w:top w:val="single" w:color="000000" w:sz="4" w:space="0"/>
              <w:left w:val="single" w:color="000000" w:sz="4" w:space="0"/>
              <w:bottom w:val="single" w:color="000000" w:sz="4" w:space="0"/>
              <w:right w:val="single" w:color="000000" w:sz="4" w:space="0"/>
            </w:tcBorders>
            <w:vAlign w:val="center"/>
          </w:tcPr>
          <w:p w14:paraId="6DE9EC8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养护作业管理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D03391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需建立养护项目库，实现对例行与专项养护项目的全过程监管</w:t>
            </w:r>
          </w:p>
        </w:tc>
        <w:tc>
          <w:tcPr>
            <w:tcW w:w="459" w:type="pct"/>
            <w:tcBorders>
              <w:top w:val="single" w:color="000000" w:sz="4" w:space="0"/>
              <w:left w:val="single" w:color="000000" w:sz="4" w:space="0"/>
              <w:bottom w:val="single" w:color="000000" w:sz="4" w:space="0"/>
              <w:right w:val="single" w:color="000000" w:sz="4" w:space="0"/>
            </w:tcBorders>
            <w:vAlign w:val="center"/>
          </w:tcPr>
          <w:p w14:paraId="65F6FB4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9C861C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9EB7F1D">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9BC5CA8">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5.4</w:t>
            </w:r>
          </w:p>
        </w:tc>
        <w:tc>
          <w:tcPr>
            <w:tcW w:w="1670" w:type="pct"/>
            <w:tcBorders>
              <w:top w:val="single" w:color="000000" w:sz="4" w:space="0"/>
              <w:left w:val="single" w:color="000000" w:sz="4" w:space="0"/>
              <w:bottom w:val="single" w:color="000000" w:sz="4" w:space="0"/>
              <w:right w:val="single" w:color="000000" w:sz="4" w:space="0"/>
            </w:tcBorders>
            <w:vAlign w:val="center"/>
          </w:tcPr>
          <w:p w14:paraId="526060B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养护统计分析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012C3D4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需实现对生产计划执行情况的多维度统计分析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1C4622D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E3FA02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0EC5B3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A8011B9">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5.5</w:t>
            </w:r>
          </w:p>
        </w:tc>
        <w:tc>
          <w:tcPr>
            <w:tcW w:w="1670" w:type="pct"/>
            <w:tcBorders>
              <w:top w:val="single" w:color="000000" w:sz="4" w:space="0"/>
              <w:left w:val="single" w:color="000000" w:sz="4" w:space="0"/>
              <w:bottom w:val="single" w:color="000000" w:sz="4" w:space="0"/>
              <w:right w:val="single" w:color="000000" w:sz="4" w:space="0"/>
            </w:tcBorders>
            <w:vAlign w:val="center"/>
          </w:tcPr>
          <w:p w14:paraId="4695973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航道养护监测与预警</w:t>
            </w:r>
          </w:p>
        </w:tc>
        <w:tc>
          <w:tcPr>
            <w:tcW w:w="1792" w:type="pct"/>
            <w:tcBorders>
              <w:top w:val="single" w:color="000000" w:sz="4" w:space="0"/>
              <w:left w:val="single" w:color="000000" w:sz="4" w:space="0"/>
              <w:bottom w:val="single" w:color="000000" w:sz="4" w:space="0"/>
              <w:right w:val="single" w:color="000000" w:sz="4" w:space="0"/>
            </w:tcBorders>
            <w:vAlign w:val="center"/>
          </w:tcPr>
          <w:p w14:paraId="354659F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需实现航道尺度数据的实时上报、维护与统计分析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3DE95B4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5D5098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AAE4B6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CDBCA6B">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5.6</w:t>
            </w:r>
          </w:p>
        </w:tc>
        <w:tc>
          <w:tcPr>
            <w:tcW w:w="1670" w:type="pct"/>
            <w:tcBorders>
              <w:top w:val="single" w:color="000000" w:sz="4" w:space="0"/>
              <w:left w:val="single" w:color="000000" w:sz="4" w:space="0"/>
              <w:bottom w:val="single" w:color="000000" w:sz="4" w:space="0"/>
              <w:right w:val="single" w:color="000000" w:sz="4" w:space="0"/>
            </w:tcBorders>
            <w:vAlign w:val="center"/>
          </w:tcPr>
          <w:p w14:paraId="4006D83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航道回淤监测分析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37ABA55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需通过模型试验、数值模拟与统计分析等方法，实现对航道回淤规律的预测与分析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704CB09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7107D7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4DA0E15">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FCA5839">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5.7</w:t>
            </w:r>
          </w:p>
        </w:tc>
        <w:tc>
          <w:tcPr>
            <w:tcW w:w="1670" w:type="pct"/>
            <w:tcBorders>
              <w:top w:val="single" w:color="000000" w:sz="4" w:space="0"/>
              <w:left w:val="single" w:color="000000" w:sz="4" w:space="0"/>
              <w:bottom w:val="single" w:color="000000" w:sz="4" w:space="0"/>
              <w:right w:val="single" w:color="000000" w:sz="4" w:space="0"/>
            </w:tcBorders>
            <w:vAlign w:val="center"/>
          </w:tcPr>
          <w:p w14:paraId="6115BBD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航道演变分析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782F8D5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需综合运用天然河道实测资料分析、类比分析、模型试验及理论计算等方法，对航道形态与通航条件的演变规律进行深入研究</w:t>
            </w:r>
          </w:p>
        </w:tc>
        <w:tc>
          <w:tcPr>
            <w:tcW w:w="459" w:type="pct"/>
            <w:tcBorders>
              <w:top w:val="single" w:color="000000" w:sz="4" w:space="0"/>
              <w:left w:val="single" w:color="000000" w:sz="4" w:space="0"/>
              <w:bottom w:val="single" w:color="000000" w:sz="4" w:space="0"/>
              <w:right w:val="single" w:color="000000" w:sz="4" w:space="0"/>
            </w:tcBorders>
            <w:vAlign w:val="center"/>
          </w:tcPr>
          <w:p w14:paraId="4688692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1735B2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D2772E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1142C83">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1670" w:type="pct"/>
            <w:tcBorders>
              <w:top w:val="single" w:color="000000" w:sz="4" w:space="0"/>
              <w:left w:val="single" w:color="000000" w:sz="4" w:space="0"/>
              <w:bottom w:val="single" w:color="000000" w:sz="4" w:space="0"/>
              <w:right w:val="single" w:color="000000" w:sz="4" w:space="0"/>
            </w:tcBorders>
            <w:vAlign w:val="center"/>
          </w:tcPr>
          <w:p w14:paraId="0F24187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航道运行监测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676F3560">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45066D2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92E620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B821FD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ABA007E">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6.1</w:t>
            </w:r>
          </w:p>
        </w:tc>
        <w:tc>
          <w:tcPr>
            <w:tcW w:w="1670" w:type="pct"/>
            <w:tcBorders>
              <w:top w:val="single" w:color="000000" w:sz="4" w:space="0"/>
              <w:left w:val="single" w:color="000000" w:sz="4" w:space="0"/>
              <w:bottom w:val="single" w:color="000000" w:sz="4" w:space="0"/>
              <w:right w:val="single" w:color="000000" w:sz="4" w:space="0"/>
            </w:tcBorders>
            <w:vAlign w:val="center"/>
          </w:tcPr>
          <w:p w14:paraId="1569524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船闸运行监测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20328B0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需实现对船闸人字门应力应变、启闭机运行状态的实时监测与故障预警</w:t>
            </w:r>
          </w:p>
        </w:tc>
        <w:tc>
          <w:tcPr>
            <w:tcW w:w="459" w:type="pct"/>
            <w:tcBorders>
              <w:top w:val="single" w:color="000000" w:sz="4" w:space="0"/>
              <w:left w:val="single" w:color="000000" w:sz="4" w:space="0"/>
              <w:bottom w:val="single" w:color="000000" w:sz="4" w:space="0"/>
              <w:right w:val="single" w:color="000000" w:sz="4" w:space="0"/>
            </w:tcBorders>
            <w:vAlign w:val="center"/>
          </w:tcPr>
          <w:p w14:paraId="2D1748D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B10681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70C6CBE">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8467581">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6.2</w:t>
            </w:r>
          </w:p>
        </w:tc>
        <w:tc>
          <w:tcPr>
            <w:tcW w:w="1670" w:type="pct"/>
            <w:tcBorders>
              <w:top w:val="single" w:color="000000" w:sz="4" w:space="0"/>
              <w:left w:val="single" w:color="000000" w:sz="4" w:space="0"/>
              <w:bottom w:val="single" w:color="000000" w:sz="4" w:space="0"/>
              <w:right w:val="single" w:color="000000" w:sz="4" w:space="0"/>
            </w:tcBorders>
            <w:vAlign w:val="center"/>
          </w:tcPr>
          <w:p w14:paraId="31303B1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航道视频监控</w:t>
            </w:r>
          </w:p>
        </w:tc>
        <w:tc>
          <w:tcPr>
            <w:tcW w:w="1792" w:type="pct"/>
            <w:tcBorders>
              <w:top w:val="single" w:color="000000" w:sz="4" w:space="0"/>
              <w:left w:val="single" w:color="000000" w:sz="4" w:space="0"/>
              <w:bottom w:val="single" w:color="000000" w:sz="4" w:space="0"/>
              <w:right w:val="single" w:color="000000" w:sz="4" w:space="0"/>
            </w:tcBorders>
            <w:vAlign w:val="center"/>
          </w:tcPr>
          <w:p w14:paraId="06E130C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需实现对航道水域的全天候视频监视、轮巡、录像回放与云台控制，并对视频内容进行智能事件分析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3D3C6F7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D7A1F5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49046C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C80930B">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6.3</w:t>
            </w:r>
          </w:p>
        </w:tc>
        <w:tc>
          <w:tcPr>
            <w:tcW w:w="1670" w:type="pct"/>
            <w:tcBorders>
              <w:top w:val="single" w:color="000000" w:sz="4" w:space="0"/>
              <w:left w:val="single" w:color="000000" w:sz="4" w:space="0"/>
              <w:bottom w:val="single" w:color="000000" w:sz="4" w:space="0"/>
              <w:right w:val="single" w:color="000000" w:sz="4" w:space="0"/>
            </w:tcBorders>
            <w:vAlign w:val="center"/>
          </w:tcPr>
          <w:p w14:paraId="04C63C9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航标遥测遥控</w:t>
            </w:r>
          </w:p>
        </w:tc>
        <w:tc>
          <w:tcPr>
            <w:tcW w:w="1792" w:type="pct"/>
            <w:tcBorders>
              <w:top w:val="single" w:color="000000" w:sz="4" w:space="0"/>
              <w:left w:val="single" w:color="000000" w:sz="4" w:space="0"/>
              <w:bottom w:val="single" w:color="000000" w:sz="4" w:space="0"/>
              <w:right w:val="single" w:color="000000" w:sz="4" w:space="0"/>
            </w:tcBorders>
            <w:vAlign w:val="center"/>
          </w:tcPr>
          <w:p w14:paraId="4825083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需实现航标基础数据的自动采集与上报、工作状态的远程监测与预警，并支持对航标的远程控制与异常设备的工单派发</w:t>
            </w:r>
          </w:p>
        </w:tc>
        <w:tc>
          <w:tcPr>
            <w:tcW w:w="459" w:type="pct"/>
            <w:tcBorders>
              <w:top w:val="single" w:color="000000" w:sz="4" w:space="0"/>
              <w:left w:val="single" w:color="000000" w:sz="4" w:space="0"/>
              <w:bottom w:val="single" w:color="000000" w:sz="4" w:space="0"/>
              <w:right w:val="single" w:color="000000" w:sz="4" w:space="0"/>
            </w:tcBorders>
            <w:vAlign w:val="center"/>
          </w:tcPr>
          <w:p w14:paraId="7DD1739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C5FF47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3E6D83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2880BB3">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6.4</w:t>
            </w:r>
          </w:p>
        </w:tc>
        <w:tc>
          <w:tcPr>
            <w:tcW w:w="1670" w:type="pct"/>
            <w:tcBorders>
              <w:top w:val="single" w:color="000000" w:sz="4" w:space="0"/>
              <w:left w:val="single" w:color="000000" w:sz="4" w:space="0"/>
              <w:bottom w:val="single" w:color="000000" w:sz="4" w:space="0"/>
              <w:right w:val="single" w:color="000000" w:sz="4" w:space="0"/>
            </w:tcBorders>
            <w:vAlign w:val="center"/>
          </w:tcPr>
          <w:p w14:paraId="0B49421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水文遥测遥报</w:t>
            </w:r>
          </w:p>
        </w:tc>
        <w:tc>
          <w:tcPr>
            <w:tcW w:w="1792" w:type="pct"/>
            <w:tcBorders>
              <w:top w:val="single" w:color="000000" w:sz="4" w:space="0"/>
              <w:left w:val="single" w:color="000000" w:sz="4" w:space="0"/>
              <w:bottom w:val="single" w:color="000000" w:sz="4" w:space="0"/>
              <w:right w:val="single" w:color="000000" w:sz="4" w:space="0"/>
            </w:tcBorders>
            <w:vAlign w:val="center"/>
          </w:tcPr>
          <w:p w14:paraId="3845923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需实现水文信息的查询统计并进行水位信息模拟</w:t>
            </w:r>
          </w:p>
        </w:tc>
        <w:tc>
          <w:tcPr>
            <w:tcW w:w="459" w:type="pct"/>
            <w:tcBorders>
              <w:top w:val="single" w:color="000000" w:sz="4" w:space="0"/>
              <w:left w:val="single" w:color="000000" w:sz="4" w:space="0"/>
              <w:bottom w:val="single" w:color="000000" w:sz="4" w:space="0"/>
              <w:right w:val="single" w:color="000000" w:sz="4" w:space="0"/>
            </w:tcBorders>
            <w:vAlign w:val="center"/>
          </w:tcPr>
          <w:p w14:paraId="4CD4D57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069DD8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554404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1905413">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6.5</w:t>
            </w:r>
          </w:p>
        </w:tc>
        <w:tc>
          <w:tcPr>
            <w:tcW w:w="1670" w:type="pct"/>
            <w:tcBorders>
              <w:top w:val="single" w:color="000000" w:sz="4" w:space="0"/>
              <w:left w:val="single" w:color="000000" w:sz="4" w:space="0"/>
              <w:bottom w:val="single" w:color="000000" w:sz="4" w:space="0"/>
              <w:right w:val="single" w:color="000000" w:sz="4" w:space="0"/>
            </w:tcBorders>
            <w:vAlign w:val="center"/>
          </w:tcPr>
          <w:p w14:paraId="3681602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气象动态监测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764CBDF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需实现气象信息与设备状态的查询统计，并设定监测阈值，在气象信息或设备异常时自动触发报警。</w:t>
            </w:r>
          </w:p>
        </w:tc>
        <w:tc>
          <w:tcPr>
            <w:tcW w:w="459" w:type="pct"/>
            <w:tcBorders>
              <w:top w:val="single" w:color="000000" w:sz="4" w:space="0"/>
              <w:left w:val="single" w:color="000000" w:sz="4" w:space="0"/>
              <w:bottom w:val="single" w:color="000000" w:sz="4" w:space="0"/>
              <w:right w:val="single" w:color="000000" w:sz="4" w:space="0"/>
            </w:tcBorders>
            <w:vAlign w:val="center"/>
          </w:tcPr>
          <w:p w14:paraId="651F62A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919710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992998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8DFB6F9">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6.6</w:t>
            </w:r>
          </w:p>
        </w:tc>
        <w:tc>
          <w:tcPr>
            <w:tcW w:w="1670" w:type="pct"/>
            <w:tcBorders>
              <w:top w:val="single" w:color="000000" w:sz="4" w:space="0"/>
              <w:left w:val="single" w:color="000000" w:sz="4" w:space="0"/>
              <w:bottom w:val="single" w:color="000000" w:sz="4" w:space="0"/>
              <w:right w:val="single" w:color="000000" w:sz="4" w:space="0"/>
            </w:tcBorders>
            <w:vAlign w:val="center"/>
          </w:tcPr>
          <w:p w14:paraId="47605E2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航道尺度监测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010E0165">
            <w:pPr>
              <w:spacing w:after="156"/>
              <w:rPr>
                <w:color w:val="auto"/>
                <w:szCs w:val="21"/>
                <w:highlight w:val="none"/>
              </w:rPr>
            </w:pPr>
            <w:r>
              <w:rPr>
                <w:rFonts w:hint="eastAsia"/>
                <w:color w:val="auto"/>
                <w:szCs w:val="21"/>
                <w:highlight w:val="none"/>
              </w:rPr>
              <w:t>需实现航道基础信息与尺度数据（探测、简测、扫床、计划）的管理，并通过与计划维护尺度对比，在GIS系统上实现航道维护尺度的自动预警。</w:t>
            </w:r>
          </w:p>
        </w:tc>
        <w:tc>
          <w:tcPr>
            <w:tcW w:w="459" w:type="pct"/>
            <w:tcBorders>
              <w:top w:val="single" w:color="000000" w:sz="4" w:space="0"/>
              <w:left w:val="single" w:color="000000" w:sz="4" w:space="0"/>
              <w:bottom w:val="single" w:color="000000" w:sz="4" w:space="0"/>
              <w:right w:val="single" w:color="000000" w:sz="4" w:space="0"/>
            </w:tcBorders>
            <w:vAlign w:val="center"/>
          </w:tcPr>
          <w:p w14:paraId="4A4643B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2EBAA7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4A445C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52A2E5C">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6.7</w:t>
            </w:r>
          </w:p>
        </w:tc>
        <w:tc>
          <w:tcPr>
            <w:tcW w:w="1670" w:type="pct"/>
            <w:tcBorders>
              <w:top w:val="single" w:color="000000" w:sz="4" w:space="0"/>
              <w:left w:val="single" w:color="000000" w:sz="4" w:space="0"/>
              <w:bottom w:val="single" w:color="000000" w:sz="4" w:space="0"/>
              <w:right w:val="single" w:color="000000" w:sz="4" w:space="0"/>
            </w:tcBorders>
            <w:vAlign w:val="center"/>
          </w:tcPr>
          <w:p w14:paraId="511FFAA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桥梁通航尺度监测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4AA00345">
            <w:pPr>
              <w:spacing w:after="156"/>
              <w:rPr>
                <w:color w:val="auto"/>
                <w:szCs w:val="21"/>
                <w:highlight w:val="none"/>
              </w:rPr>
            </w:pPr>
            <w:r>
              <w:rPr>
                <w:rFonts w:hint="eastAsia"/>
                <w:color w:val="auto"/>
                <w:szCs w:val="21"/>
                <w:highlight w:val="none"/>
              </w:rPr>
              <w:t>需基于GIS地图与多种感知技术，实现桥梁净高监测、船舶偏航检测、水位监测及实时净高预警功能，并通过VHF、AIS等方式自动发布预警与管制信息，保障桥区通航安全。</w:t>
            </w:r>
          </w:p>
        </w:tc>
        <w:tc>
          <w:tcPr>
            <w:tcW w:w="459" w:type="pct"/>
            <w:tcBorders>
              <w:top w:val="single" w:color="000000" w:sz="4" w:space="0"/>
              <w:left w:val="single" w:color="000000" w:sz="4" w:space="0"/>
              <w:bottom w:val="single" w:color="000000" w:sz="4" w:space="0"/>
              <w:right w:val="single" w:color="000000" w:sz="4" w:space="0"/>
            </w:tcBorders>
            <w:vAlign w:val="center"/>
          </w:tcPr>
          <w:p w14:paraId="36398E4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1B9A56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E0F579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84465D0">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6.8</w:t>
            </w:r>
          </w:p>
        </w:tc>
        <w:tc>
          <w:tcPr>
            <w:tcW w:w="1670" w:type="pct"/>
            <w:tcBorders>
              <w:top w:val="single" w:color="000000" w:sz="4" w:space="0"/>
              <w:left w:val="single" w:color="000000" w:sz="4" w:space="0"/>
              <w:bottom w:val="single" w:color="000000" w:sz="4" w:space="0"/>
              <w:right w:val="single" w:color="000000" w:sz="4" w:space="0"/>
            </w:tcBorders>
            <w:vAlign w:val="center"/>
          </w:tcPr>
          <w:p w14:paraId="4A51D88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水上服务区运行状态监测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4243E7DE">
            <w:pPr>
              <w:spacing w:after="156"/>
              <w:rPr>
                <w:color w:val="auto"/>
                <w:szCs w:val="21"/>
                <w:highlight w:val="none"/>
              </w:rPr>
            </w:pPr>
            <w:r>
              <w:rPr>
                <w:rFonts w:hint="eastAsia"/>
                <w:color w:val="auto"/>
                <w:szCs w:val="21"/>
                <w:highlight w:val="none"/>
              </w:rPr>
              <w:t>需实现对服务区重点点位的视频监控、泊位的自动化分配与调度、污染物的接收与处理流程管理，以及行政处罚的自助缴纳服务，提升服务区运营效率与管理水平。</w:t>
            </w:r>
          </w:p>
        </w:tc>
        <w:tc>
          <w:tcPr>
            <w:tcW w:w="459" w:type="pct"/>
            <w:tcBorders>
              <w:top w:val="single" w:color="000000" w:sz="4" w:space="0"/>
              <w:left w:val="single" w:color="000000" w:sz="4" w:space="0"/>
              <w:bottom w:val="single" w:color="000000" w:sz="4" w:space="0"/>
              <w:right w:val="single" w:color="000000" w:sz="4" w:space="0"/>
            </w:tcBorders>
            <w:vAlign w:val="center"/>
          </w:tcPr>
          <w:p w14:paraId="5C1F921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84A040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EA996CE">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B4BD157">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6.9</w:t>
            </w:r>
          </w:p>
        </w:tc>
        <w:tc>
          <w:tcPr>
            <w:tcW w:w="1670" w:type="pct"/>
            <w:tcBorders>
              <w:top w:val="single" w:color="000000" w:sz="4" w:space="0"/>
              <w:left w:val="single" w:color="000000" w:sz="4" w:space="0"/>
              <w:bottom w:val="single" w:color="000000" w:sz="4" w:space="0"/>
              <w:right w:val="single" w:color="000000" w:sz="4" w:space="0"/>
            </w:tcBorders>
            <w:vAlign w:val="center"/>
          </w:tcPr>
          <w:p w14:paraId="5B228FE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岸电监测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2EB1F387">
            <w:pPr>
              <w:spacing w:after="156"/>
              <w:rPr>
                <w:color w:val="auto"/>
                <w:szCs w:val="21"/>
                <w:highlight w:val="none"/>
              </w:rPr>
            </w:pPr>
            <w:r>
              <w:rPr>
                <w:rFonts w:hint="eastAsia"/>
                <w:color w:val="auto"/>
                <w:szCs w:val="21"/>
                <w:highlight w:val="none"/>
              </w:rPr>
              <w:t>需实现在线的岸电使用申请、审批与设备状态监管，并通过台账监管，为船舶提供稳定、可靠的岸电供应远程监控与管理。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2A366BD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232439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4A928D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0E0A301">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6.10</w:t>
            </w:r>
          </w:p>
        </w:tc>
        <w:tc>
          <w:tcPr>
            <w:tcW w:w="1670" w:type="pct"/>
            <w:tcBorders>
              <w:top w:val="single" w:color="000000" w:sz="4" w:space="0"/>
              <w:left w:val="single" w:color="000000" w:sz="4" w:space="0"/>
              <w:bottom w:val="single" w:color="000000" w:sz="4" w:space="0"/>
              <w:right w:val="single" w:color="000000" w:sz="4" w:space="0"/>
            </w:tcBorders>
            <w:vAlign w:val="center"/>
          </w:tcPr>
          <w:p w14:paraId="4DADCF3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船舶流量监测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142CB48C">
            <w:pPr>
              <w:spacing w:after="156"/>
              <w:rPr>
                <w:color w:val="auto"/>
                <w:szCs w:val="21"/>
                <w:highlight w:val="none"/>
              </w:rPr>
            </w:pPr>
            <w:r>
              <w:rPr>
                <w:rFonts w:hint="eastAsia"/>
                <w:color w:val="auto"/>
                <w:szCs w:val="21"/>
                <w:highlight w:val="none"/>
              </w:rPr>
              <w:t>需通过多源数据融合模型精准统计航道船舶流量，并设定流量阈值实现异常预警，支撑航道资源优化调度与船舶疏导。</w:t>
            </w:r>
          </w:p>
        </w:tc>
        <w:tc>
          <w:tcPr>
            <w:tcW w:w="459" w:type="pct"/>
            <w:tcBorders>
              <w:top w:val="single" w:color="000000" w:sz="4" w:space="0"/>
              <w:left w:val="single" w:color="000000" w:sz="4" w:space="0"/>
              <w:bottom w:val="single" w:color="000000" w:sz="4" w:space="0"/>
              <w:right w:val="single" w:color="000000" w:sz="4" w:space="0"/>
            </w:tcBorders>
            <w:vAlign w:val="center"/>
          </w:tcPr>
          <w:p w14:paraId="6CE1EC3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727F0B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415C7FF">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B19DE33">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1670" w:type="pct"/>
            <w:tcBorders>
              <w:top w:val="single" w:color="000000" w:sz="4" w:space="0"/>
              <w:left w:val="single" w:color="000000" w:sz="4" w:space="0"/>
              <w:bottom w:val="single" w:color="000000" w:sz="4" w:space="0"/>
              <w:right w:val="single" w:color="000000" w:sz="4" w:space="0"/>
            </w:tcBorders>
            <w:vAlign w:val="center"/>
          </w:tcPr>
          <w:p w14:paraId="0C074C6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船闸联合调度管理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36CB6134">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2D9E48D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54F1591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B0C0F38">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ED68790">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7.1</w:t>
            </w:r>
          </w:p>
        </w:tc>
        <w:tc>
          <w:tcPr>
            <w:tcW w:w="1670" w:type="pct"/>
            <w:tcBorders>
              <w:top w:val="single" w:color="000000" w:sz="4" w:space="0"/>
              <w:left w:val="single" w:color="000000" w:sz="4" w:space="0"/>
              <w:bottom w:val="single" w:color="000000" w:sz="4" w:space="0"/>
              <w:right w:val="single" w:color="000000" w:sz="4" w:space="0"/>
            </w:tcBorders>
            <w:vAlign w:val="center"/>
          </w:tcPr>
          <w:p w14:paraId="300631E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船闸联合调度监测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454BFEE8">
            <w:pPr>
              <w:spacing w:after="156"/>
              <w:rPr>
                <w:color w:val="auto"/>
                <w:szCs w:val="21"/>
                <w:highlight w:val="none"/>
              </w:rPr>
            </w:pPr>
            <w:r>
              <w:rPr>
                <w:rFonts w:hint="eastAsia"/>
                <w:color w:val="auto"/>
                <w:szCs w:val="21"/>
                <w:highlight w:val="none"/>
              </w:rPr>
              <w:t>需实现船闸及闸室静态基础信息的录入维护，并通过获取企业平台数据动态掌握船闸状态与停闸信息，同时对过闸船舶进行船证相符、装载合规性核查。</w:t>
            </w:r>
          </w:p>
        </w:tc>
        <w:tc>
          <w:tcPr>
            <w:tcW w:w="459" w:type="pct"/>
            <w:tcBorders>
              <w:top w:val="single" w:color="000000" w:sz="4" w:space="0"/>
              <w:left w:val="single" w:color="000000" w:sz="4" w:space="0"/>
              <w:bottom w:val="single" w:color="000000" w:sz="4" w:space="0"/>
              <w:right w:val="single" w:color="000000" w:sz="4" w:space="0"/>
            </w:tcBorders>
            <w:vAlign w:val="center"/>
          </w:tcPr>
          <w:p w14:paraId="4D1FCB2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6D1061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8A8709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A0F090C">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1670" w:type="pct"/>
            <w:tcBorders>
              <w:top w:val="single" w:color="000000" w:sz="4" w:space="0"/>
              <w:left w:val="single" w:color="000000" w:sz="4" w:space="0"/>
              <w:bottom w:val="single" w:color="000000" w:sz="4" w:space="0"/>
              <w:right w:val="single" w:color="000000" w:sz="4" w:space="0"/>
            </w:tcBorders>
            <w:vAlign w:val="center"/>
          </w:tcPr>
          <w:p w14:paraId="67E6ED0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船闸过闸监测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623C1A6F">
            <w:pPr>
              <w:spacing w:after="156"/>
              <w:rPr>
                <w:color w:val="auto"/>
                <w:szCs w:val="21"/>
                <w:highlight w:val="none"/>
              </w:rPr>
            </w:pPr>
            <w:r>
              <w:rPr>
                <w:rFonts w:hint="eastAsia"/>
                <w:color w:val="auto"/>
                <w:szCs w:val="21"/>
                <w:highlight w:val="none"/>
              </w:rPr>
              <w:t>需实现对过闸调度情况、已过闸船舶信息、过闸货物类型及船舶载重状态的多维度统计与分析，生成各类分析图表以掌握过闸规律。</w:t>
            </w:r>
          </w:p>
        </w:tc>
        <w:tc>
          <w:tcPr>
            <w:tcW w:w="459" w:type="pct"/>
            <w:tcBorders>
              <w:top w:val="single" w:color="000000" w:sz="4" w:space="0"/>
              <w:left w:val="single" w:color="000000" w:sz="4" w:space="0"/>
              <w:bottom w:val="single" w:color="000000" w:sz="4" w:space="0"/>
              <w:right w:val="single" w:color="000000" w:sz="4" w:space="0"/>
            </w:tcBorders>
            <w:vAlign w:val="center"/>
          </w:tcPr>
          <w:p w14:paraId="692500F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DEF815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28934B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A6E5DCF">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7.3</w:t>
            </w:r>
          </w:p>
        </w:tc>
        <w:tc>
          <w:tcPr>
            <w:tcW w:w="1670" w:type="pct"/>
            <w:tcBorders>
              <w:top w:val="single" w:color="000000" w:sz="4" w:space="0"/>
              <w:left w:val="single" w:color="000000" w:sz="4" w:space="0"/>
              <w:bottom w:val="single" w:color="000000" w:sz="4" w:space="0"/>
              <w:right w:val="single" w:color="000000" w:sz="4" w:space="0"/>
            </w:tcBorders>
            <w:vAlign w:val="center"/>
          </w:tcPr>
          <w:p w14:paraId="5A0E7C8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跨省协同监管</w:t>
            </w:r>
          </w:p>
        </w:tc>
        <w:tc>
          <w:tcPr>
            <w:tcW w:w="1792" w:type="pct"/>
            <w:tcBorders>
              <w:top w:val="single" w:color="000000" w:sz="4" w:space="0"/>
              <w:left w:val="single" w:color="000000" w:sz="4" w:space="0"/>
              <w:bottom w:val="single" w:color="000000" w:sz="4" w:space="0"/>
              <w:right w:val="single" w:color="000000" w:sz="4" w:space="0"/>
            </w:tcBorders>
            <w:vAlign w:val="center"/>
          </w:tcPr>
          <w:p w14:paraId="0C3BA365">
            <w:pPr>
              <w:spacing w:after="156"/>
              <w:rPr>
                <w:color w:val="auto"/>
                <w:szCs w:val="21"/>
                <w:highlight w:val="none"/>
              </w:rPr>
            </w:pPr>
            <w:r>
              <w:rPr>
                <w:rFonts w:hint="eastAsia"/>
                <w:color w:val="auto"/>
                <w:szCs w:val="21"/>
                <w:highlight w:val="none"/>
              </w:rPr>
              <w:t>需实现对跨省过境船舶的主动识别与动态监测，并对邻省闸口开放时间、程度等协同调度规范性进行评估，提升跨区域协同效率。</w:t>
            </w:r>
          </w:p>
        </w:tc>
        <w:tc>
          <w:tcPr>
            <w:tcW w:w="459" w:type="pct"/>
            <w:tcBorders>
              <w:top w:val="single" w:color="000000" w:sz="4" w:space="0"/>
              <w:left w:val="single" w:color="000000" w:sz="4" w:space="0"/>
              <w:bottom w:val="single" w:color="000000" w:sz="4" w:space="0"/>
              <w:right w:val="single" w:color="000000" w:sz="4" w:space="0"/>
            </w:tcBorders>
            <w:vAlign w:val="center"/>
          </w:tcPr>
          <w:p w14:paraId="3934CCC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D85F9A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450272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F50AA85">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7.4</w:t>
            </w:r>
          </w:p>
        </w:tc>
        <w:tc>
          <w:tcPr>
            <w:tcW w:w="1670" w:type="pct"/>
            <w:tcBorders>
              <w:top w:val="single" w:color="000000" w:sz="4" w:space="0"/>
              <w:left w:val="single" w:color="000000" w:sz="4" w:space="0"/>
              <w:bottom w:val="single" w:color="000000" w:sz="4" w:space="0"/>
              <w:right w:val="single" w:color="000000" w:sz="4" w:space="0"/>
            </w:tcBorders>
            <w:vAlign w:val="center"/>
          </w:tcPr>
          <w:p w14:paraId="336B2C4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船闸应急调度管理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4335291A">
            <w:pPr>
              <w:spacing w:after="156"/>
              <w:rPr>
                <w:color w:val="auto"/>
                <w:szCs w:val="21"/>
                <w:highlight w:val="none"/>
              </w:rPr>
            </w:pPr>
            <w:r>
              <w:rPr>
                <w:rFonts w:hint="eastAsia"/>
                <w:color w:val="auto"/>
                <w:szCs w:val="21"/>
                <w:highlight w:val="none"/>
              </w:rPr>
              <w:t>需实现在应急事件或特殊情况下，由授权管理部门直接向下级单位发布船闸调度指令，并实时跟踪指令执行状态与船舶通过情况。</w:t>
            </w:r>
          </w:p>
        </w:tc>
        <w:tc>
          <w:tcPr>
            <w:tcW w:w="459" w:type="pct"/>
            <w:tcBorders>
              <w:top w:val="single" w:color="000000" w:sz="4" w:space="0"/>
              <w:left w:val="single" w:color="000000" w:sz="4" w:space="0"/>
              <w:bottom w:val="single" w:color="000000" w:sz="4" w:space="0"/>
              <w:right w:val="single" w:color="000000" w:sz="4" w:space="0"/>
            </w:tcBorders>
            <w:vAlign w:val="center"/>
          </w:tcPr>
          <w:p w14:paraId="7AC47E3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0DD749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C1DB985">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4A7A311">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7.5</w:t>
            </w:r>
          </w:p>
        </w:tc>
        <w:tc>
          <w:tcPr>
            <w:tcW w:w="1670" w:type="pct"/>
            <w:tcBorders>
              <w:top w:val="single" w:color="000000" w:sz="4" w:space="0"/>
              <w:left w:val="single" w:color="000000" w:sz="4" w:space="0"/>
              <w:bottom w:val="single" w:color="000000" w:sz="4" w:space="0"/>
              <w:right w:val="single" w:color="000000" w:sz="4" w:space="0"/>
            </w:tcBorders>
            <w:vAlign w:val="center"/>
          </w:tcPr>
          <w:p w14:paraId="0A7D1F0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调度效能分析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65A6E754">
            <w:pPr>
              <w:spacing w:after="156"/>
              <w:rPr>
                <w:color w:val="auto"/>
                <w:szCs w:val="21"/>
                <w:highlight w:val="none"/>
              </w:rPr>
            </w:pPr>
            <w:r>
              <w:rPr>
                <w:rFonts w:hint="eastAsia"/>
                <w:color w:val="auto"/>
                <w:szCs w:val="21"/>
                <w:highlight w:val="none"/>
              </w:rPr>
              <w:t>需构建闸室利用率、船舶待闸、航道拥堵及跨省调度执行效果等多维度分析模型，基于汇聚数据评估调度效率，为优化调度政策与资源配置提供决策依据。</w:t>
            </w:r>
          </w:p>
        </w:tc>
        <w:tc>
          <w:tcPr>
            <w:tcW w:w="459" w:type="pct"/>
            <w:tcBorders>
              <w:top w:val="single" w:color="000000" w:sz="4" w:space="0"/>
              <w:left w:val="single" w:color="000000" w:sz="4" w:space="0"/>
              <w:bottom w:val="single" w:color="000000" w:sz="4" w:space="0"/>
              <w:right w:val="single" w:color="000000" w:sz="4" w:space="0"/>
            </w:tcBorders>
            <w:vAlign w:val="center"/>
          </w:tcPr>
          <w:p w14:paraId="14E9354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E06BBC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B752722">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F324EB9">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7.6</w:t>
            </w:r>
          </w:p>
        </w:tc>
        <w:tc>
          <w:tcPr>
            <w:tcW w:w="1670" w:type="pct"/>
            <w:tcBorders>
              <w:top w:val="single" w:color="000000" w:sz="4" w:space="0"/>
              <w:left w:val="single" w:color="000000" w:sz="4" w:space="0"/>
              <w:bottom w:val="single" w:color="000000" w:sz="4" w:space="0"/>
              <w:right w:val="single" w:color="000000" w:sz="4" w:space="0"/>
            </w:tcBorders>
            <w:vAlign w:val="center"/>
          </w:tcPr>
          <w:p w14:paraId="59EC7C0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调度合规性分析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04EEDCDB">
            <w:pPr>
              <w:spacing w:after="156"/>
              <w:rPr>
                <w:color w:val="auto"/>
                <w:szCs w:val="21"/>
                <w:highlight w:val="none"/>
              </w:rPr>
            </w:pPr>
            <w:r>
              <w:rPr>
                <w:rFonts w:hint="eastAsia"/>
                <w:color w:val="auto"/>
                <w:szCs w:val="21"/>
                <w:highlight w:val="none"/>
              </w:rPr>
              <w:t>需实时调阅调度规则执行记录，对过闸廉政、收费规范性、重点物资通过时效及跨省协同调度规范性进行评估，并通过异常预警与服务评价确保调度公开、公平、高效。</w:t>
            </w:r>
          </w:p>
        </w:tc>
        <w:tc>
          <w:tcPr>
            <w:tcW w:w="459" w:type="pct"/>
            <w:tcBorders>
              <w:top w:val="single" w:color="000000" w:sz="4" w:space="0"/>
              <w:left w:val="single" w:color="000000" w:sz="4" w:space="0"/>
              <w:bottom w:val="single" w:color="000000" w:sz="4" w:space="0"/>
              <w:right w:val="single" w:color="000000" w:sz="4" w:space="0"/>
            </w:tcBorders>
            <w:vAlign w:val="center"/>
          </w:tcPr>
          <w:p w14:paraId="2547C90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E2F64D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589E38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91BDAFE">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1670" w:type="pct"/>
            <w:tcBorders>
              <w:top w:val="single" w:color="000000" w:sz="4" w:space="0"/>
              <w:left w:val="single" w:color="000000" w:sz="4" w:space="0"/>
              <w:bottom w:val="single" w:color="000000" w:sz="4" w:space="0"/>
              <w:right w:val="single" w:color="000000" w:sz="4" w:space="0"/>
            </w:tcBorders>
            <w:vAlign w:val="center"/>
          </w:tcPr>
          <w:p w14:paraId="5EEE937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海事业务监管</w:t>
            </w:r>
          </w:p>
        </w:tc>
        <w:tc>
          <w:tcPr>
            <w:tcW w:w="1792" w:type="pct"/>
            <w:tcBorders>
              <w:top w:val="single" w:color="000000" w:sz="4" w:space="0"/>
              <w:left w:val="single" w:color="000000" w:sz="4" w:space="0"/>
              <w:bottom w:val="single" w:color="000000" w:sz="4" w:space="0"/>
              <w:right w:val="single" w:color="000000" w:sz="4" w:space="0"/>
            </w:tcBorders>
            <w:vAlign w:val="center"/>
          </w:tcPr>
          <w:p w14:paraId="77FAF2EE">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2347E0E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9F537F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960A1D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2391448">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8.1</w:t>
            </w:r>
          </w:p>
        </w:tc>
        <w:tc>
          <w:tcPr>
            <w:tcW w:w="1670" w:type="pct"/>
            <w:tcBorders>
              <w:top w:val="single" w:color="000000" w:sz="4" w:space="0"/>
              <w:left w:val="single" w:color="000000" w:sz="4" w:space="0"/>
              <w:bottom w:val="single" w:color="000000" w:sz="4" w:space="0"/>
              <w:right w:val="single" w:color="000000" w:sz="4" w:space="0"/>
            </w:tcBorders>
            <w:vAlign w:val="center"/>
          </w:tcPr>
          <w:p w14:paraId="2C68CD9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船舶管理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2CFB517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需实现船舶登记信息的结构化获取与检验信息库建设</w:t>
            </w:r>
          </w:p>
        </w:tc>
        <w:tc>
          <w:tcPr>
            <w:tcW w:w="459" w:type="pct"/>
            <w:tcBorders>
              <w:top w:val="single" w:color="000000" w:sz="4" w:space="0"/>
              <w:left w:val="single" w:color="000000" w:sz="4" w:space="0"/>
              <w:bottom w:val="single" w:color="000000" w:sz="4" w:space="0"/>
              <w:right w:val="single" w:color="000000" w:sz="4" w:space="0"/>
            </w:tcBorders>
            <w:vAlign w:val="center"/>
          </w:tcPr>
          <w:p w14:paraId="6150423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70407E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06BDDC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7E69EAA">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8.2</w:t>
            </w:r>
          </w:p>
        </w:tc>
        <w:tc>
          <w:tcPr>
            <w:tcW w:w="1670" w:type="pct"/>
            <w:tcBorders>
              <w:top w:val="single" w:color="000000" w:sz="4" w:space="0"/>
              <w:left w:val="single" w:color="000000" w:sz="4" w:space="0"/>
              <w:bottom w:val="single" w:color="000000" w:sz="4" w:space="0"/>
              <w:right w:val="single" w:color="000000" w:sz="4" w:space="0"/>
            </w:tcBorders>
            <w:vAlign w:val="center"/>
          </w:tcPr>
          <w:p w14:paraId="02CA972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船员管理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410487F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需实现船员基础信息、培训考试与适任证书状态的动态更新与监控</w:t>
            </w:r>
          </w:p>
        </w:tc>
        <w:tc>
          <w:tcPr>
            <w:tcW w:w="459" w:type="pct"/>
            <w:tcBorders>
              <w:top w:val="single" w:color="000000" w:sz="4" w:space="0"/>
              <w:left w:val="single" w:color="000000" w:sz="4" w:space="0"/>
              <w:bottom w:val="single" w:color="000000" w:sz="4" w:space="0"/>
              <w:right w:val="single" w:color="000000" w:sz="4" w:space="0"/>
            </w:tcBorders>
            <w:vAlign w:val="center"/>
          </w:tcPr>
          <w:p w14:paraId="6507961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67905D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5261F4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7465962">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8.3</w:t>
            </w:r>
          </w:p>
        </w:tc>
        <w:tc>
          <w:tcPr>
            <w:tcW w:w="1670" w:type="pct"/>
            <w:tcBorders>
              <w:top w:val="single" w:color="000000" w:sz="4" w:space="0"/>
              <w:left w:val="single" w:color="000000" w:sz="4" w:space="0"/>
              <w:bottom w:val="single" w:color="000000" w:sz="4" w:space="0"/>
              <w:right w:val="single" w:color="000000" w:sz="4" w:space="0"/>
            </w:tcBorders>
            <w:vAlign w:val="center"/>
          </w:tcPr>
          <w:p w14:paraId="3C6709C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海事安全管理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4C4F644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需构建基于风险区划的智能防控体系，通过人工、无人船、无人机与电子巡航等多种方式实现智能巡航监管</w:t>
            </w:r>
          </w:p>
        </w:tc>
        <w:tc>
          <w:tcPr>
            <w:tcW w:w="459" w:type="pct"/>
            <w:tcBorders>
              <w:top w:val="single" w:color="000000" w:sz="4" w:space="0"/>
              <w:left w:val="single" w:color="000000" w:sz="4" w:space="0"/>
              <w:bottom w:val="single" w:color="000000" w:sz="4" w:space="0"/>
              <w:right w:val="single" w:color="000000" w:sz="4" w:space="0"/>
            </w:tcBorders>
            <w:vAlign w:val="center"/>
          </w:tcPr>
          <w:p w14:paraId="4C21EEC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C6C155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36B977A">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53ED0BE">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8.4</w:t>
            </w:r>
          </w:p>
        </w:tc>
        <w:tc>
          <w:tcPr>
            <w:tcW w:w="1670" w:type="pct"/>
            <w:tcBorders>
              <w:top w:val="single" w:color="000000" w:sz="4" w:space="0"/>
              <w:left w:val="single" w:color="000000" w:sz="4" w:space="0"/>
              <w:bottom w:val="single" w:color="000000" w:sz="4" w:space="0"/>
              <w:right w:val="single" w:color="000000" w:sz="4" w:space="0"/>
            </w:tcBorders>
            <w:vAlign w:val="center"/>
          </w:tcPr>
          <w:p w14:paraId="0439A1C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通航秩序管理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F84D8B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需全面掌握辖区通航要素、船舶总体情况、实时动态、流量线分布及法定区域信息</w:t>
            </w:r>
          </w:p>
        </w:tc>
        <w:tc>
          <w:tcPr>
            <w:tcW w:w="459" w:type="pct"/>
            <w:tcBorders>
              <w:top w:val="single" w:color="000000" w:sz="4" w:space="0"/>
              <w:left w:val="single" w:color="000000" w:sz="4" w:space="0"/>
              <w:bottom w:val="single" w:color="000000" w:sz="4" w:space="0"/>
              <w:right w:val="single" w:color="000000" w:sz="4" w:space="0"/>
            </w:tcBorders>
            <w:vAlign w:val="center"/>
          </w:tcPr>
          <w:p w14:paraId="5929560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F9DD1A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F31F108">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C371618">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8.5</w:t>
            </w:r>
          </w:p>
        </w:tc>
        <w:tc>
          <w:tcPr>
            <w:tcW w:w="1670" w:type="pct"/>
            <w:tcBorders>
              <w:top w:val="single" w:color="000000" w:sz="4" w:space="0"/>
              <w:left w:val="single" w:color="000000" w:sz="4" w:space="0"/>
              <w:bottom w:val="single" w:color="000000" w:sz="4" w:space="0"/>
              <w:right w:val="single" w:color="000000" w:sz="4" w:space="0"/>
            </w:tcBorders>
            <w:vAlign w:val="center"/>
          </w:tcPr>
          <w:p w14:paraId="171E328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信用管理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A1BCA6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需建立完善的诚信规则体系</w:t>
            </w:r>
          </w:p>
        </w:tc>
        <w:tc>
          <w:tcPr>
            <w:tcW w:w="459" w:type="pct"/>
            <w:tcBorders>
              <w:top w:val="single" w:color="000000" w:sz="4" w:space="0"/>
              <w:left w:val="single" w:color="000000" w:sz="4" w:space="0"/>
              <w:bottom w:val="single" w:color="000000" w:sz="4" w:space="0"/>
              <w:right w:val="single" w:color="000000" w:sz="4" w:space="0"/>
            </w:tcBorders>
            <w:vAlign w:val="center"/>
          </w:tcPr>
          <w:p w14:paraId="0578AE1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1EE347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9CB87F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14DA4A4">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1670" w:type="pct"/>
            <w:tcBorders>
              <w:top w:val="single" w:color="000000" w:sz="4" w:space="0"/>
              <w:left w:val="single" w:color="000000" w:sz="4" w:space="0"/>
              <w:bottom w:val="single" w:color="000000" w:sz="4" w:space="0"/>
              <w:right w:val="single" w:color="000000" w:sz="4" w:space="0"/>
            </w:tcBorders>
            <w:vAlign w:val="center"/>
          </w:tcPr>
          <w:p w14:paraId="2924983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港口监管与服务</w:t>
            </w:r>
          </w:p>
        </w:tc>
        <w:tc>
          <w:tcPr>
            <w:tcW w:w="1792" w:type="pct"/>
            <w:tcBorders>
              <w:top w:val="single" w:color="000000" w:sz="4" w:space="0"/>
              <w:left w:val="single" w:color="000000" w:sz="4" w:space="0"/>
              <w:bottom w:val="single" w:color="000000" w:sz="4" w:space="0"/>
              <w:right w:val="single" w:color="000000" w:sz="4" w:space="0"/>
            </w:tcBorders>
            <w:vAlign w:val="center"/>
          </w:tcPr>
          <w:p w14:paraId="690266C9">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741045D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528A41A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1034FEA">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5A227B9">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9.1</w:t>
            </w:r>
          </w:p>
        </w:tc>
        <w:tc>
          <w:tcPr>
            <w:tcW w:w="1670" w:type="pct"/>
            <w:tcBorders>
              <w:top w:val="single" w:color="000000" w:sz="4" w:space="0"/>
              <w:left w:val="single" w:color="000000" w:sz="4" w:space="0"/>
              <w:bottom w:val="single" w:color="000000" w:sz="4" w:space="0"/>
              <w:right w:val="single" w:color="000000" w:sz="4" w:space="0"/>
            </w:tcBorders>
            <w:vAlign w:val="center"/>
          </w:tcPr>
          <w:p w14:paraId="159092E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港口基本信息管理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4562242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需系统化管理港口基础数据、布局规划、企业信息、业务数据、设施设备及从业人员资格信息</w:t>
            </w:r>
          </w:p>
        </w:tc>
        <w:tc>
          <w:tcPr>
            <w:tcW w:w="459" w:type="pct"/>
            <w:tcBorders>
              <w:top w:val="single" w:color="000000" w:sz="4" w:space="0"/>
              <w:left w:val="single" w:color="000000" w:sz="4" w:space="0"/>
              <w:bottom w:val="single" w:color="000000" w:sz="4" w:space="0"/>
              <w:right w:val="single" w:color="000000" w:sz="4" w:space="0"/>
            </w:tcBorders>
            <w:vAlign w:val="center"/>
          </w:tcPr>
          <w:p w14:paraId="7614086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00E381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500854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482C635">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9.2</w:t>
            </w:r>
          </w:p>
        </w:tc>
        <w:tc>
          <w:tcPr>
            <w:tcW w:w="1670" w:type="pct"/>
            <w:tcBorders>
              <w:top w:val="single" w:color="000000" w:sz="4" w:space="0"/>
              <w:left w:val="single" w:color="000000" w:sz="4" w:space="0"/>
              <w:bottom w:val="single" w:color="000000" w:sz="4" w:space="0"/>
              <w:right w:val="single" w:color="000000" w:sz="4" w:space="0"/>
            </w:tcBorders>
            <w:vAlign w:val="center"/>
          </w:tcPr>
          <w:p w14:paraId="58C3C04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安全监管</w:t>
            </w:r>
          </w:p>
        </w:tc>
        <w:tc>
          <w:tcPr>
            <w:tcW w:w="1792" w:type="pct"/>
            <w:tcBorders>
              <w:top w:val="single" w:color="000000" w:sz="4" w:space="0"/>
              <w:left w:val="single" w:color="000000" w:sz="4" w:space="0"/>
              <w:bottom w:val="single" w:color="000000" w:sz="4" w:space="0"/>
              <w:right w:val="single" w:color="000000" w:sz="4" w:space="0"/>
            </w:tcBorders>
            <w:vAlign w:val="center"/>
          </w:tcPr>
          <w:p w14:paraId="0F6427D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需构建覆盖安全生产综合管理（安全台账、评估、责任体系等）与应急合规管理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7E1314A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6137CC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246973F">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3864DF9">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9.3</w:t>
            </w:r>
          </w:p>
        </w:tc>
        <w:tc>
          <w:tcPr>
            <w:tcW w:w="1670" w:type="pct"/>
            <w:tcBorders>
              <w:top w:val="single" w:color="000000" w:sz="4" w:space="0"/>
              <w:left w:val="single" w:color="000000" w:sz="4" w:space="0"/>
              <w:bottom w:val="single" w:color="000000" w:sz="4" w:space="0"/>
              <w:right w:val="single" w:color="000000" w:sz="4" w:space="0"/>
            </w:tcBorders>
            <w:vAlign w:val="center"/>
          </w:tcPr>
          <w:p w14:paraId="5CCAD1D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环保监管</w:t>
            </w:r>
          </w:p>
        </w:tc>
        <w:tc>
          <w:tcPr>
            <w:tcW w:w="1792" w:type="pct"/>
            <w:tcBorders>
              <w:top w:val="single" w:color="000000" w:sz="4" w:space="0"/>
              <w:left w:val="single" w:color="000000" w:sz="4" w:space="0"/>
              <w:bottom w:val="single" w:color="000000" w:sz="4" w:space="0"/>
              <w:right w:val="single" w:color="000000" w:sz="4" w:space="0"/>
            </w:tcBorders>
            <w:vAlign w:val="center"/>
          </w:tcPr>
          <w:p w14:paraId="723A07E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需实现通过监测环保数据并设置阈值实现环保实时预警</w:t>
            </w:r>
          </w:p>
        </w:tc>
        <w:tc>
          <w:tcPr>
            <w:tcW w:w="459" w:type="pct"/>
            <w:tcBorders>
              <w:top w:val="single" w:color="000000" w:sz="4" w:space="0"/>
              <w:left w:val="single" w:color="000000" w:sz="4" w:space="0"/>
              <w:bottom w:val="single" w:color="000000" w:sz="4" w:space="0"/>
              <w:right w:val="single" w:color="000000" w:sz="4" w:space="0"/>
            </w:tcBorders>
            <w:vAlign w:val="center"/>
          </w:tcPr>
          <w:p w14:paraId="0073000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7FC1F3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5B9A3EA">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FF9AA8C">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9.4</w:t>
            </w:r>
          </w:p>
        </w:tc>
        <w:tc>
          <w:tcPr>
            <w:tcW w:w="1670" w:type="pct"/>
            <w:tcBorders>
              <w:top w:val="single" w:color="000000" w:sz="4" w:space="0"/>
              <w:left w:val="single" w:color="000000" w:sz="4" w:space="0"/>
              <w:bottom w:val="single" w:color="000000" w:sz="4" w:space="0"/>
              <w:right w:val="single" w:color="000000" w:sz="4" w:space="0"/>
            </w:tcBorders>
            <w:vAlign w:val="center"/>
          </w:tcPr>
          <w:p w14:paraId="7EA391F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港政管理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7A41ABB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需通过检查项目与检查计划两级任务构建，实现对港口经营人资质的系统性核查与记录管理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1F50B83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2129F0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4968E08">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928ED31">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9.5</w:t>
            </w:r>
          </w:p>
        </w:tc>
        <w:tc>
          <w:tcPr>
            <w:tcW w:w="1670" w:type="pct"/>
            <w:tcBorders>
              <w:top w:val="single" w:color="000000" w:sz="4" w:space="0"/>
              <w:left w:val="single" w:color="000000" w:sz="4" w:space="0"/>
              <w:bottom w:val="single" w:color="000000" w:sz="4" w:space="0"/>
              <w:right w:val="single" w:color="000000" w:sz="4" w:space="0"/>
            </w:tcBorders>
            <w:vAlign w:val="center"/>
          </w:tcPr>
          <w:p w14:paraId="3B6CC29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危货作业动态</w:t>
            </w:r>
          </w:p>
        </w:tc>
        <w:tc>
          <w:tcPr>
            <w:tcW w:w="1792" w:type="pct"/>
            <w:tcBorders>
              <w:top w:val="single" w:color="000000" w:sz="4" w:space="0"/>
              <w:left w:val="single" w:color="000000" w:sz="4" w:space="0"/>
              <w:bottom w:val="single" w:color="000000" w:sz="4" w:space="0"/>
              <w:right w:val="single" w:color="000000" w:sz="4" w:space="0"/>
            </w:tcBorders>
            <w:vAlign w:val="center"/>
          </w:tcPr>
          <w:p w14:paraId="2163B83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需实现对港口危险货物作业的申报、审批、进度及全过程电子记录的监管</w:t>
            </w:r>
          </w:p>
        </w:tc>
        <w:tc>
          <w:tcPr>
            <w:tcW w:w="459" w:type="pct"/>
            <w:tcBorders>
              <w:top w:val="single" w:color="000000" w:sz="4" w:space="0"/>
              <w:left w:val="single" w:color="000000" w:sz="4" w:space="0"/>
              <w:bottom w:val="single" w:color="000000" w:sz="4" w:space="0"/>
              <w:right w:val="single" w:color="000000" w:sz="4" w:space="0"/>
            </w:tcBorders>
            <w:vAlign w:val="center"/>
          </w:tcPr>
          <w:p w14:paraId="411B4DA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2E11FC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28A5B7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4EC604A">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9.6</w:t>
            </w:r>
          </w:p>
        </w:tc>
        <w:tc>
          <w:tcPr>
            <w:tcW w:w="1670" w:type="pct"/>
            <w:tcBorders>
              <w:top w:val="single" w:color="000000" w:sz="4" w:space="0"/>
              <w:left w:val="single" w:color="000000" w:sz="4" w:space="0"/>
              <w:bottom w:val="single" w:color="000000" w:sz="4" w:space="0"/>
              <w:right w:val="single" w:color="000000" w:sz="4" w:space="0"/>
            </w:tcBorders>
            <w:vAlign w:val="center"/>
          </w:tcPr>
          <w:p w14:paraId="796700D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客货量统计分析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474312E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需实现多源客货运数据的采集、清洗与标准化整合</w:t>
            </w:r>
          </w:p>
        </w:tc>
        <w:tc>
          <w:tcPr>
            <w:tcW w:w="459" w:type="pct"/>
            <w:tcBorders>
              <w:top w:val="single" w:color="000000" w:sz="4" w:space="0"/>
              <w:left w:val="single" w:color="000000" w:sz="4" w:space="0"/>
              <w:bottom w:val="single" w:color="000000" w:sz="4" w:space="0"/>
              <w:right w:val="single" w:color="000000" w:sz="4" w:space="0"/>
            </w:tcBorders>
            <w:vAlign w:val="center"/>
          </w:tcPr>
          <w:p w14:paraId="676CE49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7728A1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733AF6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C6736B4">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9.7</w:t>
            </w:r>
          </w:p>
        </w:tc>
        <w:tc>
          <w:tcPr>
            <w:tcW w:w="1670" w:type="pct"/>
            <w:tcBorders>
              <w:top w:val="single" w:color="000000" w:sz="4" w:space="0"/>
              <w:left w:val="single" w:color="000000" w:sz="4" w:space="0"/>
              <w:bottom w:val="single" w:color="000000" w:sz="4" w:space="0"/>
              <w:right w:val="single" w:color="000000" w:sz="4" w:space="0"/>
            </w:tcBorders>
            <w:vAlign w:val="center"/>
          </w:tcPr>
          <w:p w14:paraId="4A85AAD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可视化看板</w:t>
            </w:r>
          </w:p>
        </w:tc>
        <w:tc>
          <w:tcPr>
            <w:tcW w:w="1792" w:type="pct"/>
            <w:tcBorders>
              <w:top w:val="single" w:color="000000" w:sz="4" w:space="0"/>
              <w:left w:val="single" w:color="000000" w:sz="4" w:space="0"/>
              <w:bottom w:val="single" w:color="000000" w:sz="4" w:space="0"/>
              <w:right w:val="single" w:color="000000" w:sz="4" w:space="0"/>
            </w:tcBorders>
            <w:vAlign w:val="center"/>
          </w:tcPr>
          <w:p w14:paraId="3B192E2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需结合地图以可视化形式集中展示港口基础数据、分布情况以及危险货物作业的统计结果</w:t>
            </w:r>
          </w:p>
        </w:tc>
        <w:tc>
          <w:tcPr>
            <w:tcW w:w="459" w:type="pct"/>
            <w:tcBorders>
              <w:top w:val="single" w:color="000000" w:sz="4" w:space="0"/>
              <w:left w:val="single" w:color="000000" w:sz="4" w:space="0"/>
              <w:bottom w:val="single" w:color="000000" w:sz="4" w:space="0"/>
              <w:right w:val="single" w:color="000000" w:sz="4" w:space="0"/>
            </w:tcBorders>
            <w:vAlign w:val="center"/>
          </w:tcPr>
          <w:p w14:paraId="7E34543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EA2E3F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4C76C0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409B8C7">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9.8</w:t>
            </w:r>
          </w:p>
        </w:tc>
        <w:tc>
          <w:tcPr>
            <w:tcW w:w="1670" w:type="pct"/>
            <w:tcBorders>
              <w:top w:val="single" w:color="000000" w:sz="4" w:space="0"/>
              <w:left w:val="single" w:color="000000" w:sz="4" w:space="0"/>
              <w:bottom w:val="single" w:color="000000" w:sz="4" w:space="0"/>
              <w:right w:val="single" w:color="000000" w:sz="4" w:space="0"/>
            </w:tcBorders>
            <w:vAlign w:val="center"/>
          </w:tcPr>
          <w:p w14:paraId="74DE58B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公众知识库</w:t>
            </w:r>
          </w:p>
        </w:tc>
        <w:tc>
          <w:tcPr>
            <w:tcW w:w="1792" w:type="pct"/>
            <w:tcBorders>
              <w:top w:val="single" w:color="000000" w:sz="4" w:space="0"/>
              <w:left w:val="single" w:color="000000" w:sz="4" w:space="0"/>
              <w:bottom w:val="single" w:color="000000" w:sz="4" w:space="0"/>
              <w:right w:val="single" w:color="000000" w:sz="4" w:space="0"/>
            </w:tcBorders>
            <w:vAlign w:val="center"/>
          </w:tcPr>
          <w:p w14:paraId="2F56804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需系统化管理事故案例、行业专家信息及法规政策、安全文件等资料，形成支撑港口管理、决策与学习的知识体系</w:t>
            </w:r>
          </w:p>
        </w:tc>
        <w:tc>
          <w:tcPr>
            <w:tcW w:w="459" w:type="pct"/>
            <w:tcBorders>
              <w:top w:val="single" w:color="000000" w:sz="4" w:space="0"/>
              <w:left w:val="single" w:color="000000" w:sz="4" w:space="0"/>
              <w:bottom w:val="single" w:color="000000" w:sz="4" w:space="0"/>
              <w:right w:val="single" w:color="000000" w:sz="4" w:space="0"/>
            </w:tcBorders>
            <w:vAlign w:val="center"/>
          </w:tcPr>
          <w:p w14:paraId="0F3F71B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DF7284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449590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10793E9">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1670" w:type="pct"/>
            <w:tcBorders>
              <w:top w:val="single" w:color="000000" w:sz="4" w:space="0"/>
              <w:left w:val="single" w:color="000000" w:sz="4" w:space="0"/>
              <w:bottom w:val="single" w:color="000000" w:sz="4" w:space="0"/>
              <w:right w:val="single" w:color="000000" w:sz="4" w:space="0"/>
            </w:tcBorders>
            <w:vAlign w:val="center"/>
          </w:tcPr>
          <w:p w14:paraId="70D94FB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应急搜救指挥</w:t>
            </w:r>
          </w:p>
        </w:tc>
        <w:tc>
          <w:tcPr>
            <w:tcW w:w="1792" w:type="pct"/>
            <w:tcBorders>
              <w:top w:val="single" w:color="000000" w:sz="4" w:space="0"/>
              <w:left w:val="single" w:color="000000" w:sz="4" w:space="0"/>
              <w:bottom w:val="single" w:color="000000" w:sz="4" w:space="0"/>
              <w:right w:val="single" w:color="000000" w:sz="4" w:space="0"/>
            </w:tcBorders>
            <w:vAlign w:val="center"/>
          </w:tcPr>
          <w:p w14:paraId="5BEE325E">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5AA0516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F15247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24AD0A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3CF7FF8">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10.1</w:t>
            </w:r>
          </w:p>
        </w:tc>
        <w:tc>
          <w:tcPr>
            <w:tcW w:w="1670" w:type="pct"/>
            <w:tcBorders>
              <w:top w:val="single" w:color="000000" w:sz="4" w:space="0"/>
              <w:left w:val="single" w:color="000000" w:sz="4" w:space="0"/>
              <w:bottom w:val="single" w:color="000000" w:sz="4" w:space="0"/>
              <w:right w:val="single" w:color="000000" w:sz="4" w:space="0"/>
            </w:tcBorders>
            <w:vAlign w:val="center"/>
          </w:tcPr>
          <w:p w14:paraId="735981C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资源管理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35280F6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需实现对应急装备、运输船舶、应急物资、应急基地及应急资料的数字化台账与全生命周期管理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0CF92B9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989A89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1FE53C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2C55311">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10.2</w:t>
            </w:r>
          </w:p>
        </w:tc>
        <w:tc>
          <w:tcPr>
            <w:tcW w:w="1670" w:type="pct"/>
            <w:tcBorders>
              <w:top w:val="single" w:color="000000" w:sz="4" w:space="0"/>
              <w:left w:val="single" w:color="000000" w:sz="4" w:space="0"/>
              <w:bottom w:val="single" w:color="000000" w:sz="4" w:space="0"/>
              <w:right w:val="single" w:color="000000" w:sz="4" w:space="0"/>
            </w:tcBorders>
            <w:vAlign w:val="center"/>
          </w:tcPr>
          <w:p w14:paraId="4332C88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事件管理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1F5193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需实现从险情智能提取、精准定位、多方核实、处置方案提供、动态评估、规范上报到事件统计与全流程归档的突发事件全链条数字化管理。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23326C4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511171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6691E4D">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92256EE">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10.3</w:t>
            </w:r>
          </w:p>
        </w:tc>
        <w:tc>
          <w:tcPr>
            <w:tcW w:w="1670" w:type="pct"/>
            <w:tcBorders>
              <w:top w:val="single" w:color="000000" w:sz="4" w:space="0"/>
              <w:left w:val="single" w:color="000000" w:sz="4" w:space="0"/>
              <w:bottom w:val="single" w:color="000000" w:sz="4" w:space="0"/>
              <w:right w:val="single" w:color="000000" w:sz="4" w:space="0"/>
            </w:tcBorders>
            <w:vAlign w:val="center"/>
          </w:tcPr>
          <w:p w14:paraId="0B14650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分析研判</w:t>
            </w:r>
          </w:p>
        </w:tc>
        <w:tc>
          <w:tcPr>
            <w:tcW w:w="1792" w:type="pct"/>
            <w:tcBorders>
              <w:top w:val="single" w:color="000000" w:sz="4" w:space="0"/>
              <w:left w:val="single" w:color="000000" w:sz="4" w:space="0"/>
              <w:bottom w:val="single" w:color="000000" w:sz="4" w:space="0"/>
              <w:right w:val="single" w:color="000000" w:sz="4" w:space="0"/>
            </w:tcBorders>
            <w:vAlign w:val="center"/>
          </w:tcPr>
          <w:p w14:paraId="5C51836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需实现事件相关多源信息的汇聚与可视化展示和分析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6C1F8B4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F73A64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9986D5E">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709ACEF">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10.4</w:t>
            </w:r>
          </w:p>
        </w:tc>
        <w:tc>
          <w:tcPr>
            <w:tcW w:w="1670" w:type="pct"/>
            <w:tcBorders>
              <w:top w:val="single" w:color="000000" w:sz="4" w:space="0"/>
              <w:left w:val="single" w:color="000000" w:sz="4" w:space="0"/>
              <w:bottom w:val="single" w:color="000000" w:sz="4" w:space="0"/>
              <w:right w:val="single" w:color="000000" w:sz="4" w:space="0"/>
            </w:tcBorders>
            <w:vAlign w:val="center"/>
          </w:tcPr>
          <w:p w14:paraId="5F0886A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辅助决策</w:t>
            </w:r>
          </w:p>
        </w:tc>
        <w:tc>
          <w:tcPr>
            <w:tcW w:w="1792" w:type="pct"/>
            <w:tcBorders>
              <w:top w:val="single" w:color="000000" w:sz="4" w:space="0"/>
              <w:left w:val="single" w:color="000000" w:sz="4" w:space="0"/>
              <w:bottom w:val="single" w:color="000000" w:sz="4" w:space="0"/>
              <w:right w:val="single" w:color="000000" w:sz="4" w:space="0"/>
            </w:tcBorders>
            <w:vAlign w:val="center"/>
          </w:tcPr>
          <w:p w14:paraId="3FB1701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需建设应急预案库并实现与险情特征的自动匹配</w:t>
            </w:r>
          </w:p>
        </w:tc>
        <w:tc>
          <w:tcPr>
            <w:tcW w:w="459" w:type="pct"/>
            <w:tcBorders>
              <w:top w:val="single" w:color="000000" w:sz="4" w:space="0"/>
              <w:left w:val="single" w:color="000000" w:sz="4" w:space="0"/>
              <w:bottom w:val="single" w:color="000000" w:sz="4" w:space="0"/>
              <w:right w:val="single" w:color="000000" w:sz="4" w:space="0"/>
            </w:tcBorders>
            <w:vAlign w:val="center"/>
          </w:tcPr>
          <w:p w14:paraId="6658A83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CA24A8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D12037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947F94F">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10.5</w:t>
            </w:r>
          </w:p>
        </w:tc>
        <w:tc>
          <w:tcPr>
            <w:tcW w:w="1670" w:type="pct"/>
            <w:tcBorders>
              <w:top w:val="single" w:color="000000" w:sz="4" w:space="0"/>
              <w:left w:val="single" w:color="000000" w:sz="4" w:space="0"/>
              <w:bottom w:val="single" w:color="000000" w:sz="4" w:space="0"/>
              <w:right w:val="single" w:color="000000" w:sz="4" w:space="0"/>
            </w:tcBorders>
            <w:vAlign w:val="center"/>
          </w:tcPr>
          <w:p w14:paraId="473976A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指挥调度</w:t>
            </w:r>
          </w:p>
        </w:tc>
        <w:tc>
          <w:tcPr>
            <w:tcW w:w="1792" w:type="pct"/>
            <w:tcBorders>
              <w:top w:val="single" w:color="000000" w:sz="4" w:space="0"/>
              <w:left w:val="single" w:color="000000" w:sz="4" w:space="0"/>
              <w:bottom w:val="single" w:color="000000" w:sz="4" w:space="0"/>
              <w:right w:val="single" w:color="000000" w:sz="4" w:space="0"/>
            </w:tcBorders>
            <w:vAlign w:val="center"/>
          </w:tcPr>
          <w:p w14:paraId="6AAD08F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需实现调度指令的自动生成与多渠道发布，整合各类通信终端实现融合通信调度</w:t>
            </w:r>
          </w:p>
        </w:tc>
        <w:tc>
          <w:tcPr>
            <w:tcW w:w="459" w:type="pct"/>
            <w:tcBorders>
              <w:top w:val="single" w:color="000000" w:sz="4" w:space="0"/>
              <w:left w:val="single" w:color="000000" w:sz="4" w:space="0"/>
              <w:bottom w:val="single" w:color="000000" w:sz="4" w:space="0"/>
              <w:right w:val="single" w:color="000000" w:sz="4" w:space="0"/>
            </w:tcBorders>
            <w:vAlign w:val="center"/>
          </w:tcPr>
          <w:p w14:paraId="5C88968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6C1F87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CC7F9A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AFEA276">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10.6</w:t>
            </w:r>
          </w:p>
        </w:tc>
        <w:tc>
          <w:tcPr>
            <w:tcW w:w="1670" w:type="pct"/>
            <w:tcBorders>
              <w:top w:val="single" w:color="000000" w:sz="4" w:space="0"/>
              <w:left w:val="single" w:color="000000" w:sz="4" w:space="0"/>
              <w:bottom w:val="single" w:color="000000" w:sz="4" w:space="0"/>
              <w:right w:val="single" w:color="000000" w:sz="4" w:space="0"/>
            </w:tcBorders>
            <w:vAlign w:val="center"/>
          </w:tcPr>
          <w:p w14:paraId="10D24D5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协同联动</w:t>
            </w:r>
          </w:p>
        </w:tc>
        <w:tc>
          <w:tcPr>
            <w:tcW w:w="1792" w:type="pct"/>
            <w:tcBorders>
              <w:top w:val="single" w:color="000000" w:sz="4" w:space="0"/>
              <w:left w:val="single" w:color="000000" w:sz="4" w:space="0"/>
              <w:bottom w:val="single" w:color="000000" w:sz="4" w:space="0"/>
              <w:right w:val="single" w:color="000000" w:sz="4" w:space="0"/>
            </w:tcBorders>
            <w:vAlign w:val="center"/>
          </w:tcPr>
          <w:p w14:paraId="1D02662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需实现航道上下游、干支流之间在信息共享与交通管制上的协同</w:t>
            </w:r>
          </w:p>
        </w:tc>
        <w:tc>
          <w:tcPr>
            <w:tcW w:w="459" w:type="pct"/>
            <w:tcBorders>
              <w:top w:val="single" w:color="000000" w:sz="4" w:space="0"/>
              <w:left w:val="single" w:color="000000" w:sz="4" w:space="0"/>
              <w:bottom w:val="single" w:color="000000" w:sz="4" w:space="0"/>
              <w:right w:val="single" w:color="000000" w:sz="4" w:space="0"/>
            </w:tcBorders>
            <w:vAlign w:val="center"/>
          </w:tcPr>
          <w:p w14:paraId="33CB5B9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F83E37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4F1218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FAD886F">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10.7</w:t>
            </w:r>
          </w:p>
        </w:tc>
        <w:tc>
          <w:tcPr>
            <w:tcW w:w="1670" w:type="pct"/>
            <w:tcBorders>
              <w:top w:val="single" w:color="000000" w:sz="4" w:space="0"/>
              <w:left w:val="single" w:color="000000" w:sz="4" w:space="0"/>
              <w:bottom w:val="single" w:color="000000" w:sz="4" w:space="0"/>
              <w:right w:val="single" w:color="000000" w:sz="4" w:space="0"/>
            </w:tcBorders>
            <w:vAlign w:val="center"/>
          </w:tcPr>
          <w:p w14:paraId="6C7721E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应急处置</w:t>
            </w:r>
          </w:p>
        </w:tc>
        <w:tc>
          <w:tcPr>
            <w:tcW w:w="1792" w:type="pct"/>
            <w:tcBorders>
              <w:top w:val="single" w:color="000000" w:sz="4" w:space="0"/>
              <w:left w:val="single" w:color="000000" w:sz="4" w:space="0"/>
              <w:bottom w:val="single" w:color="000000" w:sz="4" w:space="0"/>
              <w:right w:val="single" w:color="000000" w:sz="4" w:space="0"/>
            </w:tcBorders>
            <w:vAlign w:val="center"/>
          </w:tcPr>
          <w:p w14:paraId="54A0CE4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需自动记录应急处置全过程的各类数据，并支持对处置过程进行多维度回放与细节分析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5FB98252">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1C1771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836A49F">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B888BA6">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10.8</w:t>
            </w:r>
          </w:p>
        </w:tc>
        <w:tc>
          <w:tcPr>
            <w:tcW w:w="1670" w:type="pct"/>
            <w:tcBorders>
              <w:top w:val="single" w:color="000000" w:sz="4" w:space="0"/>
              <w:left w:val="single" w:color="000000" w:sz="4" w:space="0"/>
              <w:bottom w:val="single" w:color="000000" w:sz="4" w:space="0"/>
              <w:right w:val="single" w:color="000000" w:sz="4" w:space="0"/>
            </w:tcBorders>
            <w:vAlign w:val="center"/>
          </w:tcPr>
          <w:p w14:paraId="4536472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综合评价</w:t>
            </w:r>
          </w:p>
        </w:tc>
        <w:tc>
          <w:tcPr>
            <w:tcW w:w="1792" w:type="pct"/>
            <w:tcBorders>
              <w:top w:val="single" w:color="000000" w:sz="4" w:space="0"/>
              <w:left w:val="single" w:color="000000" w:sz="4" w:space="0"/>
              <w:bottom w:val="single" w:color="000000" w:sz="4" w:space="0"/>
              <w:right w:val="single" w:color="000000" w:sz="4" w:space="0"/>
            </w:tcBorders>
            <w:vAlign w:val="center"/>
          </w:tcPr>
          <w:p w14:paraId="1D52BF3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需建立覆盖应急处置程序选取、应急响应启动、处置方案可行性及有效性的多维度评估模型</w:t>
            </w:r>
          </w:p>
        </w:tc>
        <w:tc>
          <w:tcPr>
            <w:tcW w:w="459" w:type="pct"/>
            <w:tcBorders>
              <w:top w:val="single" w:color="000000" w:sz="4" w:space="0"/>
              <w:left w:val="single" w:color="000000" w:sz="4" w:space="0"/>
              <w:bottom w:val="single" w:color="000000" w:sz="4" w:space="0"/>
              <w:right w:val="single" w:color="000000" w:sz="4" w:space="0"/>
            </w:tcBorders>
            <w:vAlign w:val="center"/>
          </w:tcPr>
          <w:p w14:paraId="7851B61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DA1F59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90E716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CA98A04">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1670" w:type="pct"/>
            <w:tcBorders>
              <w:top w:val="single" w:color="000000" w:sz="4" w:space="0"/>
              <w:left w:val="single" w:color="000000" w:sz="4" w:space="0"/>
              <w:bottom w:val="single" w:color="000000" w:sz="4" w:space="0"/>
              <w:right w:val="single" w:color="000000" w:sz="4" w:space="0"/>
            </w:tcBorders>
            <w:vAlign w:val="center"/>
          </w:tcPr>
          <w:p w14:paraId="2AD0E99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对外信息服务</w:t>
            </w:r>
          </w:p>
        </w:tc>
        <w:tc>
          <w:tcPr>
            <w:tcW w:w="1792" w:type="pct"/>
            <w:tcBorders>
              <w:top w:val="single" w:color="000000" w:sz="4" w:space="0"/>
              <w:left w:val="single" w:color="000000" w:sz="4" w:space="0"/>
              <w:bottom w:val="single" w:color="000000" w:sz="4" w:space="0"/>
              <w:right w:val="single" w:color="000000" w:sz="4" w:space="0"/>
            </w:tcBorders>
            <w:vAlign w:val="center"/>
          </w:tcPr>
          <w:p w14:paraId="238EFB16">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03EECBB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CA5586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7542C7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5D30B5B">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11.1</w:t>
            </w:r>
          </w:p>
        </w:tc>
        <w:tc>
          <w:tcPr>
            <w:tcW w:w="1670" w:type="pct"/>
            <w:tcBorders>
              <w:top w:val="single" w:color="000000" w:sz="4" w:space="0"/>
              <w:left w:val="single" w:color="000000" w:sz="4" w:space="0"/>
              <w:bottom w:val="single" w:color="000000" w:sz="4" w:space="0"/>
              <w:right w:val="single" w:color="000000" w:sz="4" w:space="0"/>
            </w:tcBorders>
            <w:vAlign w:val="center"/>
          </w:tcPr>
          <w:p w14:paraId="18CBA1C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门户网站</w:t>
            </w:r>
          </w:p>
        </w:tc>
        <w:tc>
          <w:tcPr>
            <w:tcW w:w="1792" w:type="pct"/>
            <w:tcBorders>
              <w:top w:val="single" w:color="000000" w:sz="4" w:space="0"/>
              <w:left w:val="single" w:color="000000" w:sz="4" w:space="0"/>
              <w:bottom w:val="single" w:color="000000" w:sz="4" w:space="0"/>
              <w:right w:val="single" w:color="000000" w:sz="4" w:space="0"/>
            </w:tcBorders>
            <w:vAlign w:val="center"/>
          </w:tcPr>
          <w:p w14:paraId="3BCE31D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需建设一体化服务平台</w:t>
            </w:r>
          </w:p>
        </w:tc>
        <w:tc>
          <w:tcPr>
            <w:tcW w:w="459" w:type="pct"/>
            <w:tcBorders>
              <w:top w:val="single" w:color="000000" w:sz="4" w:space="0"/>
              <w:left w:val="single" w:color="000000" w:sz="4" w:space="0"/>
              <w:bottom w:val="single" w:color="000000" w:sz="4" w:space="0"/>
              <w:right w:val="single" w:color="000000" w:sz="4" w:space="0"/>
            </w:tcBorders>
            <w:vAlign w:val="center"/>
          </w:tcPr>
          <w:p w14:paraId="0E75563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07C56B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B4F995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89262FC">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11.2</w:t>
            </w:r>
          </w:p>
        </w:tc>
        <w:tc>
          <w:tcPr>
            <w:tcW w:w="1670" w:type="pct"/>
            <w:tcBorders>
              <w:top w:val="single" w:color="000000" w:sz="4" w:space="0"/>
              <w:left w:val="single" w:color="000000" w:sz="4" w:space="0"/>
              <w:bottom w:val="single" w:color="000000" w:sz="4" w:space="0"/>
              <w:right w:val="single" w:color="000000" w:sz="4" w:space="0"/>
            </w:tcBorders>
            <w:vAlign w:val="center"/>
          </w:tcPr>
          <w:p w14:paraId="496B60E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微信公众号</w:t>
            </w:r>
          </w:p>
        </w:tc>
        <w:tc>
          <w:tcPr>
            <w:tcW w:w="1792" w:type="pct"/>
            <w:tcBorders>
              <w:top w:val="single" w:color="000000" w:sz="4" w:space="0"/>
              <w:left w:val="single" w:color="000000" w:sz="4" w:space="0"/>
              <w:bottom w:val="single" w:color="000000" w:sz="4" w:space="0"/>
              <w:right w:val="single" w:color="000000" w:sz="4" w:space="0"/>
            </w:tcBorders>
            <w:vAlign w:val="center"/>
          </w:tcPr>
          <w:p w14:paraId="084F00C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需通过公众号实现航道水深、净空高度、航标配布等信息的显示与查询浏览</w:t>
            </w:r>
          </w:p>
        </w:tc>
        <w:tc>
          <w:tcPr>
            <w:tcW w:w="459" w:type="pct"/>
            <w:tcBorders>
              <w:top w:val="single" w:color="000000" w:sz="4" w:space="0"/>
              <w:left w:val="single" w:color="000000" w:sz="4" w:space="0"/>
              <w:bottom w:val="single" w:color="000000" w:sz="4" w:space="0"/>
              <w:right w:val="single" w:color="000000" w:sz="4" w:space="0"/>
            </w:tcBorders>
            <w:vAlign w:val="center"/>
          </w:tcPr>
          <w:p w14:paraId="65E0466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BB8F4B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6992265">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D94196E">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11.3</w:t>
            </w:r>
          </w:p>
        </w:tc>
        <w:tc>
          <w:tcPr>
            <w:tcW w:w="1670" w:type="pct"/>
            <w:tcBorders>
              <w:top w:val="single" w:color="000000" w:sz="4" w:space="0"/>
              <w:left w:val="single" w:color="000000" w:sz="4" w:space="0"/>
              <w:bottom w:val="single" w:color="000000" w:sz="4" w:space="0"/>
              <w:right w:val="single" w:color="000000" w:sz="4" w:space="0"/>
            </w:tcBorders>
            <w:vAlign w:val="center"/>
          </w:tcPr>
          <w:p w14:paraId="0B2FFC8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对外服务APP</w:t>
            </w:r>
          </w:p>
        </w:tc>
        <w:tc>
          <w:tcPr>
            <w:tcW w:w="1792" w:type="pct"/>
            <w:tcBorders>
              <w:top w:val="single" w:color="000000" w:sz="4" w:space="0"/>
              <w:left w:val="single" w:color="000000" w:sz="4" w:space="0"/>
              <w:bottom w:val="single" w:color="000000" w:sz="4" w:space="0"/>
              <w:right w:val="single" w:color="000000" w:sz="4" w:space="0"/>
            </w:tcBorders>
            <w:vAlign w:val="center"/>
          </w:tcPr>
          <w:p w14:paraId="5FEBC9F4">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需为用户提供通航环境信息、电子航道图助航、船舶航行状态查询、视频查看、航道监管、消息提醒、用户反馈、船闸联合调度及水上智慧服务区在线服务等移动端一站式服务。</w:t>
            </w:r>
          </w:p>
        </w:tc>
        <w:tc>
          <w:tcPr>
            <w:tcW w:w="459" w:type="pct"/>
            <w:tcBorders>
              <w:top w:val="single" w:color="000000" w:sz="4" w:space="0"/>
              <w:left w:val="single" w:color="000000" w:sz="4" w:space="0"/>
              <w:bottom w:val="single" w:color="000000" w:sz="4" w:space="0"/>
              <w:right w:val="single" w:color="000000" w:sz="4" w:space="0"/>
            </w:tcBorders>
            <w:vAlign w:val="center"/>
          </w:tcPr>
          <w:p w14:paraId="4937AB2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7C7C1A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78E7A4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1CEC961">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1670" w:type="pct"/>
            <w:tcBorders>
              <w:top w:val="single" w:color="000000" w:sz="4" w:space="0"/>
              <w:left w:val="single" w:color="000000" w:sz="4" w:space="0"/>
              <w:bottom w:val="single" w:color="000000" w:sz="4" w:space="0"/>
              <w:right w:val="single" w:color="000000" w:sz="4" w:space="0"/>
            </w:tcBorders>
            <w:vAlign w:val="center"/>
          </w:tcPr>
          <w:p w14:paraId="5D93DBE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智慧一张图</w:t>
            </w:r>
          </w:p>
        </w:tc>
        <w:tc>
          <w:tcPr>
            <w:tcW w:w="1792" w:type="pct"/>
            <w:tcBorders>
              <w:top w:val="single" w:color="000000" w:sz="4" w:space="0"/>
              <w:left w:val="single" w:color="000000" w:sz="4" w:space="0"/>
              <w:bottom w:val="single" w:color="000000" w:sz="4" w:space="0"/>
              <w:right w:val="single" w:color="000000" w:sz="4" w:space="0"/>
            </w:tcBorders>
            <w:vAlign w:val="center"/>
          </w:tcPr>
          <w:p w14:paraId="4F2171F4">
            <w:pPr>
              <w:pStyle w:val="8"/>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31F1472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AD85A1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BAEECC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EA0E3E8">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12.1</w:t>
            </w:r>
          </w:p>
        </w:tc>
        <w:tc>
          <w:tcPr>
            <w:tcW w:w="1670" w:type="pct"/>
            <w:tcBorders>
              <w:top w:val="single" w:color="000000" w:sz="4" w:space="0"/>
              <w:left w:val="single" w:color="000000" w:sz="4" w:space="0"/>
              <w:bottom w:val="single" w:color="000000" w:sz="4" w:space="0"/>
              <w:right w:val="single" w:color="000000" w:sz="4" w:space="0"/>
            </w:tcBorders>
            <w:vAlign w:val="center"/>
          </w:tcPr>
          <w:p w14:paraId="4F6279DE">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基础设施展示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04B4406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需在电子航道图底图上整合展示航段、水库、跨河桥梁、水上服务区等基础设施的全要素属性信息</w:t>
            </w:r>
          </w:p>
        </w:tc>
        <w:tc>
          <w:tcPr>
            <w:tcW w:w="459" w:type="pct"/>
            <w:tcBorders>
              <w:top w:val="single" w:color="000000" w:sz="4" w:space="0"/>
              <w:left w:val="single" w:color="000000" w:sz="4" w:space="0"/>
              <w:bottom w:val="single" w:color="000000" w:sz="4" w:space="0"/>
              <w:right w:val="single" w:color="000000" w:sz="4" w:space="0"/>
            </w:tcBorders>
            <w:vAlign w:val="center"/>
          </w:tcPr>
          <w:p w14:paraId="26EFA56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45FECC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8191F4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A6F0562">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12.2</w:t>
            </w:r>
          </w:p>
        </w:tc>
        <w:tc>
          <w:tcPr>
            <w:tcW w:w="1670" w:type="pct"/>
            <w:tcBorders>
              <w:top w:val="single" w:color="000000" w:sz="4" w:space="0"/>
              <w:left w:val="single" w:color="000000" w:sz="4" w:space="0"/>
              <w:bottom w:val="single" w:color="000000" w:sz="4" w:space="0"/>
              <w:right w:val="single" w:color="000000" w:sz="4" w:space="0"/>
            </w:tcBorders>
            <w:vAlign w:val="center"/>
          </w:tcPr>
          <w:p w14:paraId="12B570C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船舶运行监测信息展示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1C4C1393">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需在电子航道图上集成展示船舶动态轨迹、通航要素、气象水文预警及交通流量统计等实时数据</w:t>
            </w:r>
          </w:p>
        </w:tc>
        <w:tc>
          <w:tcPr>
            <w:tcW w:w="459" w:type="pct"/>
            <w:tcBorders>
              <w:top w:val="single" w:color="000000" w:sz="4" w:space="0"/>
              <w:left w:val="single" w:color="000000" w:sz="4" w:space="0"/>
              <w:bottom w:val="single" w:color="000000" w:sz="4" w:space="0"/>
              <w:right w:val="single" w:color="000000" w:sz="4" w:space="0"/>
            </w:tcBorders>
            <w:vAlign w:val="center"/>
          </w:tcPr>
          <w:p w14:paraId="6480E1C6">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5FA9E43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682CE7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333820F">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12.3</w:t>
            </w:r>
          </w:p>
        </w:tc>
        <w:tc>
          <w:tcPr>
            <w:tcW w:w="1670" w:type="pct"/>
            <w:tcBorders>
              <w:top w:val="single" w:color="000000" w:sz="4" w:space="0"/>
              <w:left w:val="single" w:color="000000" w:sz="4" w:space="0"/>
              <w:bottom w:val="single" w:color="000000" w:sz="4" w:space="0"/>
              <w:right w:val="single" w:color="000000" w:sz="4" w:space="0"/>
            </w:tcBorders>
            <w:vAlign w:val="center"/>
          </w:tcPr>
          <w:p w14:paraId="4DA6B9F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航道运行监测信息展示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1A32FB6C">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需在电子航道图上集中展示航道水深、航标状态、船闸调度等通航要素实时数据及应急资源分布情况</w:t>
            </w:r>
          </w:p>
        </w:tc>
        <w:tc>
          <w:tcPr>
            <w:tcW w:w="459" w:type="pct"/>
            <w:tcBorders>
              <w:top w:val="single" w:color="000000" w:sz="4" w:space="0"/>
              <w:left w:val="single" w:color="000000" w:sz="4" w:space="0"/>
              <w:bottom w:val="single" w:color="000000" w:sz="4" w:space="0"/>
              <w:right w:val="single" w:color="000000" w:sz="4" w:space="0"/>
            </w:tcBorders>
            <w:vAlign w:val="center"/>
          </w:tcPr>
          <w:p w14:paraId="172DA39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506718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7657BD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2B3BE23">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12.4</w:t>
            </w:r>
          </w:p>
        </w:tc>
        <w:tc>
          <w:tcPr>
            <w:tcW w:w="1670" w:type="pct"/>
            <w:tcBorders>
              <w:top w:val="single" w:color="000000" w:sz="4" w:space="0"/>
              <w:left w:val="single" w:color="000000" w:sz="4" w:space="0"/>
              <w:bottom w:val="single" w:color="000000" w:sz="4" w:space="0"/>
              <w:right w:val="single" w:color="000000" w:sz="4" w:space="0"/>
            </w:tcBorders>
            <w:vAlign w:val="center"/>
          </w:tcPr>
          <w:p w14:paraId="5DBEB4B9">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航道养护信息展示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7DC80B7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需以电子地图为载体，集成展示养护工程进度、设备设施状态、水文监测数据、物资储备、历史养护记录及各类风险隐患信息</w:t>
            </w:r>
          </w:p>
        </w:tc>
        <w:tc>
          <w:tcPr>
            <w:tcW w:w="459" w:type="pct"/>
            <w:tcBorders>
              <w:top w:val="single" w:color="000000" w:sz="4" w:space="0"/>
              <w:left w:val="single" w:color="000000" w:sz="4" w:space="0"/>
              <w:bottom w:val="single" w:color="000000" w:sz="4" w:space="0"/>
              <w:right w:val="single" w:color="000000" w:sz="4" w:space="0"/>
            </w:tcBorders>
            <w:vAlign w:val="center"/>
          </w:tcPr>
          <w:p w14:paraId="152170AB">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1A47C1A">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9CE8A0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017D512">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12.5</w:t>
            </w:r>
          </w:p>
        </w:tc>
        <w:tc>
          <w:tcPr>
            <w:tcW w:w="1670" w:type="pct"/>
            <w:tcBorders>
              <w:top w:val="single" w:color="000000" w:sz="4" w:space="0"/>
              <w:left w:val="single" w:color="000000" w:sz="4" w:space="0"/>
              <w:bottom w:val="single" w:color="000000" w:sz="4" w:space="0"/>
              <w:right w:val="single" w:color="000000" w:sz="4" w:space="0"/>
            </w:tcBorders>
            <w:vAlign w:val="center"/>
          </w:tcPr>
          <w:p w14:paraId="454AF7F5">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巡航预警信息展示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028C3D31">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需整合航道实时视频、船舶异常行为、航标故障、水位超限、气象灾害等预警数据，在电子地图上实现风险点的智能标注、预警等级可视化及处置流程联动展示。</w:t>
            </w:r>
          </w:p>
        </w:tc>
        <w:tc>
          <w:tcPr>
            <w:tcW w:w="459" w:type="pct"/>
            <w:tcBorders>
              <w:top w:val="single" w:color="000000" w:sz="4" w:space="0"/>
              <w:left w:val="single" w:color="000000" w:sz="4" w:space="0"/>
              <w:bottom w:val="single" w:color="000000" w:sz="4" w:space="0"/>
              <w:right w:val="single" w:color="000000" w:sz="4" w:space="0"/>
            </w:tcBorders>
            <w:vAlign w:val="center"/>
          </w:tcPr>
          <w:p w14:paraId="646107CF">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12EF558">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905131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40C4AF0">
            <w:pPr>
              <w:pStyle w:val="8"/>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12.6</w:t>
            </w:r>
          </w:p>
        </w:tc>
        <w:tc>
          <w:tcPr>
            <w:tcW w:w="1670" w:type="pct"/>
            <w:tcBorders>
              <w:top w:val="single" w:color="000000" w:sz="4" w:space="0"/>
              <w:left w:val="single" w:color="000000" w:sz="4" w:space="0"/>
              <w:bottom w:val="single" w:color="000000" w:sz="4" w:space="0"/>
              <w:right w:val="single" w:color="000000" w:sz="4" w:space="0"/>
            </w:tcBorders>
            <w:vAlign w:val="center"/>
          </w:tcPr>
          <w:p w14:paraId="433A00A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应急物资展示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0259AD0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需以地理信息系统为载体，集成展示应急物资储备点位置、类型、库存量、调拨路线、责任人及联动应急装备实时状态等信息，实现应急资源的可视化管理与快速调度。</w:t>
            </w:r>
          </w:p>
        </w:tc>
        <w:tc>
          <w:tcPr>
            <w:tcW w:w="459" w:type="pct"/>
            <w:tcBorders>
              <w:top w:val="single" w:color="000000" w:sz="4" w:space="0"/>
              <w:left w:val="single" w:color="000000" w:sz="4" w:space="0"/>
              <w:bottom w:val="single" w:color="000000" w:sz="4" w:space="0"/>
              <w:right w:val="single" w:color="000000" w:sz="4" w:space="0"/>
            </w:tcBorders>
            <w:vAlign w:val="center"/>
          </w:tcPr>
          <w:p w14:paraId="4E5AAD7D">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534D4070">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bookmarkEnd w:id="87"/>
    </w:tbl>
    <w:p w14:paraId="6AAEFC57">
      <w:pPr>
        <w:pStyle w:val="8"/>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注：1、“包”为最小合同单位（最小投标单位）。每“包”内容应细化到“品目”（如果分品目的）。</w:t>
      </w:r>
    </w:p>
    <w:p w14:paraId="48BF279E">
      <w:pPr>
        <w:pStyle w:val="8"/>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2、投标人必须对一个完整、独立的包进行投标，不得仅对一个包中的部分品目投标，否则</w:t>
      </w:r>
      <w:r>
        <w:rPr>
          <w:rFonts w:hint="eastAsia" w:ascii="宋体" w:hAnsi="宋体"/>
          <w:b/>
          <w:color w:val="auto"/>
          <w:szCs w:val="21"/>
          <w:highlight w:val="none"/>
        </w:rPr>
        <w:t>投标无效。</w:t>
      </w:r>
    </w:p>
    <w:p w14:paraId="4031714C">
      <w:pPr>
        <w:pStyle w:val="8"/>
        <w:adjustRightInd w:val="0"/>
        <w:snapToGrid w:val="0"/>
        <w:spacing w:before="120" w:beforeLines="50" w:line="360" w:lineRule="auto"/>
        <w:ind w:firstLine="420" w:firstLineChars="200"/>
        <w:rPr>
          <w:rFonts w:ascii="宋体" w:hAnsi="宋体" w:cs="宋体"/>
          <w:color w:val="auto"/>
          <w:kern w:val="0"/>
          <w:szCs w:val="21"/>
          <w:highlight w:val="none"/>
        </w:rPr>
      </w:pPr>
    </w:p>
    <w:p w14:paraId="519F7034">
      <w:pPr>
        <w:keepNext/>
        <w:keepLines/>
        <w:numPr>
          <w:ilvl w:val="1"/>
          <w:numId w:val="0"/>
        </w:numPr>
        <w:spacing w:before="260" w:after="260" w:line="413" w:lineRule="auto"/>
        <w:jc w:val="center"/>
        <w:outlineLvl w:val="1"/>
        <w:rPr>
          <w:rFonts w:ascii="Arial" w:hAnsi="Arial" w:cs="Times New Roman"/>
          <w:b/>
          <w:bCs/>
          <w:color w:val="auto"/>
          <w:sz w:val="28"/>
          <w:szCs w:val="32"/>
          <w:highlight w:val="none"/>
        </w:rPr>
      </w:pPr>
      <w:bookmarkStart w:id="88" w:name="_Toc31540"/>
      <w:r>
        <w:rPr>
          <w:rFonts w:hint="eastAsia" w:ascii="Arial" w:hAnsi="Arial" w:cs="Times New Roman"/>
          <w:b/>
          <w:bCs/>
          <w:color w:val="auto"/>
          <w:sz w:val="28"/>
          <w:szCs w:val="32"/>
          <w:highlight w:val="none"/>
        </w:rPr>
        <w:t>第二节 技术要求</w:t>
      </w:r>
      <w:bookmarkEnd w:id="88"/>
    </w:p>
    <w:p w14:paraId="7D0B713F">
      <w:pPr>
        <w:keepNext/>
        <w:keepLines/>
        <w:spacing w:line="460" w:lineRule="exact"/>
        <w:outlineLvl w:val="2"/>
        <w:rPr>
          <w:rFonts w:ascii="Arial" w:hAnsi="Arial" w:cs="Times New Roman"/>
          <w:b/>
          <w:bCs/>
          <w:color w:val="auto"/>
          <w:sz w:val="24"/>
          <w:highlight w:val="none"/>
        </w:rPr>
      </w:pPr>
      <w:bookmarkStart w:id="89" w:name="_Toc32548"/>
      <w:bookmarkStart w:id="90" w:name="_Toc90"/>
      <w:r>
        <w:rPr>
          <w:rFonts w:hint="eastAsia" w:ascii="Arial" w:hAnsi="Arial" w:cs="Times New Roman"/>
          <w:b/>
          <w:bCs/>
          <w:color w:val="auto"/>
          <w:sz w:val="24"/>
          <w:highlight w:val="none"/>
        </w:rPr>
        <w:t>一、项目基本情况</w:t>
      </w:r>
    </w:p>
    <w:p w14:paraId="4101A1E6">
      <w:pPr>
        <w:adjustRightInd w:val="0"/>
        <w:snapToGrid w:val="0"/>
        <w:spacing w:line="460" w:lineRule="exact"/>
        <w:rPr>
          <w:rFonts w:cs="Times New Roman"/>
          <w:color w:val="auto"/>
          <w:szCs w:val="21"/>
          <w:highlight w:val="none"/>
        </w:rPr>
      </w:pPr>
      <w:r>
        <w:rPr>
          <w:rFonts w:hint="eastAsia" w:cs="Times New Roman"/>
          <w:b/>
          <w:color w:val="auto"/>
          <w:szCs w:val="21"/>
          <w:highlight w:val="none"/>
        </w:rPr>
        <w:t>1.项目编号：</w:t>
      </w:r>
      <w:r>
        <w:rPr>
          <w:rFonts w:hint="eastAsia" w:cs="Times New Roman"/>
          <w:color w:val="auto"/>
          <w:szCs w:val="21"/>
          <w:highlight w:val="none"/>
        </w:rPr>
        <w:t xml:space="preserve">政府采购编号： 详见招标公告 </w:t>
      </w:r>
    </w:p>
    <w:p w14:paraId="793A1AA5">
      <w:pPr>
        <w:adjustRightInd w:val="0"/>
        <w:snapToGrid w:val="0"/>
        <w:spacing w:before="120" w:beforeLines="50" w:line="360" w:lineRule="auto"/>
        <w:rPr>
          <w:rFonts w:hint="eastAsia" w:eastAsia="宋体" w:cs="Times New Roman"/>
          <w:color w:val="auto"/>
          <w:szCs w:val="21"/>
          <w:highlight w:val="none"/>
          <w:lang w:eastAsia="zh-CN"/>
        </w:rPr>
      </w:pPr>
      <w:r>
        <w:rPr>
          <w:rFonts w:hint="eastAsia" w:cs="Arial"/>
          <w:b/>
          <w:color w:val="auto"/>
          <w:szCs w:val="21"/>
          <w:highlight w:val="none"/>
        </w:rPr>
        <w:t>2.项目名称：</w:t>
      </w:r>
      <w:r>
        <w:rPr>
          <w:rFonts w:hint="eastAsia" w:cs="Arial"/>
          <w:bCs/>
          <w:color w:val="auto"/>
          <w:szCs w:val="21"/>
          <w:highlight w:val="none"/>
          <w:lang w:eastAsia="zh-CN"/>
        </w:rPr>
        <w:t>河南省交通运输调度指挥中心河南省智慧交通服务云平台-地理信息平台与内河航运综合监管项目</w:t>
      </w:r>
    </w:p>
    <w:p w14:paraId="7008C342">
      <w:pPr>
        <w:spacing w:line="360" w:lineRule="auto"/>
        <w:rPr>
          <w:rFonts w:cs="Arial"/>
          <w:color w:val="auto"/>
          <w:szCs w:val="21"/>
          <w:highlight w:val="none"/>
        </w:rPr>
      </w:pPr>
      <w:r>
        <w:rPr>
          <w:rFonts w:hint="eastAsia" w:cs="Arial"/>
          <w:b/>
          <w:color w:val="auto"/>
          <w:szCs w:val="21"/>
          <w:highlight w:val="none"/>
        </w:rPr>
        <w:t>3.</w:t>
      </w:r>
      <w:r>
        <w:rPr>
          <w:rFonts w:hint="eastAsia" w:cs="Arial"/>
          <w:b/>
          <w:color w:val="auto"/>
          <w:szCs w:val="21"/>
          <w:highlight w:val="none"/>
          <w:lang w:val="en-US" w:eastAsia="zh-CN"/>
        </w:rPr>
        <w:t>服务期限</w:t>
      </w:r>
      <w:r>
        <w:rPr>
          <w:rFonts w:hint="eastAsia" w:cs="Arial"/>
          <w:b/>
          <w:color w:val="auto"/>
          <w:szCs w:val="21"/>
          <w:highlight w:val="none"/>
        </w:rPr>
        <w:t>：</w:t>
      </w:r>
      <w:r>
        <w:rPr>
          <w:rFonts w:hint="eastAsia" w:ascii="宋体" w:hAnsi="宋体" w:eastAsia="宋体" w:cs="宋体"/>
          <w:color w:val="auto"/>
          <w:kern w:val="0"/>
          <w:sz w:val="21"/>
          <w:szCs w:val="21"/>
          <w:highlight w:val="none"/>
          <w:shd w:val="clear" w:color="auto" w:fill="FFFFFF"/>
          <w:lang w:val="en-US" w:eastAsia="zh-CN" w:bidi="ar"/>
        </w:rPr>
        <w:t>电子航道图生产及系统部署不超过6个月，其他系统开发工作不超过14个月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330D7053">
      <w:pPr>
        <w:adjustRightInd w:val="0"/>
        <w:snapToGrid w:val="0"/>
        <w:spacing w:line="360" w:lineRule="auto"/>
        <w:rPr>
          <w:rFonts w:cs="Times New Roman"/>
          <w:color w:val="auto"/>
          <w:szCs w:val="21"/>
          <w:highlight w:val="none"/>
        </w:rPr>
      </w:pPr>
      <w:r>
        <w:rPr>
          <w:rFonts w:hint="eastAsia" w:cs="Arial"/>
          <w:b/>
          <w:color w:val="auto"/>
          <w:szCs w:val="21"/>
          <w:highlight w:val="none"/>
        </w:rPr>
        <w:t>4.预算金额：</w:t>
      </w:r>
      <w:r>
        <w:rPr>
          <w:rFonts w:hint="eastAsia" w:cs="Arial"/>
          <w:bCs/>
          <w:color w:val="auto"/>
          <w:szCs w:val="21"/>
          <w:highlight w:val="none"/>
        </w:rPr>
        <w:t>16571000.00</w:t>
      </w:r>
      <w:r>
        <w:rPr>
          <w:rFonts w:hint="eastAsia" w:cs="Times New Roman"/>
          <w:color w:val="auto"/>
          <w:szCs w:val="21"/>
          <w:highlight w:val="none"/>
        </w:rPr>
        <w:t>元，最高限价：16571000.00元，分项汇总限价表如下：</w:t>
      </w:r>
    </w:p>
    <w:p w14:paraId="553911E6">
      <w:pPr>
        <w:adjustRightInd w:val="0"/>
        <w:snapToGrid w:val="0"/>
        <w:spacing w:line="360" w:lineRule="auto"/>
        <w:jc w:val="center"/>
        <w:rPr>
          <w:rFonts w:cs="Times New Roman"/>
          <w:b/>
          <w:bCs/>
          <w:color w:val="auto"/>
          <w:szCs w:val="21"/>
          <w:highlight w:val="none"/>
        </w:rPr>
      </w:pPr>
      <w:r>
        <w:rPr>
          <w:rFonts w:hint="eastAsia" w:cs="Times New Roman"/>
          <w:b/>
          <w:bCs/>
          <w:color w:val="auto"/>
          <w:szCs w:val="21"/>
          <w:highlight w:val="none"/>
        </w:rPr>
        <w:t>分项汇总限价表</w:t>
      </w:r>
    </w:p>
    <w:tbl>
      <w:tblPr>
        <w:tblStyle w:val="4"/>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936"/>
        <w:gridCol w:w="2345"/>
      </w:tblGrid>
      <w:tr w14:paraId="11B9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7C28CA8">
            <w:pPr>
              <w:widowControl/>
              <w:spacing w:after="156" w:line="360" w:lineRule="auto"/>
              <w:jc w:val="center"/>
              <w:textAlignment w:val="center"/>
              <w:rPr>
                <w:rFonts w:cs="Times New Roman"/>
                <w:color w:val="auto"/>
                <w:szCs w:val="21"/>
                <w:highlight w:val="none"/>
                <w:lang w:val="zh-CN"/>
              </w:rPr>
            </w:pPr>
            <w:r>
              <w:rPr>
                <w:rFonts w:hint="eastAsia" w:cs="Times New Roman"/>
                <w:b/>
                <w:bCs/>
                <w:color w:val="auto"/>
                <w:szCs w:val="21"/>
                <w:highlight w:val="none"/>
              </w:rPr>
              <w:t>序号</w:t>
            </w:r>
          </w:p>
        </w:tc>
        <w:tc>
          <w:tcPr>
            <w:tcW w:w="4936" w:type="dxa"/>
            <w:tcBorders>
              <w:top w:val="single" w:color="auto" w:sz="4" w:space="0"/>
              <w:left w:val="single" w:color="auto" w:sz="4" w:space="0"/>
              <w:bottom w:val="single" w:color="auto" w:sz="4" w:space="0"/>
              <w:right w:val="single" w:color="auto" w:sz="4" w:space="0"/>
            </w:tcBorders>
            <w:vAlign w:val="center"/>
          </w:tcPr>
          <w:p w14:paraId="60CD1FE0">
            <w:pPr>
              <w:widowControl/>
              <w:spacing w:after="156" w:line="360" w:lineRule="auto"/>
              <w:jc w:val="center"/>
              <w:textAlignment w:val="center"/>
              <w:rPr>
                <w:rFonts w:cs="Times New Roman"/>
                <w:color w:val="auto"/>
                <w:szCs w:val="21"/>
                <w:highlight w:val="none"/>
                <w:lang w:val="zh-CN"/>
              </w:rPr>
            </w:pPr>
            <w:r>
              <w:rPr>
                <w:rFonts w:hint="eastAsia" w:cs="Times New Roman"/>
                <w:b/>
                <w:bCs/>
                <w:color w:val="auto"/>
                <w:szCs w:val="21"/>
                <w:highlight w:val="none"/>
              </w:rPr>
              <w:t>名称及类别</w:t>
            </w:r>
          </w:p>
        </w:tc>
        <w:tc>
          <w:tcPr>
            <w:tcW w:w="2345" w:type="dxa"/>
            <w:tcBorders>
              <w:top w:val="single" w:color="auto" w:sz="4" w:space="0"/>
              <w:left w:val="single" w:color="auto" w:sz="4" w:space="0"/>
              <w:bottom w:val="single" w:color="auto" w:sz="4" w:space="0"/>
              <w:right w:val="single" w:color="auto" w:sz="4" w:space="0"/>
            </w:tcBorders>
            <w:vAlign w:val="center"/>
          </w:tcPr>
          <w:p w14:paraId="30C6D819">
            <w:pPr>
              <w:widowControl/>
              <w:spacing w:after="156" w:line="360" w:lineRule="auto"/>
              <w:jc w:val="center"/>
              <w:textAlignment w:val="center"/>
              <w:rPr>
                <w:rFonts w:cs="Times New Roman"/>
                <w:color w:val="auto"/>
                <w:szCs w:val="21"/>
                <w:highlight w:val="none"/>
                <w:lang w:val="zh-CN"/>
              </w:rPr>
            </w:pPr>
            <w:r>
              <w:rPr>
                <w:rFonts w:hint="eastAsia" w:cs="Times New Roman"/>
                <w:b/>
                <w:bCs/>
                <w:color w:val="auto"/>
                <w:szCs w:val="21"/>
                <w:highlight w:val="none"/>
              </w:rPr>
              <w:t>预算金额(万元)</w:t>
            </w:r>
          </w:p>
        </w:tc>
      </w:tr>
      <w:tr w14:paraId="0851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9D48E28">
            <w:pPr>
              <w:widowControl/>
              <w:spacing w:after="156"/>
              <w:jc w:val="center"/>
              <w:textAlignment w:val="center"/>
              <w:rPr>
                <w:rFonts w:cs="Times New Roman"/>
                <w:b/>
                <w:color w:val="auto"/>
                <w:szCs w:val="21"/>
                <w:highlight w:val="none"/>
                <w:lang w:val="zh-CN"/>
              </w:rPr>
            </w:pPr>
            <w:r>
              <w:rPr>
                <w:rFonts w:hint="eastAsia"/>
                <w:b/>
                <w:color w:val="auto"/>
                <w:kern w:val="0"/>
                <w:sz w:val="20"/>
                <w:szCs w:val="20"/>
                <w:highlight w:val="none"/>
                <w:lang w:bidi="ar"/>
              </w:rPr>
              <w:t>一</w:t>
            </w:r>
          </w:p>
        </w:tc>
        <w:tc>
          <w:tcPr>
            <w:tcW w:w="4936" w:type="dxa"/>
            <w:tcBorders>
              <w:top w:val="single" w:color="auto" w:sz="4" w:space="0"/>
              <w:left w:val="single" w:color="auto" w:sz="4" w:space="0"/>
              <w:bottom w:val="single" w:color="auto" w:sz="4" w:space="0"/>
              <w:right w:val="single" w:color="auto" w:sz="4" w:space="0"/>
            </w:tcBorders>
            <w:vAlign w:val="center"/>
          </w:tcPr>
          <w:p w14:paraId="1B210790">
            <w:pPr>
              <w:widowControl/>
              <w:spacing w:after="156"/>
              <w:jc w:val="left"/>
              <w:textAlignment w:val="center"/>
              <w:rPr>
                <w:rFonts w:cs="Times New Roman"/>
                <w:b/>
                <w:color w:val="auto"/>
                <w:szCs w:val="21"/>
                <w:highlight w:val="none"/>
                <w:lang w:val="zh-CN"/>
              </w:rPr>
            </w:pPr>
            <w:r>
              <w:rPr>
                <w:rFonts w:hint="eastAsia"/>
                <w:b/>
                <w:color w:val="auto"/>
                <w:kern w:val="0"/>
                <w:sz w:val="20"/>
                <w:szCs w:val="20"/>
                <w:highlight w:val="none"/>
                <w:lang w:bidi="ar"/>
              </w:rPr>
              <w:t>电子航道图</w:t>
            </w:r>
          </w:p>
        </w:tc>
        <w:tc>
          <w:tcPr>
            <w:tcW w:w="2345" w:type="dxa"/>
            <w:tcBorders>
              <w:top w:val="single" w:color="auto" w:sz="4" w:space="0"/>
              <w:left w:val="single" w:color="auto" w:sz="4" w:space="0"/>
              <w:bottom w:val="single" w:color="auto" w:sz="4" w:space="0"/>
              <w:right w:val="single" w:color="auto" w:sz="4" w:space="0"/>
            </w:tcBorders>
            <w:vAlign w:val="center"/>
          </w:tcPr>
          <w:p w14:paraId="7AE388B4">
            <w:pPr>
              <w:widowControl/>
              <w:spacing w:after="156"/>
              <w:jc w:val="center"/>
              <w:textAlignment w:val="center"/>
              <w:rPr>
                <w:b/>
                <w:color w:val="auto"/>
                <w:kern w:val="0"/>
                <w:szCs w:val="21"/>
                <w:highlight w:val="none"/>
                <w:lang w:bidi="ar"/>
              </w:rPr>
            </w:pPr>
            <w:r>
              <w:rPr>
                <w:rFonts w:hint="eastAsia"/>
                <w:b/>
                <w:color w:val="auto"/>
                <w:kern w:val="0"/>
                <w:szCs w:val="21"/>
                <w:highlight w:val="none"/>
                <w:lang w:bidi="ar"/>
              </w:rPr>
              <w:t>959</w:t>
            </w:r>
          </w:p>
        </w:tc>
      </w:tr>
      <w:tr w14:paraId="636F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3F944C8">
            <w:pPr>
              <w:widowControl/>
              <w:spacing w:after="156"/>
              <w:jc w:val="center"/>
              <w:textAlignment w:val="center"/>
              <w:rPr>
                <w:b/>
                <w:color w:val="auto"/>
                <w:kern w:val="0"/>
                <w:szCs w:val="21"/>
                <w:highlight w:val="none"/>
                <w:lang w:bidi="ar"/>
              </w:rPr>
            </w:pPr>
            <w:r>
              <w:rPr>
                <w:rFonts w:hint="eastAsia" w:cs="Times New Roman"/>
                <w:color w:val="auto"/>
                <w:szCs w:val="21"/>
                <w:highlight w:val="none"/>
                <w:lang w:val="zh-CN"/>
              </w:rPr>
              <w:t>1.1</w:t>
            </w:r>
          </w:p>
        </w:tc>
        <w:tc>
          <w:tcPr>
            <w:tcW w:w="4936" w:type="dxa"/>
            <w:tcBorders>
              <w:top w:val="single" w:color="auto" w:sz="4" w:space="0"/>
              <w:left w:val="single" w:color="auto" w:sz="4" w:space="0"/>
              <w:bottom w:val="single" w:color="auto" w:sz="4" w:space="0"/>
              <w:right w:val="single" w:color="auto" w:sz="4" w:space="0"/>
            </w:tcBorders>
            <w:vAlign w:val="center"/>
          </w:tcPr>
          <w:p w14:paraId="5A05AA4C">
            <w:pPr>
              <w:widowControl/>
              <w:spacing w:after="156"/>
              <w:jc w:val="left"/>
              <w:textAlignment w:val="center"/>
              <w:rPr>
                <w:b/>
                <w:color w:val="auto"/>
                <w:kern w:val="0"/>
                <w:szCs w:val="21"/>
                <w:highlight w:val="none"/>
                <w:lang w:bidi="ar"/>
              </w:rPr>
            </w:pPr>
            <w:r>
              <w:rPr>
                <w:rFonts w:hint="eastAsia"/>
                <w:bCs/>
                <w:color w:val="auto"/>
                <w:kern w:val="0"/>
                <w:sz w:val="20"/>
                <w:szCs w:val="20"/>
                <w:highlight w:val="none"/>
                <w:lang w:bidi="ar"/>
              </w:rPr>
              <w:t>首版电子航道图生产</w:t>
            </w:r>
          </w:p>
        </w:tc>
        <w:tc>
          <w:tcPr>
            <w:tcW w:w="2345" w:type="dxa"/>
            <w:tcBorders>
              <w:top w:val="single" w:color="auto" w:sz="4" w:space="0"/>
              <w:left w:val="single" w:color="auto" w:sz="4" w:space="0"/>
              <w:bottom w:val="single" w:color="auto" w:sz="4" w:space="0"/>
              <w:right w:val="single" w:color="auto" w:sz="4" w:space="0"/>
            </w:tcBorders>
            <w:vAlign w:val="center"/>
          </w:tcPr>
          <w:p w14:paraId="7859D0C3">
            <w:pPr>
              <w:widowControl/>
              <w:spacing w:after="156"/>
              <w:jc w:val="center"/>
              <w:textAlignment w:val="center"/>
              <w:rPr>
                <w:b/>
                <w:color w:val="auto"/>
                <w:kern w:val="0"/>
                <w:szCs w:val="21"/>
                <w:highlight w:val="none"/>
                <w:lang w:bidi="ar"/>
              </w:rPr>
            </w:pPr>
            <w:r>
              <w:rPr>
                <w:rFonts w:hint="eastAsia"/>
                <w:color w:val="auto"/>
                <w:kern w:val="0"/>
                <w:sz w:val="20"/>
                <w:szCs w:val="20"/>
                <w:highlight w:val="none"/>
                <w:lang w:bidi="ar"/>
              </w:rPr>
              <w:t>640</w:t>
            </w:r>
          </w:p>
        </w:tc>
      </w:tr>
      <w:tr w14:paraId="3C1F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F3AD666">
            <w:pPr>
              <w:widowControl/>
              <w:spacing w:after="156"/>
              <w:jc w:val="center"/>
              <w:textAlignment w:val="center"/>
              <w:rPr>
                <w:b/>
                <w:color w:val="auto"/>
                <w:kern w:val="0"/>
                <w:szCs w:val="21"/>
                <w:highlight w:val="none"/>
                <w:lang w:bidi="ar"/>
              </w:rPr>
            </w:pPr>
            <w:r>
              <w:rPr>
                <w:rFonts w:hint="eastAsia" w:cs="Times New Roman"/>
                <w:color w:val="auto"/>
                <w:szCs w:val="21"/>
                <w:highlight w:val="none"/>
                <w:lang w:val="zh-CN"/>
              </w:rPr>
              <w:t>1.2</w:t>
            </w:r>
          </w:p>
        </w:tc>
        <w:tc>
          <w:tcPr>
            <w:tcW w:w="4936" w:type="dxa"/>
            <w:tcBorders>
              <w:top w:val="single" w:color="auto" w:sz="4" w:space="0"/>
              <w:left w:val="single" w:color="auto" w:sz="4" w:space="0"/>
              <w:bottom w:val="single" w:color="auto" w:sz="4" w:space="0"/>
              <w:right w:val="single" w:color="auto" w:sz="4" w:space="0"/>
            </w:tcBorders>
            <w:vAlign w:val="center"/>
          </w:tcPr>
          <w:p w14:paraId="76547A53">
            <w:pPr>
              <w:widowControl/>
              <w:spacing w:after="156"/>
              <w:jc w:val="left"/>
              <w:textAlignment w:val="center"/>
              <w:rPr>
                <w:b/>
                <w:color w:val="auto"/>
                <w:kern w:val="0"/>
                <w:szCs w:val="21"/>
                <w:highlight w:val="none"/>
                <w:lang w:bidi="ar"/>
              </w:rPr>
            </w:pPr>
            <w:r>
              <w:rPr>
                <w:rFonts w:hint="eastAsia" w:cs="Times New Roman"/>
                <w:color w:val="auto"/>
                <w:szCs w:val="21"/>
                <w:highlight w:val="none"/>
                <w:lang w:val="zh-CN"/>
              </w:rPr>
              <w:t>三维可视化模型构建</w:t>
            </w:r>
          </w:p>
        </w:tc>
        <w:tc>
          <w:tcPr>
            <w:tcW w:w="2345" w:type="dxa"/>
            <w:tcBorders>
              <w:top w:val="single" w:color="auto" w:sz="4" w:space="0"/>
              <w:left w:val="single" w:color="auto" w:sz="4" w:space="0"/>
              <w:bottom w:val="single" w:color="auto" w:sz="4" w:space="0"/>
              <w:right w:val="single" w:color="auto" w:sz="4" w:space="0"/>
            </w:tcBorders>
            <w:vAlign w:val="center"/>
          </w:tcPr>
          <w:p w14:paraId="444F051D">
            <w:pPr>
              <w:widowControl/>
              <w:spacing w:after="156"/>
              <w:jc w:val="center"/>
              <w:textAlignment w:val="center"/>
              <w:rPr>
                <w:b/>
                <w:color w:val="auto"/>
                <w:kern w:val="0"/>
                <w:szCs w:val="21"/>
                <w:highlight w:val="none"/>
                <w:lang w:bidi="ar"/>
              </w:rPr>
            </w:pPr>
            <w:r>
              <w:rPr>
                <w:rFonts w:hint="eastAsia"/>
                <w:color w:val="auto"/>
                <w:kern w:val="0"/>
                <w:sz w:val="20"/>
                <w:szCs w:val="20"/>
                <w:highlight w:val="none"/>
                <w:lang w:bidi="ar"/>
              </w:rPr>
              <w:t>88</w:t>
            </w:r>
          </w:p>
        </w:tc>
      </w:tr>
      <w:tr w14:paraId="45C2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61F8EC9">
            <w:pPr>
              <w:widowControl/>
              <w:spacing w:after="156"/>
              <w:jc w:val="center"/>
              <w:textAlignment w:val="center"/>
              <w:rPr>
                <w:b/>
                <w:color w:val="auto"/>
                <w:kern w:val="0"/>
                <w:szCs w:val="21"/>
                <w:highlight w:val="none"/>
                <w:lang w:bidi="ar"/>
              </w:rPr>
            </w:pPr>
            <w:r>
              <w:rPr>
                <w:rFonts w:hint="eastAsia" w:cs="Times New Roman"/>
                <w:color w:val="auto"/>
                <w:szCs w:val="21"/>
                <w:highlight w:val="none"/>
                <w:lang w:val="zh-CN"/>
              </w:rPr>
              <w:t>1.3</w:t>
            </w:r>
          </w:p>
        </w:tc>
        <w:tc>
          <w:tcPr>
            <w:tcW w:w="4936" w:type="dxa"/>
            <w:tcBorders>
              <w:top w:val="single" w:color="auto" w:sz="4" w:space="0"/>
              <w:left w:val="single" w:color="auto" w:sz="4" w:space="0"/>
              <w:bottom w:val="single" w:color="auto" w:sz="4" w:space="0"/>
              <w:right w:val="single" w:color="auto" w:sz="4" w:space="0"/>
            </w:tcBorders>
            <w:vAlign w:val="center"/>
          </w:tcPr>
          <w:p w14:paraId="05D8D000">
            <w:pPr>
              <w:widowControl/>
              <w:spacing w:after="156"/>
              <w:jc w:val="left"/>
              <w:textAlignment w:val="center"/>
              <w:rPr>
                <w:b/>
                <w:color w:val="auto"/>
                <w:kern w:val="0"/>
                <w:szCs w:val="21"/>
                <w:highlight w:val="none"/>
                <w:lang w:bidi="ar"/>
              </w:rPr>
            </w:pPr>
            <w:r>
              <w:rPr>
                <w:rFonts w:hint="eastAsia" w:cs="Times New Roman"/>
                <w:color w:val="auto"/>
                <w:szCs w:val="21"/>
                <w:highlight w:val="none"/>
                <w:lang w:val="zh-CN"/>
              </w:rPr>
              <w:t>电子航道图生产制作系统</w:t>
            </w:r>
          </w:p>
        </w:tc>
        <w:tc>
          <w:tcPr>
            <w:tcW w:w="2345" w:type="dxa"/>
            <w:tcBorders>
              <w:top w:val="single" w:color="auto" w:sz="4" w:space="0"/>
              <w:left w:val="single" w:color="auto" w:sz="4" w:space="0"/>
              <w:bottom w:val="single" w:color="auto" w:sz="4" w:space="0"/>
              <w:right w:val="single" w:color="auto" w:sz="4" w:space="0"/>
            </w:tcBorders>
            <w:vAlign w:val="center"/>
          </w:tcPr>
          <w:p w14:paraId="1DB40E73">
            <w:pPr>
              <w:widowControl/>
              <w:spacing w:after="156"/>
              <w:jc w:val="center"/>
              <w:textAlignment w:val="center"/>
              <w:rPr>
                <w:b/>
                <w:color w:val="auto"/>
                <w:kern w:val="0"/>
                <w:szCs w:val="21"/>
                <w:highlight w:val="none"/>
                <w:lang w:bidi="ar"/>
              </w:rPr>
            </w:pPr>
            <w:r>
              <w:rPr>
                <w:rFonts w:hint="eastAsia"/>
                <w:color w:val="auto"/>
                <w:kern w:val="0"/>
                <w:sz w:val="20"/>
                <w:szCs w:val="20"/>
                <w:highlight w:val="none"/>
                <w:lang w:bidi="ar"/>
              </w:rPr>
              <w:t>231</w:t>
            </w:r>
          </w:p>
        </w:tc>
      </w:tr>
      <w:tr w14:paraId="0C5A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EB487DC">
            <w:pPr>
              <w:widowControl/>
              <w:spacing w:after="156"/>
              <w:jc w:val="center"/>
              <w:textAlignment w:val="center"/>
              <w:rPr>
                <w:rFonts w:cs="Times New Roman"/>
                <w:b/>
                <w:color w:val="auto"/>
                <w:szCs w:val="21"/>
                <w:highlight w:val="none"/>
                <w:lang w:val="zh-CN"/>
              </w:rPr>
            </w:pPr>
            <w:r>
              <w:rPr>
                <w:rFonts w:hint="eastAsia"/>
                <w:b/>
                <w:color w:val="auto"/>
                <w:kern w:val="0"/>
                <w:szCs w:val="21"/>
                <w:highlight w:val="none"/>
                <w:lang w:bidi="ar"/>
              </w:rPr>
              <w:t>二</w:t>
            </w:r>
          </w:p>
        </w:tc>
        <w:tc>
          <w:tcPr>
            <w:tcW w:w="4936" w:type="dxa"/>
            <w:tcBorders>
              <w:top w:val="single" w:color="auto" w:sz="4" w:space="0"/>
              <w:left w:val="single" w:color="auto" w:sz="4" w:space="0"/>
              <w:bottom w:val="single" w:color="auto" w:sz="4" w:space="0"/>
              <w:right w:val="single" w:color="auto" w:sz="4" w:space="0"/>
            </w:tcBorders>
            <w:vAlign w:val="center"/>
          </w:tcPr>
          <w:p w14:paraId="6515AB5C">
            <w:pPr>
              <w:widowControl/>
              <w:spacing w:after="156"/>
              <w:jc w:val="left"/>
              <w:textAlignment w:val="center"/>
              <w:rPr>
                <w:rFonts w:cs="Times New Roman"/>
                <w:bCs/>
                <w:color w:val="auto"/>
                <w:szCs w:val="21"/>
                <w:highlight w:val="none"/>
                <w:lang w:val="zh-CN"/>
              </w:rPr>
            </w:pPr>
            <w:r>
              <w:rPr>
                <w:rFonts w:hint="eastAsia"/>
                <w:bCs/>
                <w:color w:val="auto"/>
                <w:kern w:val="0"/>
                <w:szCs w:val="21"/>
                <w:highlight w:val="none"/>
                <w:lang w:bidi="ar"/>
              </w:rPr>
              <w:t>内河航运综合监管服务</w:t>
            </w:r>
          </w:p>
        </w:tc>
        <w:tc>
          <w:tcPr>
            <w:tcW w:w="2345" w:type="dxa"/>
            <w:tcBorders>
              <w:top w:val="single" w:color="auto" w:sz="4" w:space="0"/>
              <w:left w:val="single" w:color="auto" w:sz="4" w:space="0"/>
              <w:bottom w:val="single" w:color="auto" w:sz="4" w:space="0"/>
              <w:right w:val="single" w:color="auto" w:sz="4" w:space="0"/>
            </w:tcBorders>
            <w:vAlign w:val="center"/>
          </w:tcPr>
          <w:p w14:paraId="0B8D12BA">
            <w:pPr>
              <w:widowControl/>
              <w:spacing w:after="156"/>
              <w:jc w:val="center"/>
              <w:textAlignment w:val="center"/>
              <w:rPr>
                <w:b/>
                <w:color w:val="auto"/>
                <w:kern w:val="0"/>
                <w:szCs w:val="21"/>
                <w:highlight w:val="none"/>
                <w:lang w:bidi="ar"/>
              </w:rPr>
            </w:pPr>
            <w:r>
              <w:rPr>
                <w:rFonts w:hint="eastAsia"/>
                <w:b/>
                <w:color w:val="auto"/>
                <w:kern w:val="0"/>
                <w:szCs w:val="21"/>
                <w:highlight w:val="none"/>
                <w:lang w:bidi="ar"/>
              </w:rPr>
              <w:t>640.56</w:t>
            </w:r>
          </w:p>
        </w:tc>
      </w:tr>
      <w:tr w14:paraId="0781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E27B3B2">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2.1</w:t>
            </w:r>
          </w:p>
        </w:tc>
        <w:tc>
          <w:tcPr>
            <w:tcW w:w="4936" w:type="dxa"/>
            <w:tcBorders>
              <w:top w:val="single" w:color="auto" w:sz="4" w:space="0"/>
              <w:left w:val="single" w:color="auto" w:sz="4" w:space="0"/>
              <w:bottom w:val="single" w:color="auto" w:sz="4" w:space="0"/>
              <w:right w:val="single" w:color="auto" w:sz="4" w:space="0"/>
            </w:tcBorders>
            <w:vAlign w:val="center"/>
          </w:tcPr>
          <w:p w14:paraId="58789C68">
            <w:pPr>
              <w:widowControl/>
              <w:spacing w:after="156"/>
              <w:jc w:val="left"/>
              <w:textAlignment w:val="center"/>
              <w:rPr>
                <w:bCs/>
                <w:color w:val="auto"/>
                <w:kern w:val="0"/>
                <w:szCs w:val="21"/>
                <w:highlight w:val="none"/>
                <w:lang w:bidi="ar"/>
              </w:rPr>
            </w:pPr>
            <w:r>
              <w:rPr>
                <w:rFonts w:cs="Arial"/>
                <w:bCs/>
                <w:color w:val="auto"/>
                <w:szCs w:val="21"/>
                <w:highlight w:val="none"/>
                <w:lang w:bidi="ar"/>
              </w:rPr>
              <w:t>港航建设项目管理</w:t>
            </w:r>
          </w:p>
        </w:tc>
        <w:tc>
          <w:tcPr>
            <w:tcW w:w="2345" w:type="dxa"/>
            <w:tcBorders>
              <w:top w:val="single" w:color="auto" w:sz="4" w:space="0"/>
              <w:left w:val="single" w:color="auto" w:sz="4" w:space="0"/>
              <w:bottom w:val="single" w:color="auto" w:sz="4" w:space="0"/>
              <w:right w:val="single" w:color="auto" w:sz="4" w:space="0"/>
            </w:tcBorders>
            <w:vAlign w:val="center"/>
          </w:tcPr>
          <w:p w14:paraId="6C353E4B">
            <w:pPr>
              <w:widowControl/>
              <w:spacing w:after="156"/>
              <w:jc w:val="center"/>
              <w:textAlignment w:val="center"/>
              <w:rPr>
                <w:color w:val="auto"/>
                <w:kern w:val="0"/>
                <w:szCs w:val="21"/>
                <w:highlight w:val="none"/>
                <w:lang w:bidi="ar"/>
              </w:rPr>
            </w:pPr>
            <w:r>
              <w:rPr>
                <w:rFonts w:hint="eastAsia" w:cs="Times New Roman"/>
                <w:color w:val="auto"/>
                <w:szCs w:val="21"/>
                <w:highlight w:val="none"/>
              </w:rPr>
              <w:t>30.43</w:t>
            </w:r>
          </w:p>
        </w:tc>
      </w:tr>
      <w:tr w14:paraId="1B84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D7C6E6A">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2.2</w:t>
            </w:r>
          </w:p>
        </w:tc>
        <w:tc>
          <w:tcPr>
            <w:tcW w:w="4936" w:type="dxa"/>
            <w:tcBorders>
              <w:top w:val="single" w:color="auto" w:sz="4" w:space="0"/>
              <w:left w:val="single" w:color="auto" w:sz="4" w:space="0"/>
              <w:bottom w:val="single" w:color="auto" w:sz="4" w:space="0"/>
              <w:right w:val="single" w:color="auto" w:sz="4" w:space="0"/>
            </w:tcBorders>
            <w:vAlign w:val="center"/>
          </w:tcPr>
          <w:p w14:paraId="15F7DF7E">
            <w:pPr>
              <w:widowControl/>
              <w:spacing w:after="156"/>
              <w:jc w:val="left"/>
              <w:textAlignment w:val="center"/>
              <w:rPr>
                <w:bCs/>
                <w:color w:val="auto"/>
                <w:kern w:val="0"/>
                <w:szCs w:val="21"/>
                <w:highlight w:val="none"/>
                <w:lang w:bidi="ar"/>
              </w:rPr>
            </w:pPr>
            <w:r>
              <w:rPr>
                <w:rFonts w:cs="Arial"/>
                <w:bCs/>
                <w:color w:val="auto"/>
                <w:szCs w:val="21"/>
                <w:highlight w:val="none"/>
                <w:lang w:bidi="ar"/>
              </w:rPr>
              <w:t>航道养护管理</w:t>
            </w:r>
          </w:p>
        </w:tc>
        <w:tc>
          <w:tcPr>
            <w:tcW w:w="2345" w:type="dxa"/>
            <w:tcBorders>
              <w:top w:val="single" w:color="auto" w:sz="4" w:space="0"/>
              <w:left w:val="single" w:color="auto" w:sz="4" w:space="0"/>
              <w:bottom w:val="single" w:color="auto" w:sz="4" w:space="0"/>
              <w:right w:val="single" w:color="auto" w:sz="4" w:space="0"/>
            </w:tcBorders>
            <w:vAlign w:val="center"/>
          </w:tcPr>
          <w:p w14:paraId="110FABF2">
            <w:pPr>
              <w:widowControl/>
              <w:spacing w:after="156"/>
              <w:jc w:val="center"/>
              <w:textAlignment w:val="center"/>
              <w:rPr>
                <w:color w:val="auto"/>
                <w:kern w:val="0"/>
                <w:szCs w:val="21"/>
                <w:highlight w:val="none"/>
                <w:lang w:bidi="ar"/>
              </w:rPr>
            </w:pPr>
            <w:r>
              <w:rPr>
                <w:rFonts w:hint="eastAsia" w:cs="Times New Roman"/>
                <w:color w:val="auto"/>
                <w:szCs w:val="21"/>
                <w:highlight w:val="none"/>
              </w:rPr>
              <w:t>70.87</w:t>
            </w:r>
          </w:p>
        </w:tc>
      </w:tr>
      <w:tr w14:paraId="07D6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A0BD79D">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2.3</w:t>
            </w:r>
          </w:p>
        </w:tc>
        <w:tc>
          <w:tcPr>
            <w:tcW w:w="4936" w:type="dxa"/>
            <w:tcBorders>
              <w:top w:val="single" w:color="auto" w:sz="4" w:space="0"/>
              <w:left w:val="single" w:color="auto" w:sz="4" w:space="0"/>
              <w:bottom w:val="single" w:color="auto" w:sz="4" w:space="0"/>
              <w:right w:val="single" w:color="auto" w:sz="4" w:space="0"/>
            </w:tcBorders>
            <w:vAlign w:val="center"/>
          </w:tcPr>
          <w:p w14:paraId="28C0C520">
            <w:pPr>
              <w:widowControl/>
              <w:spacing w:after="156"/>
              <w:jc w:val="left"/>
              <w:textAlignment w:val="center"/>
              <w:rPr>
                <w:bCs/>
                <w:color w:val="auto"/>
                <w:kern w:val="0"/>
                <w:szCs w:val="21"/>
                <w:highlight w:val="none"/>
                <w:lang w:bidi="ar"/>
              </w:rPr>
            </w:pPr>
            <w:r>
              <w:rPr>
                <w:rFonts w:cs="Arial"/>
                <w:bCs/>
                <w:color w:val="auto"/>
                <w:szCs w:val="21"/>
                <w:highlight w:val="none"/>
                <w:lang w:bidi="ar"/>
              </w:rPr>
              <w:t>航道运行监测</w:t>
            </w:r>
          </w:p>
        </w:tc>
        <w:tc>
          <w:tcPr>
            <w:tcW w:w="2345" w:type="dxa"/>
            <w:tcBorders>
              <w:top w:val="single" w:color="auto" w:sz="4" w:space="0"/>
              <w:left w:val="single" w:color="auto" w:sz="4" w:space="0"/>
              <w:bottom w:val="single" w:color="auto" w:sz="4" w:space="0"/>
              <w:right w:val="single" w:color="auto" w:sz="4" w:space="0"/>
            </w:tcBorders>
            <w:vAlign w:val="center"/>
          </w:tcPr>
          <w:p w14:paraId="61CDF11D">
            <w:pPr>
              <w:widowControl/>
              <w:spacing w:after="156"/>
              <w:jc w:val="center"/>
              <w:textAlignment w:val="center"/>
              <w:rPr>
                <w:color w:val="auto"/>
                <w:kern w:val="0"/>
                <w:szCs w:val="21"/>
                <w:highlight w:val="none"/>
                <w:lang w:bidi="ar"/>
              </w:rPr>
            </w:pPr>
            <w:r>
              <w:rPr>
                <w:rFonts w:hint="eastAsia" w:cs="Times New Roman"/>
                <w:color w:val="auto"/>
                <w:szCs w:val="21"/>
                <w:highlight w:val="none"/>
              </w:rPr>
              <w:t>120.18</w:t>
            </w:r>
          </w:p>
        </w:tc>
      </w:tr>
      <w:tr w14:paraId="1B50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FC562BC">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2.4</w:t>
            </w:r>
          </w:p>
        </w:tc>
        <w:tc>
          <w:tcPr>
            <w:tcW w:w="4936" w:type="dxa"/>
            <w:tcBorders>
              <w:top w:val="single" w:color="auto" w:sz="4" w:space="0"/>
              <w:left w:val="single" w:color="auto" w:sz="4" w:space="0"/>
              <w:bottom w:val="single" w:color="auto" w:sz="4" w:space="0"/>
              <w:right w:val="single" w:color="auto" w:sz="4" w:space="0"/>
            </w:tcBorders>
            <w:vAlign w:val="center"/>
          </w:tcPr>
          <w:p w14:paraId="715231D0">
            <w:pPr>
              <w:widowControl/>
              <w:spacing w:after="156"/>
              <w:jc w:val="left"/>
              <w:textAlignment w:val="center"/>
              <w:rPr>
                <w:bCs/>
                <w:color w:val="auto"/>
                <w:kern w:val="0"/>
                <w:szCs w:val="21"/>
                <w:highlight w:val="none"/>
                <w:lang w:bidi="ar"/>
              </w:rPr>
            </w:pPr>
            <w:r>
              <w:rPr>
                <w:rFonts w:cs="Arial"/>
                <w:bCs/>
                <w:color w:val="auto"/>
                <w:szCs w:val="21"/>
                <w:highlight w:val="none"/>
                <w:lang w:bidi="ar"/>
              </w:rPr>
              <w:t>船闸联合调度管理</w:t>
            </w:r>
          </w:p>
        </w:tc>
        <w:tc>
          <w:tcPr>
            <w:tcW w:w="2345" w:type="dxa"/>
            <w:tcBorders>
              <w:top w:val="single" w:color="auto" w:sz="4" w:space="0"/>
              <w:left w:val="single" w:color="auto" w:sz="4" w:space="0"/>
              <w:bottom w:val="single" w:color="auto" w:sz="4" w:space="0"/>
              <w:right w:val="single" w:color="auto" w:sz="4" w:space="0"/>
            </w:tcBorders>
            <w:vAlign w:val="center"/>
          </w:tcPr>
          <w:p w14:paraId="0FD5AECB">
            <w:pPr>
              <w:widowControl/>
              <w:spacing w:after="156"/>
              <w:jc w:val="center"/>
              <w:textAlignment w:val="center"/>
              <w:rPr>
                <w:color w:val="auto"/>
                <w:kern w:val="0"/>
                <w:szCs w:val="21"/>
                <w:highlight w:val="none"/>
                <w:lang w:bidi="ar"/>
              </w:rPr>
            </w:pPr>
            <w:r>
              <w:rPr>
                <w:rFonts w:hint="eastAsia" w:cs="Times New Roman"/>
                <w:color w:val="auto"/>
                <w:szCs w:val="21"/>
                <w:highlight w:val="none"/>
              </w:rPr>
              <w:t>43.21</w:t>
            </w:r>
          </w:p>
        </w:tc>
      </w:tr>
      <w:tr w14:paraId="69E8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429B144">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2.5</w:t>
            </w:r>
          </w:p>
        </w:tc>
        <w:tc>
          <w:tcPr>
            <w:tcW w:w="4936" w:type="dxa"/>
            <w:tcBorders>
              <w:top w:val="single" w:color="auto" w:sz="4" w:space="0"/>
              <w:left w:val="single" w:color="auto" w:sz="4" w:space="0"/>
              <w:bottom w:val="single" w:color="auto" w:sz="4" w:space="0"/>
              <w:right w:val="single" w:color="auto" w:sz="4" w:space="0"/>
            </w:tcBorders>
            <w:vAlign w:val="center"/>
          </w:tcPr>
          <w:p w14:paraId="4D5C4ED2">
            <w:pPr>
              <w:widowControl/>
              <w:spacing w:after="156"/>
              <w:jc w:val="left"/>
              <w:textAlignment w:val="center"/>
              <w:rPr>
                <w:bCs/>
                <w:color w:val="auto"/>
                <w:kern w:val="0"/>
                <w:szCs w:val="21"/>
                <w:highlight w:val="none"/>
                <w:lang w:bidi="ar"/>
              </w:rPr>
            </w:pPr>
            <w:r>
              <w:rPr>
                <w:rFonts w:cs="Arial"/>
                <w:bCs/>
                <w:color w:val="auto"/>
                <w:szCs w:val="21"/>
                <w:highlight w:val="none"/>
                <w:lang w:bidi="ar"/>
              </w:rPr>
              <w:t>海事业务监管</w:t>
            </w:r>
          </w:p>
        </w:tc>
        <w:tc>
          <w:tcPr>
            <w:tcW w:w="2345" w:type="dxa"/>
            <w:tcBorders>
              <w:top w:val="single" w:color="auto" w:sz="4" w:space="0"/>
              <w:left w:val="single" w:color="auto" w:sz="4" w:space="0"/>
              <w:bottom w:val="single" w:color="auto" w:sz="4" w:space="0"/>
              <w:right w:val="single" w:color="auto" w:sz="4" w:space="0"/>
            </w:tcBorders>
            <w:vAlign w:val="center"/>
          </w:tcPr>
          <w:p w14:paraId="4EA318CE">
            <w:pPr>
              <w:widowControl/>
              <w:spacing w:after="156"/>
              <w:jc w:val="center"/>
              <w:textAlignment w:val="center"/>
              <w:rPr>
                <w:color w:val="auto"/>
                <w:kern w:val="0"/>
                <w:szCs w:val="21"/>
                <w:highlight w:val="none"/>
                <w:lang w:bidi="ar"/>
              </w:rPr>
            </w:pPr>
            <w:r>
              <w:rPr>
                <w:rFonts w:hint="eastAsia" w:cs="Times New Roman"/>
                <w:color w:val="auto"/>
                <w:szCs w:val="21"/>
                <w:highlight w:val="none"/>
              </w:rPr>
              <w:t>153.95</w:t>
            </w:r>
          </w:p>
        </w:tc>
      </w:tr>
      <w:tr w14:paraId="69C0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ECFD12C">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2.6</w:t>
            </w:r>
          </w:p>
        </w:tc>
        <w:tc>
          <w:tcPr>
            <w:tcW w:w="4936" w:type="dxa"/>
            <w:tcBorders>
              <w:top w:val="single" w:color="auto" w:sz="4" w:space="0"/>
              <w:left w:val="single" w:color="auto" w:sz="4" w:space="0"/>
              <w:bottom w:val="single" w:color="auto" w:sz="4" w:space="0"/>
              <w:right w:val="single" w:color="auto" w:sz="4" w:space="0"/>
            </w:tcBorders>
            <w:vAlign w:val="center"/>
          </w:tcPr>
          <w:p w14:paraId="42AA2519">
            <w:pPr>
              <w:widowControl/>
              <w:spacing w:after="156"/>
              <w:jc w:val="left"/>
              <w:textAlignment w:val="center"/>
              <w:rPr>
                <w:bCs/>
                <w:color w:val="auto"/>
                <w:kern w:val="0"/>
                <w:szCs w:val="21"/>
                <w:highlight w:val="none"/>
                <w:lang w:bidi="ar"/>
              </w:rPr>
            </w:pPr>
            <w:r>
              <w:rPr>
                <w:rFonts w:cs="Arial"/>
                <w:bCs/>
                <w:color w:val="auto"/>
                <w:szCs w:val="21"/>
                <w:highlight w:val="none"/>
                <w:lang w:bidi="ar"/>
              </w:rPr>
              <w:t>港口监管与服务</w:t>
            </w:r>
          </w:p>
        </w:tc>
        <w:tc>
          <w:tcPr>
            <w:tcW w:w="2345" w:type="dxa"/>
            <w:tcBorders>
              <w:top w:val="single" w:color="auto" w:sz="4" w:space="0"/>
              <w:left w:val="single" w:color="auto" w:sz="4" w:space="0"/>
              <w:bottom w:val="single" w:color="auto" w:sz="4" w:space="0"/>
              <w:right w:val="single" w:color="auto" w:sz="4" w:space="0"/>
            </w:tcBorders>
            <w:vAlign w:val="center"/>
          </w:tcPr>
          <w:p w14:paraId="0122411C">
            <w:pPr>
              <w:widowControl/>
              <w:spacing w:after="156"/>
              <w:jc w:val="center"/>
              <w:textAlignment w:val="center"/>
              <w:rPr>
                <w:color w:val="auto"/>
                <w:kern w:val="0"/>
                <w:szCs w:val="21"/>
                <w:highlight w:val="none"/>
                <w:lang w:bidi="ar"/>
              </w:rPr>
            </w:pPr>
            <w:r>
              <w:rPr>
                <w:rFonts w:hint="eastAsia" w:cs="Times New Roman"/>
                <w:color w:val="auto"/>
                <w:szCs w:val="21"/>
                <w:highlight w:val="none"/>
              </w:rPr>
              <w:t>163.11</w:t>
            </w:r>
          </w:p>
        </w:tc>
      </w:tr>
      <w:tr w14:paraId="39E3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FC07C59">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2.7</w:t>
            </w:r>
          </w:p>
        </w:tc>
        <w:tc>
          <w:tcPr>
            <w:tcW w:w="4936" w:type="dxa"/>
            <w:tcBorders>
              <w:top w:val="single" w:color="auto" w:sz="4" w:space="0"/>
              <w:left w:val="single" w:color="auto" w:sz="4" w:space="0"/>
              <w:bottom w:val="single" w:color="auto" w:sz="4" w:space="0"/>
              <w:right w:val="single" w:color="auto" w:sz="4" w:space="0"/>
            </w:tcBorders>
            <w:vAlign w:val="center"/>
          </w:tcPr>
          <w:p w14:paraId="047443E3">
            <w:pPr>
              <w:widowControl/>
              <w:spacing w:after="156"/>
              <w:jc w:val="left"/>
              <w:textAlignment w:val="center"/>
              <w:rPr>
                <w:bCs/>
                <w:color w:val="auto"/>
                <w:kern w:val="0"/>
                <w:szCs w:val="21"/>
                <w:highlight w:val="none"/>
                <w:lang w:bidi="ar"/>
              </w:rPr>
            </w:pPr>
            <w:r>
              <w:rPr>
                <w:rFonts w:cs="Arial"/>
                <w:bCs/>
                <w:color w:val="auto"/>
                <w:szCs w:val="21"/>
                <w:highlight w:val="none"/>
                <w:lang w:bidi="ar"/>
              </w:rPr>
              <w:t>应急搜救指挥</w:t>
            </w:r>
          </w:p>
        </w:tc>
        <w:tc>
          <w:tcPr>
            <w:tcW w:w="2345" w:type="dxa"/>
            <w:tcBorders>
              <w:top w:val="single" w:color="auto" w:sz="4" w:space="0"/>
              <w:left w:val="single" w:color="auto" w:sz="4" w:space="0"/>
              <w:bottom w:val="single" w:color="auto" w:sz="4" w:space="0"/>
              <w:right w:val="single" w:color="auto" w:sz="4" w:space="0"/>
            </w:tcBorders>
            <w:vAlign w:val="center"/>
          </w:tcPr>
          <w:p w14:paraId="59974F5C">
            <w:pPr>
              <w:widowControl/>
              <w:spacing w:after="156"/>
              <w:jc w:val="center"/>
              <w:textAlignment w:val="center"/>
              <w:rPr>
                <w:color w:val="auto"/>
                <w:kern w:val="0"/>
                <w:szCs w:val="21"/>
                <w:highlight w:val="none"/>
                <w:lang w:bidi="ar"/>
              </w:rPr>
            </w:pPr>
            <w:r>
              <w:rPr>
                <w:rFonts w:hint="eastAsia" w:cs="Times New Roman"/>
                <w:color w:val="auto"/>
                <w:szCs w:val="21"/>
                <w:highlight w:val="none"/>
              </w:rPr>
              <w:t>21.04</w:t>
            </w:r>
          </w:p>
        </w:tc>
      </w:tr>
      <w:tr w14:paraId="3F1E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A7E923A">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2.8</w:t>
            </w:r>
          </w:p>
        </w:tc>
        <w:tc>
          <w:tcPr>
            <w:tcW w:w="4936" w:type="dxa"/>
            <w:tcBorders>
              <w:top w:val="single" w:color="auto" w:sz="4" w:space="0"/>
              <w:left w:val="single" w:color="auto" w:sz="4" w:space="0"/>
              <w:bottom w:val="single" w:color="auto" w:sz="4" w:space="0"/>
              <w:right w:val="single" w:color="auto" w:sz="4" w:space="0"/>
            </w:tcBorders>
            <w:vAlign w:val="center"/>
          </w:tcPr>
          <w:p w14:paraId="1FED4308">
            <w:pPr>
              <w:widowControl/>
              <w:spacing w:after="156"/>
              <w:jc w:val="left"/>
              <w:textAlignment w:val="center"/>
              <w:rPr>
                <w:bCs/>
                <w:color w:val="auto"/>
                <w:kern w:val="0"/>
                <w:szCs w:val="21"/>
                <w:highlight w:val="none"/>
                <w:lang w:bidi="ar"/>
              </w:rPr>
            </w:pPr>
            <w:r>
              <w:rPr>
                <w:rFonts w:cs="Arial"/>
                <w:bCs/>
                <w:color w:val="auto"/>
                <w:szCs w:val="21"/>
                <w:highlight w:val="none"/>
                <w:lang w:bidi="ar"/>
              </w:rPr>
              <w:t>对外信息服务</w:t>
            </w:r>
          </w:p>
        </w:tc>
        <w:tc>
          <w:tcPr>
            <w:tcW w:w="2345" w:type="dxa"/>
            <w:tcBorders>
              <w:top w:val="single" w:color="auto" w:sz="4" w:space="0"/>
              <w:left w:val="single" w:color="auto" w:sz="4" w:space="0"/>
              <w:bottom w:val="single" w:color="auto" w:sz="4" w:space="0"/>
              <w:right w:val="single" w:color="auto" w:sz="4" w:space="0"/>
            </w:tcBorders>
            <w:vAlign w:val="center"/>
          </w:tcPr>
          <w:p w14:paraId="1A3F9472">
            <w:pPr>
              <w:widowControl/>
              <w:spacing w:after="156"/>
              <w:jc w:val="center"/>
              <w:textAlignment w:val="center"/>
              <w:rPr>
                <w:color w:val="auto"/>
                <w:kern w:val="0"/>
                <w:szCs w:val="21"/>
                <w:highlight w:val="none"/>
                <w:lang w:bidi="ar"/>
              </w:rPr>
            </w:pPr>
            <w:r>
              <w:rPr>
                <w:rFonts w:hint="eastAsia" w:cs="Times New Roman"/>
                <w:color w:val="auto"/>
                <w:szCs w:val="21"/>
                <w:highlight w:val="none"/>
              </w:rPr>
              <w:t>29.73</w:t>
            </w:r>
          </w:p>
        </w:tc>
      </w:tr>
      <w:tr w14:paraId="1DFC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D9DEDC0">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2.9</w:t>
            </w:r>
          </w:p>
        </w:tc>
        <w:tc>
          <w:tcPr>
            <w:tcW w:w="4936" w:type="dxa"/>
            <w:tcBorders>
              <w:top w:val="single" w:color="auto" w:sz="4" w:space="0"/>
              <w:left w:val="single" w:color="auto" w:sz="4" w:space="0"/>
              <w:bottom w:val="single" w:color="auto" w:sz="4" w:space="0"/>
              <w:right w:val="single" w:color="auto" w:sz="4" w:space="0"/>
            </w:tcBorders>
            <w:vAlign w:val="center"/>
          </w:tcPr>
          <w:p w14:paraId="3F43F587">
            <w:pPr>
              <w:widowControl/>
              <w:spacing w:after="156"/>
              <w:jc w:val="left"/>
              <w:textAlignment w:val="center"/>
              <w:rPr>
                <w:bCs/>
                <w:color w:val="auto"/>
                <w:kern w:val="0"/>
                <w:szCs w:val="21"/>
                <w:highlight w:val="none"/>
                <w:lang w:bidi="ar"/>
              </w:rPr>
            </w:pPr>
            <w:r>
              <w:rPr>
                <w:rFonts w:cs="Arial"/>
                <w:bCs/>
                <w:color w:val="auto"/>
                <w:szCs w:val="21"/>
                <w:highlight w:val="none"/>
                <w:lang w:bidi="ar"/>
              </w:rPr>
              <w:t>智慧一张图</w:t>
            </w:r>
          </w:p>
        </w:tc>
        <w:tc>
          <w:tcPr>
            <w:tcW w:w="2345" w:type="dxa"/>
            <w:tcBorders>
              <w:top w:val="single" w:color="auto" w:sz="4" w:space="0"/>
              <w:left w:val="single" w:color="auto" w:sz="4" w:space="0"/>
              <w:bottom w:val="single" w:color="auto" w:sz="4" w:space="0"/>
              <w:right w:val="single" w:color="auto" w:sz="4" w:space="0"/>
            </w:tcBorders>
            <w:vAlign w:val="center"/>
          </w:tcPr>
          <w:p w14:paraId="1D221C3F">
            <w:pPr>
              <w:widowControl/>
              <w:spacing w:after="156"/>
              <w:jc w:val="center"/>
              <w:textAlignment w:val="center"/>
              <w:rPr>
                <w:color w:val="auto"/>
                <w:kern w:val="0"/>
                <w:szCs w:val="21"/>
                <w:highlight w:val="none"/>
                <w:lang w:bidi="ar"/>
              </w:rPr>
            </w:pPr>
            <w:r>
              <w:rPr>
                <w:rFonts w:hint="eastAsia" w:cs="Times New Roman"/>
                <w:color w:val="auto"/>
                <w:szCs w:val="21"/>
                <w:highlight w:val="none"/>
              </w:rPr>
              <w:t>8.04</w:t>
            </w:r>
          </w:p>
        </w:tc>
      </w:tr>
      <w:tr w14:paraId="7D79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E892F71">
            <w:pPr>
              <w:widowControl/>
              <w:spacing w:after="156"/>
              <w:jc w:val="center"/>
              <w:textAlignment w:val="center"/>
              <w:rPr>
                <w:rFonts w:cs="Times New Roman"/>
                <w:b/>
                <w:color w:val="auto"/>
                <w:szCs w:val="21"/>
                <w:highlight w:val="none"/>
                <w:lang w:val="zh-CN"/>
              </w:rPr>
            </w:pPr>
            <w:r>
              <w:rPr>
                <w:rFonts w:hint="eastAsia"/>
                <w:b/>
                <w:color w:val="auto"/>
                <w:kern w:val="0"/>
                <w:szCs w:val="21"/>
                <w:highlight w:val="none"/>
                <w:lang w:bidi="ar"/>
              </w:rPr>
              <w:t>三</w:t>
            </w:r>
          </w:p>
        </w:tc>
        <w:tc>
          <w:tcPr>
            <w:tcW w:w="4936" w:type="dxa"/>
            <w:tcBorders>
              <w:top w:val="single" w:color="auto" w:sz="4" w:space="0"/>
              <w:left w:val="single" w:color="auto" w:sz="4" w:space="0"/>
              <w:bottom w:val="single" w:color="auto" w:sz="4" w:space="0"/>
              <w:right w:val="single" w:color="auto" w:sz="4" w:space="0"/>
            </w:tcBorders>
            <w:vAlign w:val="center"/>
          </w:tcPr>
          <w:p w14:paraId="3CB85007">
            <w:pPr>
              <w:widowControl/>
              <w:spacing w:after="156"/>
              <w:jc w:val="left"/>
              <w:textAlignment w:val="center"/>
              <w:rPr>
                <w:rFonts w:cs="Times New Roman"/>
                <w:b/>
                <w:color w:val="auto"/>
                <w:szCs w:val="21"/>
                <w:highlight w:val="none"/>
                <w:u w:val="single"/>
                <w:lang w:val="zh-CN"/>
              </w:rPr>
            </w:pPr>
            <w:r>
              <w:rPr>
                <w:rFonts w:hint="eastAsia"/>
                <w:b/>
                <w:color w:val="auto"/>
                <w:kern w:val="0"/>
                <w:szCs w:val="21"/>
                <w:highlight w:val="none"/>
                <w:lang w:bidi="ar"/>
              </w:rPr>
              <w:t>集成费</w:t>
            </w:r>
          </w:p>
        </w:tc>
        <w:tc>
          <w:tcPr>
            <w:tcW w:w="2345" w:type="dxa"/>
            <w:tcBorders>
              <w:top w:val="single" w:color="auto" w:sz="4" w:space="0"/>
              <w:left w:val="single" w:color="auto" w:sz="4" w:space="0"/>
              <w:bottom w:val="single" w:color="auto" w:sz="4" w:space="0"/>
              <w:right w:val="single" w:color="auto" w:sz="4" w:space="0"/>
            </w:tcBorders>
            <w:vAlign w:val="center"/>
          </w:tcPr>
          <w:p w14:paraId="40EA3663">
            <w:pPr>
              <w:widowControl/>
              <w:spacing w:after="156"/>
              <w:jc w:val="center"/>
              <w:textAlignment w:val="center"/>
              <w:rPr>
                <w:b/>
                <w:color w:val="auto"/>
                <w:kern w:val="0"/>
                <w:szCs w:val="21"/>
                <w:highlight w:val="none"/>
                <w:lang w:bidi="ar"/>
              </w:rPr>
            </w:pPr>
            <w:r>
              <w:rPr>
                <w:b/>
                <w:color w:val="auto"/>
                <w:kern w:val="0"/>
                <w:szCs w:val="21"/>
                <w:highlight w:val="none"/>
                <w:lang w:bidi="ar"/>
              </w:rPr>
              <w:t>57.54</w:t>
            </w:r>
          </w:p>
        </w:tc>
      </w:tr>
      <w:tr w14:paraId="413C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752" w:type="dxa"/>
            <w:gridSpan w:val="2"/>
            <w:tcBorders>
              <w:top w:val="single" w:color="auto" w:sz="4" w:space="0"/>
              <w:left w:val="single" w:color="auto" w:sz="4" w:space="0"/>
              <w:bottom w:val="single" w:color="auto" w:sz="4" w:space="0"/>
              <w:right w:val="single" w:color="auto" w:sz="4" w:space="0"/>
            </w:tcBorders>
            <w:vAlign w:val="center"/>
          </w:tcPr>
          <w:p w14:paraId="45E20E65">
            <w:pPr>
              <w:widowControl/>
              <w:spacing w:after="156"/>
              <w:jc w:val="center"/>
              <w:textAlignment w:val="center"/>
              <w:rPr>
                <w:b/>
                <w:color w:val="auto"/>
                <w:kern w:val="0"/>
                <w:szCs w:val="21"/>
                <w:highlight w:val="none"/>
                <w:lang w:bidi="ar"/>
              </w:rPr>
            </w:pPr>
            <w:r>
              <w:rPr>
                <w:rFonts w:hint="eastAsia"/>
                <w:b/>
                <w:color w:val="auto"/>
                <w:kern w:val="0"/>
                <w:szCs w:val="21"/>
                <w:highlight w:val="none"/>
                <w:lang w:bidi="ar"/>
              </w:rPr>
              <w:t>合计</w:t>
            </w:r>
          </w:p>
        </w:tc>
        <w:tc>
          <w:tcPr>
            <w:tcW w:w="2345" w:type="dxa"/>
            <w:tcBorders>
              <w:top w:val="single" w:color="auto" w:sz="4" w:space="0"/>
              <w:left w:val="single" w:color="auto" w:sz="4" w:space="0"/>
              <w:bottom w:val="single" w:color="auto" w:sz="4" w:space="0"/>
              <w:right w:val="single" w:color="auto" w:sz="4" w:space="0"/>
            </w:tcBorders>
            <w:vAlign w:val="center"/>
          </w:tcPr>
          <w:p w14:paraId="74467282">
            <w:pPr>
              <w:widowControl/>
              <w:spacing w:after="156"/>
              <w:jc w:val="center"/>
              <w:textAlignment w:val="center"/>
              <w:rPr>
                <w:b/>
                <w:color w:val="auto"/>
                <w:kern w:val="0"/>
                <w:szCs w:val="21"/>
                <w:highlight w:val="none"/>
                <w:lang w:bidi="ar"/>
              </w:rPr>
            </w:pPr>
            <w:r>
              <w:rPr>
                <w:rFonts w:hint="eastAsia"/>
                <w:b/>
                <w:color w:val="auto"/>
                <w:kern w:val="0"/>
                <w:szCs w:val="21"/>
                <w:highlight w:val="none"/>
                <w:lang w:bidi="ar"/>
              </w:rPr>
              <w:t>1</w:t>
            </w:r>
            <w:r>
              <w:rPr>
                <w:b/>
                <w:color w:val="auto"/>
                <w:kern w:val="0"/>
                <w:szCs w:val="21"/>
                <w:highlight w:val="none"/>
                <w:lang w:bidi="ar"/>
              </w:rPr>
              <w:t>657.1</w:t>
            </w:r>
          </w:p>
        </w:tc>
      </w:tr>
    </w:tbl>
    <w:p w14:paraId="3AE4AEC5">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（1）投标人应按本采购需求中的</w:t>
      </w:r>
      <w:r>
        <w:rPr>
          <w:rFonts w:hint="eastAsia" w:cs="Times New Roman"/>
          <w:b/>
          <w:bCs/>
          <w:color w:val="auto"/>
          <w:szCs w:val="21"/>
          <w:highlight w:val="none"/>
        </w:rPr>
        <w:t>《分项汇总限价表》</w:t>
      </w:r>
      <w:r>
        <w:rPr>
          <w:rFonts w:hint="eastAsia" w:cs="Times New Roman"/>
          <w:color w:val="auto"/>
          <w:szCs w:val="21"/>
          <w:highlight w:val="none"/>
        </w:rPr>
        <w:t>逐项进行报价，且相应分项汇总金额不得超过上表中的分项汇总限价金额，否则视为</w:t>
      </w:r>
      <w:r>
        <w:rPr>
          <w:rFonts w:hint="eastAsia" w:cs="Times New Roman"/>
          <w:b/>
          <w:bCs/>
          <w:color w:val="auto"/>
          <w:szCs w:val="21"/>
          <w:highlight w:val="none"/>
        </w:rPr>
        <w:t>无效投标。</w:t>
      </w:r>
    </w:p>
    <w:p w14:paraId="2A858EC5">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（2）数据处理服务原则上按照《关于省级政务信息化建设项目支出预算标准的规定》豫财预〔2024〕105号）文件据实结算。</w:t>
      </w:r>
    </w:p>
    <w:p w14:paraId="3BE88771">
      <w:pPr>
        <w:adjustRightInd w:val="0"/>
        <w:snapToGrid w:val="0"/>
        <w:spacing w:after="120" w:afterLines="50" w:line="360" w:lineRule="auto"/>
        <w:ind w:firstLine="422" w:firstLineChars="200"/>
        <w:rPr>
          <w:rFonts w:cs="Times New Roman"/>
          <w:color w:val="auto"/>
          <w:szCs w:val="21"/>
          <w:highlight w:val="none"/>
        </w:rPr>
      </w:pPr>
      <w:r>
        <w:rPr>
          <w:rFonts w:hint="eastAsia" w:cs="Times New Roman"/>
          <w:b/>
          <w:bCs/>
          <w:color w:val="auto"/>
          <w:szCs w:val="21"/>
          <w:highlight w:val="none"/>
        </w:rPr>
        <w:t>5.质保期（免费维护期）：</w:t>
      </w:r>
      <w:r>
        <w:rPr>
          <w:rFonts w:hint="eastAsia" w:cs="Times New Roman"/>
          <w:color w:val="auto"/>
          <w:szCs w:val="21"/>
          <w:highlight w:val="none"/>
        </w:rPr>
        <w:t>自项目竣工验收合格之日起开始计算，成品软件免费运维三年；其他免费运维一年。针对本项目提供7*24免费售后技术支持服务（包括但不限于版本升级、漏洞修复、故障排除、性能调优、技术咨询等）。</w:t>
      </w:r>
    </w:p>
    <w:p w14:paraId="2F3CBBBB">
      <w:pPr>
        <w:spacing w:line="360" w:lineRule="auto"/>
        <w:ind w:firstLine="422" w:firstLineChars="200"/>
        <w:rPr>
          <w:rFonts w:cs="Times New Roman"/>
          <w:b/>
          <w:color w:val="auto"/>
          <w:szCs w:val="21"/>
          <w:highlight w:val="none"/>
          <w:lang w:val="zh-CN"/>
        </w:rPr>
      </w:pPr>
      <w:r>
        <w:rPr>
          <w:rFonts w:hint="eastAsia" w:cs="Times New Roman"/>
          <w:b/>
          <w:color w:val="auto"/>
          <w:szCs w:val="21"/>
          <w:highlight w:val="none"/>
        </w:rPr>
        <w:t>6.</w:t>
      </w:r>
      <w:r>
        <w:rPr>
          <w:rFonts w:hint="eastAsia" w:cs="Times New Roman"/>
          <w:b/>
          <w:color w:val="auto"/>
          <w:szCs w:val="21"/>
          <w:highlight w:val="none"/>
          <w:lang w:val="zh-CN"/>
        </w:rPr>
        <w:t>采购内容：</w:t>
      </w:r>
      <w:r>
        <w:rPr>
          <w:rFonts w:hint="eastAsia" w:cs="Times New Roman"/>
          <w:bCs/>
          <w:color w:val="auto"/>
          <w:szCs w:val="21"/>
          <w:highlight w:val="none"/>
          <w:lang w:val="zh-CN"/>
        </w:rPr>
        <w:t>（1）以电子航道图在沙颍河和淮河总计400公里的航道全面覆盖、联通运行、统一运维和一体化服务为总体目标，建立河南电子航道图生产和应用体系，形成电子航道图自主生产制作与应用服务能力，面向省内航道管养系统以及航行船舶提供统一的河南电子航道图数据服务。（2）开展内河航运综合监管服务平台建设，包含港航项目建设管理模块、航道养护管理模块、航道运行监测模块、船闸联合调度管理模块、海事业务监管模块、港口监管与服务模块、应急搜救指挥模块、对外信息服务模块、智慧一张图模块。负责在采购人指定地点制作电子航道图，开发、调试软件，负责相关软硬件购置及安装集成、系统相关数据资源建设、相关标准规范建设、系统部署及推广应用，并负责培训采购人（含相关用户单位）人员，使所建设的系统得以正常运行，满足采购人（含相关用户单位）的需要。</w:t>
      </w:r>
    </w:p>
    <w:p w14:paraId="6564A8CF">
      <w:pPr>
        <w:keepNext/>
        <w:keepLines/>
        <w:spacing w:line="360" w:lineRule="auto"/>
        <w:outlineLvl w:val="2"/>
        <w:rPr>
          <w:rFonts w:ascii="Arial" w:hAnsi="Arial" w:cs="Times New Roman"/>
          <w:b/>
          <w:bCs/>
          <w:color w:val="auto"/>
          <w:sz w:val="24"/>
          <w:highlight w:val="none"/>
        </w:rPr>
      </w:pPr>
      <w:r>
        <w:rPr>
          <w:rFonts w:hint="eastAsia" w:ascii="Arial" w:hAnsi="Arial" w:cs="Times New Roman"/>
          <w:b/>
          <w:bCs/>
          <w:color w:val="auto"/>
          <w:sz w:val="24"/>
          <w:highlight w:val="none"/>
        </w:rPr>
        <w:t>二、建设要求</w:t>
      </w:r>
    </w:p>
    <w:p w14:paraId="130FCF4B">
      <w:pPr>
        <w:keepNext/>
        <w:keepLines/>
        <w:spacing w:line="360" w:lineRule="auto"/>
        <w:outlineLvl w:val="3"/>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（一）基本要求</w:t>
      </w:r>
    </w:p>
    <w:p w14:paraId="1000F78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cs="Arial"/>
          <w:color w:val="auto"/>
          <w:szCs w:val="21"/>
          <w:highlight w:val="none"/>
        </w:rPr>
        <w:t>1</w:t>
      </w:r>
      <w:r>
        <w:rPr>
          <w:rFonts w:hint="eastAsia" w:cs="Arial"/>
          <w:color w:val="auto"/>
          <w:szCs w:val="21"/>
          <w:highlight w:val="none"/>
          <w:lang w:eastAsia="zh-CN"/>
        </w:rPr>
        <w:t>.</w:t>
      </w:r>
      <w:r>
        <w:rPr>
          <w:rFonts w:hint="eastAsia" w:ascii="宋体" w:hAnsi="宋体" w:eastAsia="宋体" w:cs="宋体"/>
          <w:color w:val="auto"/>
          <w:sz w:val="21"/>
          <w:szCs w:val="21"/>
          <w:highlight w:val="none"/>
          <w:lang w:val="en-US" w:eastAsia="zh-CN"/>
        </w:rPr>
        <w:t>中标人承担河南省“一轴一廊”交通基础设施数字化转型升级示范通道及网络项目中地理信息平台建设，具体内容包括但不限于：中标人应当完成项目需求调研与确认、软件开发与实施（概要设计、详细设计及编码）、软件购置、接口开发、数据资源建设、试运行、培训、部署及推广应用、验收、升级与售后服务等，满足采购人（含相关用户单位）的需要，并正常运行。</w:t>
      </w:r>
    </w:p>
    <w:p w14:paraId="3E5CA327">
      <w:pPr>
        <w:spacing w:line="360" w:lineRule="auto"/>
        <w:ind w:firstLine="420" w:firstLineChars="200"/>
        <w:rPr>
          <w:rFonts w:cs="Arial"/>
          <w:color w:val="auto"/>
          <w:szCs w:val="21"/>
          <w:highlight w:val="none"/>
        </w:rPr>
      </w:pPr>
      <w:r>
        <w:rPr>
          <w:rFonts w:hint="eastAsia" w:cs="Arial"/>
          <w:color w:val="auto"/>
          <w:szCs w:val="21"/>
          <w:highlight w:val="none"/>
        </w:rPr>
        <w:t>2.因本项目涉及多家用户单位，中标人应加强与采购人以及各相关用户单位的汇报、沟通、对接，确保项目建成后符合本项目招标文件中技术规格书、报交通运输部备案的《河南省“一轴一廊”交通基础设施数字化转型升级示范通道及网络实施方案》以及经河南省发展和改革委员会批复的《河南省智慧交通服务云平台项目初步设计和投资概算》等全部要求，并应符合交通运输部、河南省相关技术标准、规范及文件要求，最终确保满足交通运输部组织的绩效评价考核各项考评指标要求。</w:t>
      </w:r>
    </w:p>
    <w:p w14:paraId="729D5C51">
      <w:pPr>
        <w:spacing w:line="360" w:lineRule="auto"/>
        <w:ind w:firstLine="420" w:firstLineChars="200"/>
        <w:rPr>
          <w:rFonts w:cs="Arial"/>
          <w:color w:val="auto"/>
          <w:szCs w:val="21"/>
          <w:highlight w:val="none"/>
        </w:rPr>
      </w:pPr>
      <w:r>
        <w:rPr>
          <w:rFonts w:hint="eastAsia" w:cs="Arial"/>
          <w:color w:val="auto"/>
          <w:szCs w:val="21"/>
          <w:highlight w:val="none"/>
        </w:rPr>
        <w:t>3.因本项目需与河南省公路水路交通基础设施数字化转型升级工程厅本级以外的其他系统对接及业务协同，中标人应负责相关系统对接及外场设备设施接入的协调、开发和适配等工作。</w:t>
      </w:r>
    </w:p>
    <w:p w14:paraId="762303FE">
      <w:pPr>
        <w:spacing w:line="360" w:lineRule="auto"/>
        <w:ind w:firstLine="420" w:firstLineChars="200"/>
        <w:rPr>
          <w:rFonts w:cs="Arial"/>
          <w:color w:val="auto"/>
          <w:szCs w:val="21"/>
          <w:highlight w:val="none"/>
        </w:rPr>
      </w:pPr>
      <w:r>
        <w:rPr>
          <w:rFonts w:hint="eastAsia" w:cs="Arial"/>
          <w:color w:val="auto"/>
          <w:szCs w:val="21"/>
          <w:highlight w:val="none"/>
        </w:rPr>
        <w:t>4.中标人应按照采购人制订的数据及业务整合相关标准、规范及要求开展项目建设。</w:t>
      </w:r>
    </w:p>
    <w:p w14:paraId="74E9FCF9">
      <w:pPr>
        <w:spacing w:line="360" w:lineRule="auto"/>
        <w:ind w:firstLine="420" w:firstLineChars="200"/>
        <w:rPr>
          <w:rFonts w:cs="Arial"/>
          <w:color w:val="auto"/>
          <w:szCs w:val="21"/>
          <w:highlight w:val="none"/>
        </w:rPr>
      </w:pPr>
      <w:r>
        <w:rPr>
          <w:rFonts w:hint="eastAsia" w:cs="Arial"/>
          <w:color w:val="auto"/>
          <w:szCs w:val="21"/>
          <w:highlight w:val="none"/>
        </w:rPr>
        <w:t>5.中标人开发软件必须遵守国家《中华人民共和国网络安全法》《中华人民共和国数据安全法》《中华人民共和国个人信息保护法》《信息安全技术个人信息安全规范》等有关的法律法规，不得造成采购人因使用该软件出现数据合规风险和承担法律责任。</w:t>
      </w:r>
    </w:p>
    <w:p w14:paraId="1FFACD4D">
      <w:pPr>
        <w:spacing w:line="360" w:lineRule="auto"/>
        <w:ind w:firstLine="420" w:firstLineChars="200"/>
        <w:rPr>
          <w:rFonts w:cs="Arial"/>
          <w:color w:val="auto"/>
          <w:szCs w:val="21"/>
          <w:highlight w:val="none"/>
        </w:rPr>
      </w:pPr>
      <w:r>
        <w:rPr>
          <w:rFonts w:hint="eastAsia" w:cs="Arial"/>
          <w:color w:val="auto"/>
          <w:szCs w:val="21"/>
          <w:highlight w:val="none"/>
        </w:rPr>
        <w:t>6.完成本包移动端功能开发，并集成至运行监测预警服务提供的移动终端APP。</w:t>
      </w:r>
    </w:p>
    <w:p w14:paraId="0A355142">
      <w:pPr>
        <w:spacing w:line="360" w:lineRule="auto"/>
        <w:ind w:firstLine="420" w:firstLineChars="200"/>
        <w:rPr>
          <w:rFonts w:cs="Arial"/>
          <w:color w:val="auto"/>
          <w:szCs w:val="21"/>
          <w:highlight w:val="none"/>
        </w:rPr>
      </w:pPr>
      <w:r>
        <w:rPr>
          <w:rFonts w:hint="eastAsia" w:cs="Arial"/>
          <w:color w:val="auto"/>
          <w:szCs w:val="21"/>
          <w:highlight w:val="none"/>
        </w:rPr>
        <w:t>7.本项目所有功能均需支持PC端、移动端APP等多端显示和使用，移动端APP需适配安卓、鸿蒙、IOS等移动操作系统。</w:t>
      </w:r>
    </w:p>
    <w:p w14:paraId="3CF74EE4">
      <w:pPr>
        <w:spacing w:line="360" w:lineRule="auto"/>
        <w:ind w:firstLine="420" w:firstLineChars="200"/>
        <w:rPr>
          <w:rFonts w:cs="Arial"/>
          <w:color w:val="auto"/>
          <w:szCs w:val="21"/>
          <w:highlight w:val="none"/>
        </w:rPr>
      </w:pPr>
      <w:r>
        <w:rPr>
          <w:rFonts w:hint="eastAsia" w:cs="Arial"/>
          <w:color w:val="auto"/>
          <w:szCs w:val="21"/>
          <w:highlight w:val="none"/>
        </w:rPr>
        <w:t xml:space="preserve">8. </w:t>
      </w:r>
      <w:r>
        <w:rPr>
          <w:rFonts w:hint="eastAsia" w:ascii="宋体" w:hAnsi="宋体" w:eastAsia="宋体" w:cs="宋体"/>
          <w:color w:val="auto"/>
          <w:sz w:val="21"/>
          <w:szCs w:val="21"/>
          <w:highlight w:val="none"/>
          <w:lang w:val="en-US" w:eastAsia="zh-CN"/>
        </w:rPr>
        <w:t>合同签订之日起6个月内，中标人应当完成</w:t>
      </w:r>
      <w:r>
        <w:rPr>
          <w:rFonts w:hint="eastAsia" w:cs="宋体"/>
          <w:color w:val="auto"/>
          <w:sz w:val="21"/>
          <w:szCs w:val="21"/>
          <w:highlight w:val="none"/>
          <w:lang w:val="en-US" w:eastAsia="zh-CN"/>
        </w:rPr>
        <w:t>电子航道图的采集和制作工作</w:t>
      </w:r>
      <w:r>
        <w:rPr>
          <w:rFonts w:hint="eastAsia" w:ascii="宋体" w:hAnsi="宋体" w:eastAsia="宋体" w:cs="宋体"/>
          <w:color w:val="auto"/>
          <w:sz w:val="21"/>
          <w:szCs w:val="21"/>
          <w:highlight w:val="none"/>
          <w:lang w:val="en-US" w:eastAsia="zh-CN"/>
        </w:rPr>
        <w:t>。</w:t>
      </w:r>
      <w:r>
        <w:rPr>
          <w:rFonts w:hint="eastAsia" w:cs="Arial"/>
          <w:color w:val="auto"/>
          <w:szCs w:val="21"/>
          <w:highlight w:val="none"/>
        </w:rPr>
        <w:t>合同签订之日起14个月内，中标人应当完成品软硬件和系统集成工作，完成软件系统及接口开发、完成软硬件设备的到货验收、数据资源相关建设，完成系统测试、软硬件部署。由中标人组织交工验收，由采购人同意后，相关系统进入系统联调。</w:t>
      </w:r>
    </w:p>
    <w:p w14:paraId="15163923">
      <w:pPr>
        <w:keepNext/>
        <w:keepLines/>
        <w:spacing w:line="360" w:lineRule="auto"/>
        <w:outlineLvl w:val="3"/>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（二）功能需求</w:t>
      </w:r>
    </w:p>
    <w:p w14:paraId="2F8A6E82">
      <w:pPr>
        <w:spacing w:line="360" w:lineRule="auto"/>
        <w:ind w:firstLine="420" w:firstLineChars="200"/>
        <w:rPr>
          <w:rFonts w:cs="Arial"/>
          <w:color w:val="auto"/>
          <w:szCs w:val="21"/>
          <w:highlight w:val="none"/>
        </w:rPr>
      </w:pPr>
      <w:r>
        <w:rPr>
          <w:rFonts w:hint="eastAsia" w:cs="Arial"/>
          <w:color w:val="auto"/>
          <w:szCs w:val="21"/>
          <w:highlight w:val="none"/>
        </w:rPr>
        <w:t>本包主要包括电子航道图生产与内河航运综合监管服务平台研发两个部分。</w:t>
      </w:r>
    </w:p>
    <w:p w14:paraId="2407F7E1">
      <w:pPr>
        <w:spacing w:line="360" w:lineRule="auto"/>
        <w:ind w:firstLine="420"/>
        <w:rPr>
          <w:rFonts w:cs="Arial"/>
          <w:color w:val="auto"/>
          <w:szCs w:val="21"/>
          <w:highlight w:val="none"/>
        </w:rPr>
      </w:pPr>
      <w:r>
        <w:rPr>
          <w:rFonts w:hint="eastAsia" w:cs="Arial"/>
          <w:color w:val="auto"/>
          <w:szCs w:val="21"/>
          <w:highlight w:val="none"/>
        </w:rPr>
        <w:t>1.电子航道图</w:t>
      </w:r>
    </w:p>
    <w:p w14:paraId="35EC4CC4">
      <w:pPr>
        <w:spacing w:line="360" w:lineRule="auto"/>
        <w:ind w:firstLine="420"/>
        <w:rPr>
          <w:rFonts w:cs="Arial"/>
          <w:color w:val="auto"/>
          <w:szCs w:val="21"/>
          <w:highlight w:val="none"/>
        </w:rPr>
      </w:pPr>
      <w:r>
        <w:rPr>
          <w:rFonts w:hint="eastAsia" w:cs="Arial"/>
          <w:color w:val="auto"/>
          <w:szCs w:val="21"/>
          <w:highlight w:val="none"/>
        </w:rPr>
        <w:t>以电子航道图在沙颍河和淮河总计400公里的航道全面覆盖、联通运行、统一运维和一体化服务为总体目标，建立河南电子航道图生产和应用体系，形成电子航道图自主生产制作与应用服务能力，面向省内航道管养系统以及航行船舶提供统一的河南电子航道图数据服务。</w:t>
      </w:r>
    </w:p>
    <w:p w14:paraId="7D721EF8">
      <w:pPr>
        <w:spacing w:line="360" w:lineRule="auto"/>
        <w:ind w:firstLine="420"/>
        <w:rPr>
          <w:rFonts w:cs="Arial"/>
          <w:color w:val="auto"/>
          <w:szCs w:val="21"/>
          <w:highlight w:val="none"/>
        </w:rPr>
      </w:pPr>
      <w:r>
        <w:rPr>
          <w:rFonts w:hint="eastAsia" w:cs="Arial"/>
          <w:color w:val="auto"/>
          <w:szCs w:val="21"/>
          <w:highlight w:val="none"/>
        </w:rPr>
        <w:t>2.内河航运综合监管服务</w:t>
      </w:r>
    </w:p>
    <w:p w14:paraId="702E6CD6">
      <w:pPr>
        <w:spacing w:line="360" w:lineRule="auto"/>
        <w:ind w:firstLine="420" w:firstLineChars="200"/>
        <w:rPr>
          <w:rFonts w:cs="Arial"/>
          <w:color w:val="auto"/>
          <w:szCs w:val="21"/>
          <w:highlight w:val="none"/>
        </w:rPr>
      </w:pPr>
      <w:r>
        <w:rPr>
          <w:rFonts w:hint="eastAsia" w:cs="Arial"/>
          <w:color w:val="auto"/>
          <w:szCs w:val="21"/>
          <w:highlight w:val="none"/>
        </w:rPr>
        <w:t>开展内河航运综合监管服务平台建设，包含港航项目建设管理模块、航道养护管理模块、航道运行监测模块、船闸联合调度管理模块、海事业务监管模块、港口监管与服务模块、应急搜救指挥模块、对外信息服务模块、智慧一张图模块。</w:t>
      </w:r>
    </w:p>
    <w:p w14:paraId="754EF9DD">
      <w:pPr>
        <w:keepNext/>
        <w:keepLines/>
        <w:spacing w:line="360" w:lineRule="auto"/>
        <w:outlineLvl w:val="3"/>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（三）系统性能要求</w:t>
      </w:r>
    </w:p>
    <w:p w14:paraId="3DEA7B1F">
      <w:pPr>
        <w:spacing w:line="360" w:lineRule="auto"/>
        <w:ind w:firstLine="420" w:firstLineChars="200"/>
        <w:rPr>
          <w:color w:val="auto"/>
          <w:szCs w:val="21"/>
          <w:highlight w:val="none"/>
          <w:lang w:val="zh-CN"/>
        </w:rPr>
      </w:pPr>
      <w:r>
        <w:rPr>
          <w:rFonts w:hint="eastAsia"/>
          <w:color w:val="auto"/>
          <w:szCs w:val="21"/>
          <w:highlight w:val="none"/>
          <w:lang w:val="zh-CN"/>
        </w:rPr>
        <w:t>具体要求详见本采购需求附件</w:t>
      </w:r>
    </w:p>
    <w:p w14:paraId="7EF11FAD">
      <w:pPr>
        <w:keepNext/>
        <w:keepLines/>
        <w:autoSpaceDE w:val="0"/>
        <w:spacing w:line="360" w:lineRule="auto"/>
        <w:outlineLvl w:val="3"/>
        <w:rPr>
          <w:rFonts w:ascii="Times New Roman" w:hAnsi="Times New Roman" w:cs="Times New Roman"/>
          <w:b/>
          <w:bCs/>
          <w:color w:val="auto"/>
          <w:szCs w:val="21"/>
          <w:highlight w:val="none"/>
        </w:rPr>
      </w:pPr>
      <w:r>
        <w:rPr>
          <w:rFonts w:hint="eastAsia"/>
          <w:b/>
          <w:bCs/>
          <w:color w:val="auto"/>
          <w:szCs w:val="21"/>
          <w:highlight w:val="none"/>
        </w:rPr>
        <w:t>（四）信创要求</w:t>
      </w:r>
    </w:p>
    <w:p w14:paraId="7C733D59">
      <w:pPr>
        <w:adjustRightInd w:val="0"/>
        <w:snapToGrid w:val="0"/>
        <w:spacing w:after="120" w:afterLines="50" w:line="360" w:lineRule="auto"/>
        <w:ind w:firstLine="420" w:firstLineChars="200"/>
        <w:rPr>
          <w:rFonts w:cs="Arial"/>
          <w:color w:val="auto"/>
          <w:szCs w:val="21"/>
          <w:highlight w:val="none"/>
          <w:lang w:bidi="ar"/>
        </w:rPr>
      </w:pPr>
      <w:r>
        <w:rPr>
          <w:rFonts w:hint="eastAsia" w:cs="Arial"/>
          <w:color w:val="auto"/>
          <w:szCs w:val="21"/>
          <w:highlight w:val="none"/>
          <w:lang w:bidi="ar"/>
        </w:rPr>
        <w:t>为贯彻国家信息化创新（信创）发展战略，确保本项目在关键技术上的自主可控与安全可靠，本项目要求须全面符合国家信创标准。具体包括：</w:t>
      </w:r>
    </w:p>
    <w:p w14:paraId="6A540339">
      <w:pPr>
        <w:adjustRightInd w:val="0"/>
        <w:snapToGrid w:val="0"/>
        <w:spacing w:after="120" w:afterLines="50" w:line="360" w:lineRule="auto"/>
        <w:ind w:firstLine="420" w:firstLineChars="200"/>
        <w:rPr>
          <w:rFonts w:cs="Arial"/>
          <w:color w:val="auto"/>
          <w:szCs w:val="21"/>
          <w:highlight w:val="none"/>
          <w:lang w:bidi="ar"/>
        </w:rPr>
      </w:pPr>
      <w:r>
        <w:rPr>
          <w:rFonts w:hint="eastAsia" w:cs="Arial"/>
          <w:color w:val="auto"/>
          <w:szCs w:val="21"/>
          <w:highlight w:val="none"/>
          <w:lang w:bidi="ar"/>
        </w:rPr>
        <w:t>1.技术路线要求：投标人提供的硬件及成品软件须为符合信创技术路线的产品。</w:t>
      </w:r>
    </w:p>
    <w:p w14:paraId="75BC61BC">
      <w:pPr>
        <w:adjustRightInd w:val="0"/>
        <w:snapToGrid w:val="0"/>
        <w:spacing w:after="120" w:afterLines="50" w:line="360" w:lineRule="auto"/>
        <w:ind w:firstLine="420" w:firstLineChars="200"/>
        <w:rPr>
          <w:rFonts w:cs="Arial"/>
          <w:color w:val="auto"/>
          <w:szCs w:val="21"/>
          <w:highlight w:val="none"/>
          <w:lang w:bidi="ar"/>
        </w:rPr>
      </w:pPr>
      <w:r>
        <w:rPr>
          <w:rFonts w:hint="eastAsia" w:cs="Arial"/>
          <w:color w:val="auto"/>
          <w:szCs w:val="21"/>
          <w:highlight w:val="none"/>
          <w:lang w:bidi="ar"/>
        </w:rPr>
        <w:t>2.产品兼容性：投标人须确保其提供的系统软件、应用软件与中国信息安全测评中心发布的安全可靠测评结果公告内的主流国产基础软硬件具有良好的兼容性。须同时兼容C86和ARM架构。</w:t>
      </w:r>
    </w:p>
    <w:p w14:paraId="63C58A9B">
      <w:pPr>
        <w:adjustRightInd w:val="0"/>
        <w:snapToGrid w:val="0"/>
        <w:spacing w:after="120" w:afterLines="50" w:line="360" w:lineRule="auto"/>
        <w:ind w:firstLine="420" w:firstLineChars="200"/>
        <w:rPr>
          <w:rFonts w:cs="Arial"/>
          <w:color w:val="auto"/>
          <w:szCs w:val="21"/>
          <w:highlight w:val="none"/>
          <w:lang w:bidi="ar"/>
        </w:rPr>
      </w:pPr>
      <w:r>
        <w:rPr>
          <w:rFonts w:hint="eastAsia" w:cs="Arial"/>
          <w:color w:val="auto"/>
          <w:szCs w:val="21"/>
          <w:highlight w:val="none"/>
          <w:lang w:bidi="ar"/>
        </w:rPr>
        <w:t>3.安全可控要求：系统设计应遵循安全可控原则，从数据安全、网络安全、身份认证与访问控制等方面，利用国产化技术体系实现安全增强，确保从底层基础设施到上层应用的全链路安全。</w:t>
      </w:r>
    </w:p>
    <w:p w14:paraId="78FF2497">
      <w:pPr>
        <w:spacing w:line="360" w:lineRule="auto"/>
        <w:ind w:firstLine="420" w:firstLineChars="200"/>
        <w:rPr>
          <w:rFonts w:cs="Arial"/>
          <w:color w:val="auto"/>
          <w:szCs w:val="21"/>
          <w:highlight w:val="none"/>
        </w:rPr>
      </w:pPr>
      <w:r>
        <w:rPr>
          <w:rFonts w:hint="eastAsia" w:cs="Arial"/>
          <w:color w:val="auto"/>
          <w:szCs w:val="21"/>
          <w:highlight w:val="none"/>
          <w:lang w:bidi="ar"/>
        </w:rPr>
        <w:t>4.实施与交付：中标人应在项目实施、部署、测试及试运行等各个环节，确保所开发的系统完成在国产化环境下的适配、调优与稳定运行，最终交付的系统必须是完整、可用的国产化信息系统。</w:t>
      </w:r>
    </w:p>
    <w:p w14:paraId="52DA4564">
      <w:pPr>
        <w:keepNext/>
        <w:keepLines/>
        <w:autoSpaceDE w:val="0"/>
        <w:spacing w:line="360" w:lineRule="auto"/>
        <w:outlineLvl w:val="3"/>
        <w:rPr>
          <w:rFonts w:ascii="Times New Roman" w:hAnsi="Times New Roman" w:cs="Times New Roman"/>
          <w:b/>
          <w:bCs/>
          <w:color w:val="auto"/>
          <w:szCs w:val="21"/>
          <w:highlight w:val="none"/>
        </w:rPr>
      </w:pPr>
      <w:r>
        <w:rPr>
          <w:rFonts w:hint="eastAsia"/>
          <w:b/>
          <w:bCs/>
          <w:color w:val="auto"/>
          <w:szCs w:val="21"/>
          <w:highlight w:val="none"/>
        </w:rPr>
        <w:t>（五）等保要求</w:t>
      </w:r>
    </w:p>
    <w:p w14:paraId="4CD4391F">
      <w:pPr>
        <w:spacing w:line="360" w:lineRule="auto"/>
        <w:ind w:firstLine="420" w:firstLineChars="200"/>
        <w:rPr>
          <w:rFonts w:cs="Arial"/>
          <w:color w:val="auto"/>
          <w:szCs w:val="21"/>
          <w:highlight w:val="none"/>
          <w:lang w:bidi="ar"/>
        </w:rPr>
      </w:pPr>
      <w:r>
        <w:rPr>
          <w:rFonts w:hint="eastAsia" w:cs="Arial"/>
          <w:color w:val="auto"/>
          <w:szCs w:val="21"/>
          <w:highlight w:val="none"/>
          <w:lang w:bidi="ar"/>
        </w:rPr>
        <w:t>为保障本项目的安全稳定运行，依据《中华人民共和国网络安全法》及国家网络安全等级保护制度，本项目须严格遵循以下要求：</w:t>
      </w:r>
    </w:p>
    <w:p w14:paraId="421C2A07">
      <w:pPr>
        <w:spacing w:line="360" w:lineRule="auto"/>
        <w:ind w:firstLine="420" w:firstLineChars="200"/>
        <w:rPr>
          <w:rFonts w:cs="Arial"/>
          <w:color w:val="auto"/>
          <w:szCs w:val="21"/>
          <w:highlight w:val="none"/>
          <w:lang w:bidi="ar"/>
        </w:rPr>
      </w:pPr>
      <w:r>
        <w:rPr>
          <w:rFonts w:hint="eastAsia" w:cs="Arial"/>
          <w:color w:val="auto"/>
          <w:szCs w:val="21"/>
          <w:highlight w:val="none"/>
          <w:lang w:bidi="ar"/>
        </w:rPr>
        <w:t>1.定级与备案要求：系统安全保护等级原则上不得低于等保三级（项目一阶段设计所明确的等级）。中标人须协助采购人，依据《信息安全技术 网络安全等级保护定级指南》（GB/T 22240-2020）等国家标准，完成系统的等保定级及备案工作。</w:t>
      </w:r>
    </w:p>
    <w:p w14:paraId="67FB75C5">
      <w:pPr>
        <w:spacing w:line="360" w:lineRule="auto"/>
        <w:ind w:firstLine="420" w:firstLineChars="200"/>
        <w:rPr>
          <w:rFonts w:cs="Arial"/>
          <w:color w:val="auto"/>
          <w:szCs w:val="21"/>
          <w:highlight w:val="none"/>
          <w:lang w:bidi="ar"/>
        </w:rPr>
      </w:pPr>
      <w:r>
        <w:rPr>
          <w:rFonts w:hint="eastAsia" w:cs="Arial"/>
          <w:color w:val="auto"/>
          <w:szCs w:val="21"/>
          <w:highlight w:val="none"/>
          <w:lang w:bidi="ar"/>
        </w:rPr>
        <w:t>2.安全设计与建设要求：中标人须在系统设计与开发阶段，严格依据《信息安全技术 网络安全等级保护基本要求》（GB/T 22239-2019）中相应等保级别要求，对系统的技术安全（包括安全物理环境、安全通信网络、安全区域边界、安全计算环境）和管理安全（包括安全管理制度、安全管理机构、安全管理人员、安全建设管理、安全运维管理）进行同步规划、同步建设。</w:t>
      </w:r>
    </w:p>
    <w:p w14:paraId="42DF4B7B">
      <w:pPr>
        <w:spacing w:line="360" w:lineRule="auto"/>
        <w:ind w:firstLine="420" w:firstLineChars="200"/>
        <w:rPr>
          <w:rFonts w:cs="Arial"/>
          <w:color w:val="auto"/>
          <w:szCs w:val="21"/>
          <w:highlight w:val="none"/>
          <w:lang w:bidi="ar"/>
        </w:rPr>
      </w:pPr>
      <w:r>
        <w:rPr>
          <w:rFonts w:hint="eastAsia" w:cs="Arial"/>
          <w:color w:val="auto"/>
          <w:szCs w:val="21"/>
          <w:highlight w:val="none"/>
          <w:lang w:bidi="ar"/>
        </w:rPr>
        <w:t>3.测评与整改要求：系统开发部署完成后，中标人须配合采购人委托的具有资质的第三方测评机构，对系统进行全面测评。中标人须负责解决测评过程中发现的所有安全问题并进行整改，直至所有系统通过测评。</w:t>
      </w:r>
    </w:p>
    <w:p w14:paraId="5E7C2E52">
      <w:pPr>
        <w:keepNext/>
        <w:keepLines/>
        <w:autoSpaceDE w:val="0"/>
        <w:spacing w:line="360" w:lineRule="auto"/>
        <w:outlineLvl w:val="3"/>
        <w:rPr>
          <w:rFonts w:ascii="Times New Roman" w:hAnsi="Times New Roman" w:cs="Times New Roman"/>
          <w:b/>
          <w:bCs/>
          <w:color w:val="auto"/>
          <w:szCs w:val="21"/>
          <w:highlight w:val="none"/>
        </w:rPr>
      </w:pPr>
      <w:r>
        <w:rPr>
          <w:rFonts w:hint="eastAsia"/>
          <w:b/>
          <w:bCs/>
          <w:color w:val="auto"/>
          <w:szCs w:val="21"/>
          <w:highlight w:val="none"/>
        </w:rPr>
        <w:t>（六）国密要求</w:t>
      </w:r>
    </w:p>
    <w:p w14:paraId="179932DD">
      <w:pPr>
        <w:spacing w:line="360" w:lineRule="auto"/>
        <w:ind w:firstLine="420" w:firstLineChars="200"/>
        <w:rPr>
          <w:color w:val="auto"/>
          <w:szCs w:val="21"/>
          <w:highlight w:val="none"/>
          <w:lang w:bidi="ar"/>
        </w:rPr>
      </w:pPr>
      <w:r>
        <w:rPr>
          <w:rFonts w:hint="eastAsia"/>
          <w:color w:val="auto"/>
          <w:szCs w:val="21"/>
          <w:highlight w:val="none"/>
          <w:lang w:bidi="ar"/>
        </w:rPr>
        <w:t>为保障本项目数据传输、存储及应用系统的安全可控，满足国家密码法律法规及商用密码管理要求，本项目在密码技术的应用上须遵循以下规定：</w:t>
      </w:r>
    </w:p>
    <w:p w14:paraId="2CA56249">
      <w:pPr>
        <w:spacing w:line="360" w:lineRule="auto"/>
        <w:ind w:firstLine="420" w:firstLineChars="200"/>
        <w:rPr>
          <w:color w:val="auto"/>
          <w:szCs w:val="21"/>
          <w:highlight w:val="none"/>
          <w:lang w:bidi="ar"/>
        </w:rPr>
      </w:pPr>
      <w:r>
        <w:rPr>
          <w:rFonts w:hint="eastAsia"/>
          <w:color w:val="auto"/>
          <w:szCs w:val="21"/>
          <w:highlight w:val="none"/>
          <w:lang w:bidi="ar"/>
        </w:rPr>
        <w:t>1.算法标准：所有系统必须采用国家密码管理局批准的国产商用密码算法，包括但不限于SM2、SM3、SM4等，用于实现系统的身份认证、数字签名、数据加密、完整性保护等安全功能。</w:t>
      </w:r>
    </w:p>
    <w:p w14:paraId="5FF695E6">
      <w:pPr>
        <w:spacing w:line="360" w:lineRule="auto"/>
        <w:ind w:firstLine="420" w:firstLineChars="200"/>
        <w:rPr>
          <w:color w:val="auto"/>
          <w:szCs w:val="21"/>
          <w:highlight w:val="none"/>
          <w:lang w:bidi="ar"/>
        </w:rPr>
      </w:pPr>
      <w:r>
        <w:rPr>
          <w:rFonts w:hint="eastAsia"/>
          <w:color w:val="auto"/>
          <w:szCs w:val="21"/>
          <w:highlight w:val="none"/>
          <w:lang w:bidi="ar"/>
        </w:rPr>
        <w:t>2.应用场景：国密算法应用场景包括但不限于传输、存储、身份认证、数字签名等</w:t>
      </w:r>
    </w:p>
    <w:p w14:paraId="75A00949">
      <w:pPr>
        <w:spacing w:line="360" w:lineRule="auto"/>
        <w:ind w:firstLine="420" w:firstLineChars="200"/>
        <w:rPr>
          <w:color w:val="auto"/>
          <w:szCs w:val="21"/>
          <w:highlight w:val="none"/>
          <w:lang w:bidi="ar"/>
        </w:rPr>
      </w:pPr>
      <w:r>
        <w:rPr>
          <w:rFonts w:hint="eastAsia"/>
          <w:color w:val="auto"/>
          <w:szCs w:val="21"/>
          <w:highlight w:val="none"/>
          <w:lang w:bidi="ar"/>
        </w:rPr>
        <w:t>3.产品与合规要求：所使用的密码产品或内嵌密码技术的模块，原则上应选用具有《商用密码产品认证证书》的产品。</w:t>
      </w:r>
    </w:p>
    <w:p w14:paraId="580CB69E">
      <w:pPr>
        <w:spacing w:line="360" w:lineRule="auto"/>
        <w:ind w:firstLine="420" w:firstLineChars="200"/>
        <w:rPr>
          <w:color w:val="auto"/>
          <w:szCs w:val="21"/>
          <w:highlight w:val="none"/>
          <w:lang w:bidi="ar"/>
        </w:rPr>
      </w:pPr>
      <w:r>
        <w:rPr>
          <w:rFonts w:hint="eastAsia"/>
          <w:color w:val="auto"/>
          <w:szCs w:val="21"/>
          <w:highlight w:val="none"/>
          <w:lang w:bidi="ar"/>
        </w:rPr>
        <w:t>4.评估与整改要求：中标人应配合采购人委托的具有资质的第三方评估机构开展商用密码应用安全性评估工作。中标人须负责解决评估过程中发现的所有安全问题并进行整改，直至所有系统通过评估，并取得国家商用密码管理部门出具的备案证明。</w:t>
      </w:r>
    </w:p>
    <w:p w14:paraId="732C31B4">
      <w:pPr>
        <w:keepNext/>
        <w:keepLines/>
        <w:autoSpaceDE w:val="0"/>
        <w:spacing w:line="360" w:lineRule="auto"/>
        <w:outlineLvl w:val="3"/>
        <w:rPr>
          <w:b/>
          <w:bCs/>
          <w:color w:val="auto"/>
          <w:szCs w:val="21"/>
          <w:highlight w:val="none"/>
        </w:rPr>
      </w:pPr>
      <w:r>
        <w:rPr>
          <w:rFonts w:hint="eastAsia"/>
          <w:b/>
          <w:bCs/>
          <w:color w:val="auto"/>
          <w:szCs w:val="21"/>
          <w:highlight w:val="none"/>
        </w:rPr>
        <w:t>（七）数据库创建要求</w:t>
      </w:r>
    </w:p>
    <w:p w14:paraId="246799DD">
      <w:pPr>
        <w:spacing w:line="360" w:lineRule="auto"/>
        <w:ind w:firstLine="420" w:firstLineChars="200"/>
        <w:rPr>
          <w:color w:val="auto"/>
          <w:szCs w:val="21"/>
          <w:highlight w:val="none"/>
          <w:lang w:bidi="ar"/>
        </w:rPr>
      </w:pPr>
      <w:r>
        <w:rPr>
          <w:rFonts w:hint="eastAsia"/>
          <w:color w:val="auto"/>
          <w:szCs w:val="21"/>
          <w:highlight w:val="none"/>
          <w:lang w:bidi="ar"/>
        </w:rPr>
        <w:t>为保障河南省智慧交通服务云平台项目数据库统一管理，本包中标人需提出数据库详细设计，由采购人统一创建数据库。</w:t>
      </w:r>
    </w:p>
    <w:p w14:paraId="0C1FA96D">
      <w:pPr>
        <w:keepNext/>
        <w:keepLines/>
        <w:spacing w:line="360" w:lineRule="auto"/>
        <w:outlineLvl w:val="2"/>
        <w:rPr>
          <w:rFonts w:ascii="Arial" w:hAnsi="Arial" w:cs="Times New Roman"/>
          <w:b/>
          <w:bCs/>
          <w:color w:val="auto"/>
          <w:sz w:val="24"/>
          <w:highlight w:val="none"/>
        </w:rPr>
      </w:pPr>
      <w:r>
        <w:rPr>
          <w:rFonts w:hint="eastAsia" w:ascii="Arial" w:hAnsi="Arial" w:cs="Times New Roman"/>
          <w:b/>
          <w:bCs/>
          <w:color w:val="auto"/>
          <w:sz w:val="24"/>
          <w:highlight w:val="none"/>
        </w:rPr>
        <w:t>三、应用系统技术规格</w:t>
      </w:r>
    </w:p>
    <w:p w14:paraId="3E971286">
      <w:pPr>
        <w:keepNext/>
        <w:keepLines/>
        <w:spacing w:line="360" w:lineRule="auto"/>
        <w:outlineLvl w:val="3"/>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（一）功能要求</w:t>
      </w:r>
    </w:p>
    <w:p w14:paraId="65F9B718">
      <w:pPr>
        <w:spacing w:line="360" w:lineRule="auto"/>
        <w:ind w:firstLine="422" w:firstLineChars="200"/>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1.</w:t>
      </w:r>
      <w:r>
        <w:rPr>
          <w:rFonts w:hint="eastAsia" w:ascii="黑体" w:hAnsi="黑体" w:eastAsia="黑体" w:cs="Times New Roman"/>
          <w:color w:val="auto"/>
          <w:sz w:val="24"/>
          <w:highlight w:val="none"/>
        </w:rPr>
        <w:t xml:space="preserve"> </w:t>
      </w:r>
      <w:r>
        <w:rPr>
          <w:rFonts w:hint="eastAsia" w:ascii="Times New Roman" w:hAnsi="Times New Roman" w:cs="Times New Roman"/>
          <w:b/>
          <w:bCs/>
          <w:color w:val="auto"/>
          <w:szCs w:val="22"/>
          <w:highlight w:val="none"/>
        </w:rPr>
        <w:t>电子航道图</w:t>
      </w:r>
    </w:p>
    <w:tbl>
      <w:tblPr>
        <w:tblStyle w:val="4"/>
        <w:tblW w:w="5000" w:type="pct"/>
        <w:tblInd w:w="0" w:type="dxa"/>
        <w:tblLayout w:type="autofit"/>
        <w:tblCellMar>
          <w:top w:w="0" w:type="dxa"/>
          <w:left w:w="108" w:type="dxa"/>
          <w:bottom w:w="0" w:type="dxa"/>
          <w:right w:w="108" w:type="dxa"/>
        </w:tblCellMar>
      </w:tblPr>
      <w:tblGrid>
        <w:gridCol w:w="1452"/>
        <w:gridCol w:w="1457"/>
        <w:gridCol w:w="5613"/>
      </w:tblGrid>
      <w:tr w14:paraId="20711755">
        <w:tblPrEx>
          <w:tblCellMar>
            <w:top w:w="0" w:type="dxa"/>
            <w:left w:w="108" w:type="dxa"/>
            <w:bottom w:w="0" w:type="dxa"/>
            <w:right w:w="108" w:type="dxa"/>
          </w:tblCellMar>
        </w:tblPrEx>
        <w:trPr>
          <w:trHeight w:val="300" w:hRule="atLeast"/>
        </w:trPr>
        <w:tc>
          <w:tcPr>
            <w:tcW w:w="1707" w:type="pct"/>
            <w:gridSpan w:val="2"/>
            <w:tcBorders>
              <w:top w:val="single" w:color="auto" w:sz="4" w:space="0"/>
              <w:left w:val="single" w:color="auto" w:sz="4" w:space="0"/>
              <w:bottom w:val="single" w:color="auto" w:sz="4" w:space="0"/>
              <w:right w:val="single" w:color="auto" w:sz="4" w:space="0"/>
            </w:tcBorders>
            <w:vAlign w:val="center"/>
          </w:tcPr>
          <w:p w14:paraId="789E170B">
            <w:pPr>
              <w:widowControl/>
              <w:spacing w:line="360" w:lineRule="auto"/>
              <w:jc w:val="center"/>
              <w:rPr>
                <w:b/>
                <w:bCs/>
                <w:color w:val="auto"/>
                <w:kern w:val="0"/>
                <w:szCs w:val="21"/>
                <w:highlight w:val="none"/>
              </w:rPr>
            </w:pPr>
            <w:r>
              <w:rPr>
                <w:rFonts w:hint="eastAsia"/>
                <w:b/>
                <w:bCs/>
                <w:color w:val="auto"/>
                <w:kern w:val="0"/>
                <w:szCs w:val="21"/>
                <w:highlight w:val="none"/>
              </w:rPr>
              <w:t>功能模块</w:t>
            </w:r>
          </w:p>
        </w:tc>
        <w:tc>
          <w:tcPr>
            <w:tcW w:w="3293" w:type="pct"/>
            <w:vMerge w:val="restart"/>
            <w:tcBorders>
              <w:top w:val="single" w:color="auto" w:sz="4" w:space="0"/>
              <w:left w:val="single" w:color="auto" w:sz="4" w:space="0"/>
              <w:bottom w:val="single" w:color="auto" w:sz="4" w:space="0"/>
              <w:right w:val="single" w:color="auto" w:sz="4" w:space="0"/>
            </w:tcBorders>
            <w:vAlign w:val="center"/>
          </w:tcPr>
          <w:p w14:paraId="53E50381">
            <w:pPr>
              <w:widowControl/>
              <w:spacing w:line="360" w:lineRule="auto"/>
              <w:jc w:val="center"/>
              <w:rPr>
                <w:b/>
                <w:bCs/>
                <w:color w:val="auto"/>
                <w:kern w:val="0"/>
                <w:szCs w:val="21"/>
                <w:highlight w:val="none"/>
              </w:rPr>
            </w:pPr>
            <w:r>
              <w:rPr>
                <w:rFonts w:hint="eastAsia"/>
                <w:b/>
                <w:bCs/>
                <w:color w:val="auto"/>
                <w:kern w:val="0"/>
                <w:szCs w:val="21"/>
                <w:highlight w:val="none"/>
              </w:rPr>
              <w:t>功能需求</w:t>
            </w:r>
          </w:p>
        </w:tc>
      </w:tr>
      <w:tr w14:paraId="1A4A9754">
        <w:tblPrEx>
          <w:tblCellMar>
            <w:top w:w="0" w:type="dxa"/>
            <w:left w:w="108" w:type="dxa"/>
            <w:bottom w:w="0" w:type="dxa"/>
            <w:right w:w="108" w:type="dxa"/>
          </w:tblCellMar>
        </w:tblPrEx>
        <w:trPr>
          <w:trHeight w:val="300" w:hRule="atLeast"/>
        </w:trPr>
        <w:tc>
          <w:tcPr>
            <w:tcW w:w="852" w:type="pct"/>
            <w:tcBorders>
              <w:top w:val="nil"/>
              <w:left w:val="single" w:color="auto" w:sz="4" w:space="0"/>
              <w:bottom w:val="single" w:color="auto" w:sz="4" w:space="0"/>
              <w:right w:val="single" w:color="auto" w:sz="4" w:space="0"/>
            </w:tcBorders>
            <w:shd w:val="clear" w:color="000000" w:fill="FFFFFF"/>
            <w:vAlign w:val="center"/>
          </w:tcPr>
          <w:p w14:paraId="01273336">
            <w:pPr>
              <w:widowControl/>
              <w:spacing w:line="360" w:lineRule="auto"/>
              <w:jc w:val="center"/>
              <w:rPr>
                <w:b/>
                <w:bCs/>
                <w:color w:val="auto"/>
                <w:kern w:val="0"/>
                <w:szCs w:val="21"/>
                <w:highlight w:val="none"/>
              </w:rPr>
            </w:pPr>
            <w:r>
              <w:rPr>
                <w:rFonts w:hint="eastAsia"/>
                <w:b/>
                <w:bCs/>
                <w:color w:val="auto"/>
                <w:kern w:val="0"/>
                <w:szCs w:val="21"/>
                <w:highlight w:val="none"/>
              </w:rPr>
              <w:t>一级功能</w:t>
            </w:r>
          </w:p>
        </w:tc>
        <w:tc>
          <w:tcPr>
            <w:tcW w:w="855" w:type="pct"/>
            <w:tcBorders>
              <w:top w:val="nil"/>
              <w:left w:val="nil"/>
              <w:bottom w:val="single" w:color="auto" w:sz="4" w:space="0"/>
              <w:right w:val="single" w:color="auto" w:sz="4" w:space="0"/>
            </w:tcBorders>
            <w:shd w:val="clear" w:color="000000" w:fill="FFFFFF"/>
            <w:vAlign w:val="center"/>
          </w:tcPr>
          <w:p w14:paraId="4C1317EF">
            <w:pPr>
              <w:widowControl/>
              <w:spacing w:line="360" w:lineRule="auto"/>
              <w:jc w:val="center"/>
              <w:rPr>
                <w:b/>
                <w:bCs/>
                <w:color w:val="auto"/>
                <w:kern w:val="0"/>
                <w:szCs w:val="21"/>
                <w:highlight w:val="none"/>
              </w:rPr>
            </w:pPr>
            <w:r>
              <w:rPr>
                <w:rFonts w:hint="eastAsia"/>
                <w:b/>
                <w:bCs/>
                <w:color w:val="auto"/>
                <w:kern w:val="0"/>
                <w:szCs w:val="21"/>
                <w:highlight w:val="none"/>
              </w:rPr>
              <w:t>二级功能</w:t>
            </w:r>
          </w:p>
        </w:tc>
        <w:tc>
          <w:tcPr>
            <w:tcW w:w="3293" w:type="pct"/>
            <w:vMerge w:val="continue"/>
            <w:tcBorders>
              <w:top w:val="single" w:color="auto" w:sz="4" w:space="0"/>
              <w:left w:val="single" w:color="auto" w:sz="4" w:space="0"/>
              <w:bottom w:val="single" w:color="auto" w:sz="4" w:space="0"/>
              <w:right w:val="single" w:color="auto" w:sz="4" w:space="0"/>
            </w:tcBorders>
            <w:vAlign w:val="center"/>
          </w:tcPr>
          <w:p w14:paraId="248119CA">
            <w:pPr>
              <w:widowControl/>
              <w:spacing w:line="360" w:lineRule="auto"/>
              <w:jc w:val="left"/>
              <w:rPr>
                <w:b/>
                <w:bCs/>
                <w:color w:val="auto"/>
                <w:kern w:val="0"/>
                <w:szCs w:val="21"/>
                <w:highlight w:val="none"/>
              </w:rPr>
            </w:pPr>
          </w:p>
        </w:tc>
      </w:tr>
      <w:tr w14:paraId="38208496">
        <w:tblPrEx>
          <w:tblCellMar>
            <w:top w:w="0" w:type="dxa"/>
            <w:left w:w="108" w:type="dxa"/>
            <w:bottom w:w="0" w:type="dxa"/>
            <w:right w:w="108" w:type="dxa"/>
          </w:tblCellMar>
        </w:tblPrEx>
        <w:trPr>
          <w:trHeight w:val="495" w:hRule="atLeast"/>
        </w:trPr>
        <w:tc>
          <w:tcPr>
            <w:tcW w:w="852" w:type="pct"/>
            <w:vMerge w:val="restart"/>
            <w:tcBorders>
              <w:top w:val="nil"/>
              <w:left w:val="single" w:color="auto" w:sz="4" w:space="0"/>
              <w:bottom w:val="single" w:color="auto" w:sz="4" w:space="0"/>
              <w:right w:val="single" w:color="auto" w:sz="4" w:space="0"/>
            </w:tcBorders>
            <w:vAlign w:val="center"/>
          </w:tcPr>
          <w:p w14:paraId="3BD55F64">
            <w:pPr>
              <w:widowControl/>
              <w:spacing w:line="360" w:lineRule="auto"/>
              <w:jc w:val="center"/>
              <w:rPr>
                <w:color w:val="auto"/>
                <w:kern w:val="0"/>
                <w:szCs w:val="21"/>
                <w:highlight w:val="none"/>
              </w:rPr>
            </w:pPr>
            <w:r>
              <w:rPr>
                <w:rFonts w:hint="eastAsia"/>
                <w:color w:val="auto"/>
                <w:kern w:val="0"/>
                <w:szCs w:val="21"/>
                <w:highlight w:val="none"/>
              </w:rPr>
              <w:t>首版电子航道图生产</w:t>
            </w:r>
          </w:p>
        </w:tc>
        <w:tc>
          <w:tcPr>
            <w:tcW w:w="855" w:type="pct"/>
            <w:tcBorders>
              <w:top w:val="nil"/>
              <w:left w:val="nil"/>
              <w:bottom w:val="single" w:color="auto" w:sz="4" w:space="0"/>
              <w:right w:val="single" w:color="auto" w:sz="4" w:space="0"/>
            </w:tcBorders>
            <w:vAlign w:val="center"/>
          </w:tcPr>
          <w:p w14:paraId="109E6AC6">
            <w:pPr>
              <w:widowControl/>
              <w:spacing w:line="360" w:lineRule="auto"/>
              <w:jc w:val="center"/>
              <w:rPr>
                <w:color w:val="auto"/>
                <w:kern w:val="0"/>
                <w:szCs w:val="21"/>
                <w:highlight w:val="none"/>
              </w:rPr>
            </w:pPr>
            <w:r>
              <w:rPr>
                <w:rFonts w:hint="eastAsia"/>
                <w:color w:val="auto"/>
                <w:kern w:val="0"/>
                <w:szCs w:val="21"/>
                <w:highlight w:val="none"/>
              </w:rPr>
              <w:t>数据采集：控制测量</w:t>
            </w:r>
          </w:p>
        </w:tc>
        <w:tc>
          <w:tcPr>
            <w:tcW w:w="3293" w:type="pct"/>
            <w:tcBorders>
              <w:top w:val="nil"/>
              <w:left w:val="nil"/>
              <w:bottom w:val="single" w:color="auto" w:sz="4" w:space="0"/>
              <w:right w:val="single" w:color="auto" w:sz="4" w:space="0"/>
            </w:tcBorders>
            <w:vAlign w:val="center"/>
          </w:tcPr>
          <w:p w14:paraId="1B10D32A">
            <w:pPr>
              <w:widowControl/>
              <w:spacing w:line="360" w:lineRule="auto"/>
              <w:jc w:val="left"/>
              <w:rPr>
                <w:color w:val="auto"/>
                <w:kern w:val="0"/>
                <w:szCs w:val="21"/>
                <w:highlight w:val="none"/>
              </w:rPr>
            </w:pPr>
            <w:r>
              <w:rPr>
                <w:rFonts w:hint="eastAsia"/>
                <w:color w:val="auto"/>
                <w:kern w:val="0"/>
                <w:szCs w:val="21"/>
                <w:highlight w:val="none"/>
              </w:rPr>
              <w:t>需对全长400km河道按照GNSS测量D级网要求设置基准控制点，采用GNSS静态观测方式进行网平差，并按四等水准精度进行高程控制测量</w:t>
            </w:r>
          </w:p>
        </w:tc>
      </w:tr>
      <w:tr w14:paraId="66D3F824">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50A6C619">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75F5C80F">
            <w:pPr>
              <w:widowControl/>
              <w:spacing w:line="360" w:lineRule="auto"/>
              <w:jc w:val="center"/>
              <w:rPr>
                <w:color w:val="auto"/>
                <w:kern w:val="0"/>
                <w:szCs w:val="21"/>
                <w:highlight w:val="none"/>
              </w:rPr>
            </w:pPr>
            <w:r>
              <w:rPr>
                <w:rFonts w:hint="eastAsia"/>
                <w:color w:val="auto"/>
                <w:kern w:val="0"/>
                <w:szCs w:val="21"/>
                <w:highlight w:val="none"/>
              </w:rPr>
              <w:t>数据采集：陆域地形测量</w:t>
            </w:r>
          </w:p>
        </w:tc>
        <w:tc>
          <w:tcPr>
            <w:tcW w:w="3293" w:type="pct"/>
            <w:tcBorders>
              <w:top w:val="nil"/>
              <w:left w:val="nil"/>
              <w:bottom w:val="single" w:color="auto" w:sz="4" w:space="0"/>
              <w:right w:val="single" w:color="auto" w:sz="4" w:space="0"/>
            </w:tcBorders>
            <w:vAlign w:val="center"/>
          </w:tcPr>
          <w:p w14:paraId="2CB43BE2">
            <w:pPr>
              <w:widowControl/>
              <w:spacing w:line="360" w:lineRule="auto"/>
              <w:jc w:val="left"/>
              <w:rPr>
                <w:color w:val="auto"/>
                <w:kern w:val="0"/>
                <w:szCs w:val="21"/>
                <w:highlight w:val="none"/>
              </w:rPr>
            </w:pPr>
            <w:r>
              <w:rPr>
                <w:rFonts w:hint="eastAsia"/>
                <w:color w:val="auto"/>
                <w:kern w:val="0"/>
                <w:szCs w:val="21"/>
                <w:highlight w:val="none"/>
              </w:rPr>
              <w:t>需在已有成果基础上，对400公里河道地形进行修测，修测过程中对于地形地貌、临跨河设施、助导航标志等重点要素及变化区域进行重新采集，陆域平均宽度按0.1km(请按实际数据修改计算)计算，工作量为400*0.1-40km”</w:t>
            </w:r>
          </w:p>
        </w:tc>
      </w:tr>
      <w:tr w14:paraId="763EDC91">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36B9451B">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31FFC444">
            <w:pPr>
              <w:widowControl/>
              <w:spacing w:line="360" w:lineRule="auto"/>
              <w:jc w:val="center"/>
              <w:rPr>
                <w:color w:val="auto"/>
                <w:kern w:val="0"/>
                <w:szCs w:val="21"/>
                <w:highlight w:val="none"/>
              </w:rPr>
            </w:pPr>
            <w:r>
              <w:rPr>
                <w:rFonts w:hint="eastAsia"/>
                <w:color w:val="auto"/>
                <w:kern w:val="0"/>
                <w:szCs w:val="21"/>
                <w:highlight w:val="none"/>
              </w:rPr>
              <w:t>数据采集：水下地形测量</w:t>
            </w:r>
          </w:p>
        </w:tc>
        <w:tc>
          <w:tcPr>
            <w:tcW w:w="3293" w:type="pct"/>
            <w:tcBorders>
              <w:top w:val="nil"/>
              <w:left w:val="nil"/>
              <w:bottom w:val="single" w:color="auto" w:sz="4" w:space="0"/>
              <w:right w:val="single" w:color="auto" w:sz="4" w:space="0"/>
            </w:tcBorders>
            <w:vAlign w:val="center"/>
          </w:tcPr>
          <w:p w14:paraId="4C3921BB">
            <w:pPr>
              <w:widowControl/>
              <w:spacing w:line="360" w:lineRule="auto"/>
              <w:jc w:val="left"/>
              <w:rPr>
                <w:color w:val="auto"/>
                <w:kern w:val="0"/>
                <w:szCs w:val="21"/>
                <w:highlight w:val="none"/>
              </w:rPr>
            </w:pPr>
            <w:r>
              <w:rPr>
                <w:rFonts w:hint="eastAsia"/>
                <w:color w:val="auto"/>
                <w:kern w:val="0"/>
                <w:szCs w:val="21"/>
                <w:highlight w:val="none"/>
              </w:rPr>
              <w:t>需在已有成果基础上，对400公里航道进行水深数据典型断面比对，明显变化区域重新采集水深数据，水域平均宽度按0.2km计算，工作量为400*0.2=80km</w:t>
            </w:r>
          </w:p>
        </w:tc>
      </w:tr>
      <w:tr w14:paraId="545C6301">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6410FA6B">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27C12CB6">
            <w:pPr>
              <w:widowControl/>
              <w:spacing w:line="360" w:lineRule="auto"/>
              <w:jc w:val="center"/>
              <w:rPr>
                <w:color w:val="auto"/>
                <w:kern w:val="0"/>
                <w:szCs w:val="21"/>
                <w:highlight w:val="none"/>
              </w:rPr>
            </w:pPr>
            <w:r>
              <w:rPr>
                <w:rFonts w:hint="eastAsia"/>
                <w:color w:val="auto"/>
                <w:kern w:val="0"/>
                <w:szCs w:val="21"/>
                <w:highlight w:val="none"/>
              </w:rPr>
              <w:t>数据采集：要素属性采集与录入</w:t>
            </w:r>
          </w:p>
        </w:tc>
        <w:tc>
          <w:tcPr>
            <w:tcW w:w="3293" w:type="pct"/>
            <w:tcBorders>
              <w:top w:val="nil"/>
              <w:left w:val="nil"/>
              <w:bottom w:val="single" w:color="auto" w:sz="4" w:space="0"/>
              <w:right w:val="single" w:color="auto" w:sz="4" w:space="0"/>
            </w:tcBorders>
            <w:vAlign w:val="center"/>
          </w:tcPr>
          <w:p w14:paraId="757ABA36">
            <w:pPr>
              <w:widowControl/>
              <w:spacing w:line="360" w:lineRule="auto"/>
              <w:jc w:val="left"/>
              <w:rPr>
                <w:color w:val="auto"/>
                <w:kern w:val="0"/>
                <w:szCs w:val="21"/>
                <w:highlight w:val="none"/>
              </w:rPr>
            </w:pPr>
            <w:r>
              <w:rPr>
                <w:rFonts w:hint="eastAsia"/>
                <w:color w:val="auto"/>
                <w:kern w:val="0"/>
                <w:szCs w:val="21"/>
                <w:highlight w:val="none"/>
              </w:rPr>
              <w:t>需对全河段助航标志等各类地物要素信息进行实地采集、收集并录入，对外业采集的水深点数据进行处理并绘制等值线，最终形成内业成果数据</w:t>
            </w:r>
          </w:p>
        </w:tc>
      </w:tr>
      <w:tr w14:paraId="1F4E1806">
        <w:tblPrEx>
          <w:tblCellMar>
            <w:top w:w="0" w:type="dxa"/>
            <w:left w:w="108" w:type="dxa"/>
            <w:bottom w:w="0" w:type="dxa"/>
            <w:right w:w="108" w:type="dxa"/>
          </w:tblCellMar>
        </w:tblPrEx>
        <w:trPr>
          <w:trHeight w:val="975" w:hRule="atLeast"/>
        </w:trPr>
        <w:tc>
          <w:tcPr>
            <w:tcW w:w="852" w:type="pct"/>
            <w:vMerge w:val="continue"/>
            <w:tcBorders>
              <w:top w:val="nil"/>
              <w:left w:val="single" w:color="auto" w:sz="4" w:space="0"/>
              <w:bottom w:val="single" w:color="auto" w:sz="4" w:space="0"/>
              <w:right w:val="single" w:color="auto" w:sz="4" w:space="0"/>
            </w:tcBorders>
            <w:vAlign w:val="center"/>
          </w:tcPr>
          <w:p w14:paraId="1EFAEE34">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353C1A70">
            <w:pPr>
              <w:widowControl/>
              <w:spacing w:line="360" w:lineRule="auto"/>
              <w:jc w:val="center"/>
              <w:rPr>
                <w:color w:val="auto"/>
                <w:kern w:val="0"/>
                <w:szCs w:val="21"/>
                <w:highlight w:val="none"/>
              </w:rPr>
            </w:pPr>
            <w:r>
              <w:rPr>
                <w:rFonts w:hint="eastAsia"/>
                <w:color w:val="auto"/>
                <w:kern w:val="0"/>
                <w:szCs w:val="21"/>
                <w:highlight w:val="none"/>
              </w:rPr>
              <w:t>数据制作：制图数据预处理</w:t>
            </w:r>
          </w:p>
        </w:tc>
        <w:tc>
          <w:tcPr>
            <w:tcW w:w="3293" w:type="pct"/>
            <w:tcBorders>
              <w:top w:val="nil"/>
              <w:left w:val="nil"/>
              <w:bottom w:val="single" w:color="auto" w:sz="4" w:space="0"/>
              <w:right w:val="single" w:color="auto" w:sz="4" w:space="0"/>
            </w:tcBorders>
            <w:vAlign w:val="center"/>
          </w:tcPr>
          <w:p w14:paraId="734E4A63">
            <w:pPr>
              <w:widowControl/>
              <w:spacing w:line="360" w:lineRule="auto"/>
              <w:jc w:val="left"/>
              <w:rPr>
                <w:color w:val="auto"/>
                <w:kern w:val="0"/>
                <w:szCs w:val="21"/>
                <w:highlight w:val="none"/>
              </w:rPr>
            </w:pPr>
            <w:r>
              <w:rPr>
                <w:rFonts w:hint="eastAsia"/>
                <w:color w:val="auto"/>
                <w:kern w:val="0"/>
                <w:szCs w:val="21"/>
                <w:highlight w:val="none"/>
              </w:rPr>
              <w:t>需完成以下工作：1.数据识别分类：明确各类数据格式、测绘时间，判断数据的时效性及有效性；2.图层识别与提取：按照标准分类图层，提取导出为SHP格式的矢量数据并赋投影坐标系；3.精细化处理：面要素闭合线处理、面要素线转面处理、线连接处理、等深线面生成、地名标注等；4.影响比对：根据影像数据添加缺少的要素；5.预处理数据检查：进行数据符合性检查</w:t>
            </w:r>
          </w:p>
        </w:tc>
      </w:tr>
      <w:tr w14:paraId="0768A9FA">
        <w:tblPrEx>
          <w:tblCellMar>
            <w:top w:w="0" w:type="dxa"/>
            <w:left w:w="108" w:type="dxa"/>
            <w:bottom w:w="0" w:type="dxa"/>
            <w:right w:w="108" w:type="dxa"/>
          </w:tblCellMar>
        </w:tblPrEx>
        <w:trPr>
          <w:trHeight w:val="960" w:hRule="atLeast"/>
        </w:trPr>
        <w:tc>
          <w:tcPr>
            <w:tcW w:w="852" w:type="pct"/>
            <w:vMerge w:val="continue"/>
            <w:tcBorders>
              <w:top w:val="nil"/>
              <w:left w:val="single" w:color="auto" w:sz="4" w:space="0"/>
              <w:bottom w:val="single" w:color="auto" w:sz="4" w:space="0"/>
              <w:right w:val="single" w:color="auto" w:sz="4" w:space="0"/>
            </w:tcBorders>
            <w:vAlign w:val="center"/>
          </w:tcPr>
          <w:p w14:paraId="51026E9C">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5E39DD9C">
            <w:pPr>
              <w:widowControl/>
              <w:spacing w:line="360" w:lineRule="auto"/>
              <w:jc w:val="center"/>
              <w:rPr>
                <w:color w:val="auto"/>
                <w:kern w:val="0"/>
                <w:szCs w:val="21"/>
                <w:highlight w:val="none"/>
              </w:rPr>
            </w:pPr>
            <w:r>
              <w:rPr>
                <w:rFonts w:hint="eastAsia"/>
                <w:color w:val="auto"/>
                <w:kern w:val="0"/>
                <w:szCs w:val="21"/>
                <w:highlight w:val="none"/>
              </w:rPr>
              <w:t>数据制作：电子航道图数据生产</w:t>
            </w:r>
          </w:p>
        </w:tc>
        <w:tc>
          <w:tcPr>
            <w:tcW w:w="3293" w:type="pct"/>
            <w:tcBorders>
              <w:top w:val="nil"/>
              <w:left w:val="nil"/>
              <w:bottom w:val="single" w:color="auto" w:sz="4" w:space="0"/>
              <w:right w:val="single" w:color="auto" w:sz="4" w:space="0"/>
            </w:tcBorders>
            <w:vAlign w:val="center"/>
          </w:tcPr>
          <w:p w14:paraId="532178F5">
            <w:pPr>
              <w:widowControl/>
              <w:spacing w:line="360" w:lineRule="auto"/>
              <w:jc w:val="left"/>
              <w:rPr>
                <w:color w:val="auto"/>
                <w:kern w:val="0"/>
                <w:szCs w:val="21"/>
                <w:highlight w:val="none"/>
              </w:rPr>
            </w:pPr>
            <w:r>
              <w:rPr>
                <w:rFonts w:hint="eastAsia"/>
                <w:color w:val="auto"/>
                <w:kern w:val="0"/>
                <w:szCs w:val="21"/>
                <w:highlight w:val="none"/>
              </w:rPr>
              <w:t>需完成以下工作：1.源数据入库：录入要素属性，丰富和完善电子航道图要素信息；2.源数据编辑：要素图形、属性、拓扑编辑等、数据接边；3.源数据质量检查：数据有效性检查和完善；4.电子航道图产品数据创建：创建电子航道图产品结构树、生成元物标及相关基本信息；5.产品数据质量检查：检查图幅数据质量；6.产品数据输出：电子航道图.000产品数据输出；7.产品数据第三方质量检查：采用第三方质量检查软件对产品数据进行质量检查及修改</w:t>
            </w:r>
          </w:p>
        </w:tc>
      </w:tr>
      <w:tr w14:paraId="489B78ED">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7E8C549B">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10C35998">
            <w:pPr>
              <w:widowControl/>
              <w:spacing w:line="360" w:lineRule="auto"/>
              <w:jc w:val="center"/>
              <w:rPr>
                <w:color w:val="auto"/>
                <w:kern w:val="0"/>
                <w:szCs w:val="21"/>
                <w:highlight w:val="none"/>
              </w:rPr>
            </w:pPr>
            <w:r>
              <w:rPr>
                <w:rFonts w:hint="eastAsia"/>
                <w:color w:val="auto"/>
                <w:kern w:val="0"/>
                <w:szCs w:val="21"/>
                <w:highlight w:val="none"/>
              </w:rPr>
              <w:t>数据制作：保密技术处理</w:t>
            </w:r>
          </w:p>
        </w:tc>
        <w:tc>
          <w:tcPr>
            <w:tcW w:w="3293" w:type="pct"/>
            <w:tcBorders>
              <w:top w:val="nil"/>
              <w:left w:val="nil"/>
              <w:bottom w:val="single" w:color="auto" w:sz="4" w:space="0"/>
              <w:right w:val="single" w:color="auto" w:sz="4" w:space="0"/>
            </w:tcBorders>
            <w:vAlign w:val="center"/>
          </w:tcPr>
          <w:p w14:paraId="06ACA421">
            <w:pPr>
              <w:widowControl/>
              <w:spacing w:line="360" w:lineRule="auto"/>
              <w:jc w:val="left"/>
              <w:rPr>
                <w:color w:val="auto"/>
                <w:kern w:val="0"/>
                <w:szCs w:val="21"/>
                <w:highlight w:val="none"/>
              </w:rPr>
            </w:pPr>
            <w:r>
              <w:rPr>
                <w:rFonts w:hint="eastAsia"/>
                <w:color w:val="auto"/>
                <w:kern w:val="0"/>
                <w:szCs w:val="21"/>
                <w:highlight w:val="none"/>
              </w:rPr>
              <w:t>需按照法律法规，结合实际管理需要，根据航道要素内容对数据进行分类分级，制定合理的电子航道图要素及其属性处理方案，完成电子航道图脱密</w:t>
            </w:r>
          </w:p>
          <w:p w14:paraId="3E9B65AF">
            <w:pPr>
              <w:widowControl/>
              <w:spacing w:line="360" w:lineRule="auto"/>
              <w:jc w:val="left"/>
              <w:rPr>
                <w:color w:val="auto"/>
                <w:kern w:val="0"/>
                <w:szCs w:val="21"/>
                <w:highlight w:val="none"/>
              </w:rPr>
            </w:pPr>
          </w:p>
          <w:p w14:paraId="78400B3A">
            <w:pPr>
              <w:widowControl/>
              <w:spacing w:line="360" w:lineRule="auto"/>
              <w:jc w:val="left"/>
              <w:rPr>
                <w:color w:val="auto"/>
                <w:kern w:val="0"/>
                <w:szCs w:val="21"/>
                <w:highlight w:val="none"/>
              </w:rPr>
            </w:pPr>
          </w:p>
          <w:p w14:paraId="6299636C">
            <w:pPr>
              <w:widowControl/>
              <w:spacing w:line="360" w:lineRule="auto"/>
              <w:jc w:val="left"/>
              <w:rPr>
                <w:color w:val="auto"/>
                <w:kern w:val="0"/>
                <w:szCs w:val="21"/>
                <w:highlight w:val="none"/>
              </w:rPr>
            </w:pPr>
          </w:p>
          <w:p w14:paraId="58712BB3">
            <w:pPr>
              <w:widowControl/>
              <w:spacing w:line="360" w:lineRule="auto"/>
              <w:jc w:val="left"/>
              <w:rPr>
                <w:color w:val="auto"/>
                <w:kern w:val="0"/>
                <w:szCs w:val="21"/>
                <w:highlight w:val="none"/>
              </w:rPr>
            </w:pPr>
          </w:p>
        </w:tc>
      </w:tr>
      <w:tr w14:paraId="26CA76F0">
        <w:tblPrEx>
          <w:tblCellMar>
            <w:top w:w="0" w:type="dxa"/>
            <w:left w:w="108" w:type="dxa"/>
            <w:bottom w:w="0" w:type="dxa"/>
            <w:right w:w="108" w:type="dxa"/>
          </w:tblCellMar>
        </w:tblPrEx>
        <w:trPr>
          <w:trHeight w:val="495" w:hRule="atLeast"/>
        </w:trPr>
        <w:tc>
          <w:tcPr>
            <w:tcW w:w="852" w:type="pct"/>
            <w:vMerge w:val="restart"/>
            <w:tcBorders>
              <w:top w:val="nil"/>
              <w:left w:val="single" w:color="auto" w:sz="4" w:space="0"/>
              <w:bottom w:val="single" w:color="auto" w:sz="4" w:space="0"/>
              <w:right w:val="single" w:color="auto" w:sz="4" w:space="0"/>
            </w:tcBorders>
            <w:vAlign w:val="center"/>
          </w:tcPr>
          <w:p w14:paraId="393687DE">
            <w:pPr>
              <w:widowControl/>
              <w:spacing w:line="360" w:lineRule="auto"/>
              <w:jc w:val="center"/>
              <w:rPr>
                <w:color w:val="auto"/>
                <w:kern w:val="0"/>
                <w:szCs w:val="21"/>
                <w:highlight w:val="none"/>
              </w:rPr>
            </w:pPr>
            <w:r>
              <w:rPr>
                <w:rFonts w:hint="eastAsia"/>
                <w:color w:val="auto"/>
                <w:kern w:val="0"/>
                <w:szCs w:val="21"/>
                <w:highlight w:val="none"/>
              </w:rPr>
              <w:t>三维可视化模型构建</w:t>
            </w:r>
          </w:p>
        </w:tc>
        <w:tc>
          <w:tcPr>
            <w:tcW w:w="855" w:type="pct"/>
            <w:tcBorders>
              <w:top w:val="nil"/>
              <w:left w:val="nil"/>
              <w:bottom w:val="single" w:color="auto" w:sz="4" w:space="0"/>
              <w:right w:val="single" w:color="auto" w:sz="4" w:space="0"/>
            </w:tcBorders>
            <w:vAlign w:val="center"/>
          </w:tcPr>
          <w:p w14:paraId="5AEC2962">
            <w:pPr>
              <w:widowControl/>
              <w:spacing w:line="360" w:lineRule="auto"/>
              <w:jc w:val="center"/>
              <w:rPr>
                <w:color w:val="auto"/>
                <w:kern w:val="0"/>
                <w:szCs w:val="21"/>
                <w:highlight w:val="none"/>
              </w:rPr>
            </w:pPr>
            <w:r>
              <w:rPr>
                <w:rFonts w:hint="eastAsia"/>
                <w:color w:val="auto"/>
                <w:kern w:val="0"/>
                <w:szCs w:val="21"/>
                <w:highlight w:val="none"/>
              </w:rPr>
              <w:t>数据采集与处理</w:t>
            </w:r>
          </w:p>
        </w:tc>
        <w:tc>
          <w:tcPr>
            <w:tcW w:w="3293" w:type="pct"/>
            <w:tcBorders>
              <w:top w:val="nil"/>
              <w:left w:val="nil"/>
              <w:bottom w:val="single" w:color="auto" w:sz="4" w:space="0"/>
              <w:right w:val="single" w:color="auto" w:sz="4" w:space="0"/>
            </w:tcBorders>
            <w:vAlign w:val="center"/>
          </w:tcPr>
          <w:p w14:paraId="421713C7">
            <w:pPr>
              <w:widowControl/>
              <w:spacing w:line="360" w:lineRule="auto"/>
              <w:jc w:val="left"/>
              <w:rPr>
                <w:color w:val="auto"/>
                <w:kern w:val="0"/>
                <w:szCs w:val="21"/>
                <w:highlight w:val="none"/>
              </w:rPr>
            </w:pPr>
            <w:r>
              <w:rPr>
                <w:rFonts w:hint="eastAsia"/>
                <w:color w:val="auto"/>
                <w:kern w:val="0"/>
                <w:szCs w:val="21"/>
                <w:highlight w:val="none"/>
              </w:rPr>
              <w:t>需收集示范段水上服务区、船闸、港口、码头等水上设施图纸、实景照片等，进行格式转换、去噪等预处理工作；融合多源数据，确保模型精度</w:t>
            </w:r>
          </w:p>
        </w:tc>
      </w:tr>
      <w:tr w14:paraId="714A5EBF">
        <w:tblPrEx>
          <w:tblCellMar>
            <w:top w:w="0" w:type="dxa"/>
            <w:left w:w="108" w:type="dxa"/>
            <w:bottom w:w="0" w:type="dxa"/>
            <w:right w:w="108" w:type="dxa"/>
          </w:tblCellMar>
        </w:tblPrEx>
        <w:trPr>
          <w:trHeight w:val="300" w:hRule="atLeast"/>
        </w:trPr>
        <w:tc>
          <w:tcPr>
            <w:tcW w:w="852" w:type="pct"/>
            <w:vMerge w:val="continue"/>
            <w:tcBorders>
              <w:top w:val="nil"/>
              <w:left w:val="single" w:color="auto" w:sz="4" w:space="0"/>
              <w:bottom w:val="single" w:color="auto" w:sz="4" w:space="0"/>
              <w:right w:val="single" w:color="auto" w:sz="4" w:space="0"/>
            </w:tcBorders>
            <w:vAlign w:val="center"/>
          </w:tcPr>
          <w:p w14:paraId="1264C15B">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7179138F">
            <w:pPr>
              <w:widowControl/>
              <w:spacing w:line="360" w:lineRule="auto"/>
              <w:jc w:val="center"/>
              <w:rPr>
                <w:color w:val="auto"/>
                <w:kern w:val="0"/>
                <w:szCs w:val="21"/>
                <w:highlight w:val="none"/>
              </w:rPr>
            </w:pPr>
            <w:r>
              <w:rPr>
                <w:rFonts w:hint="eastAsia"/>
                <w:color w:val="auto"/>
                <w:kern w:val="0"/>
                <w:szCs w:val="21"/>
                <w:highlight w:val="none"/>
              </w:rPr>
              <w:t>倾斜摄影三维模型构建</w:t>
            </w:r>
          </w:p>
        </w:tc>
        <w:tc>
          <w:tcPr>
            <w:tcW w:w="3293" w:type="pct"/>
            <w:tcBorders>
              <w:top w:val="nil"/>
              <w:left w:val="nil"/>
              <w:bottom w:val="single" w:color="auto" w:sz="4" w:space="0"/>
              <w:right w:val="single" w:color="auto" w:sz="4" w:space="0"/>
            </w:tcBorders>
            <w:vAlign w:val="center"/>
          </w:tcPr>
          <w:p w14:paraId="3A1F562C">
            <w:pPr>
              <w:widowControl/>
              <w:spacing w:line="360" w:lineRule="auto"/>
              <w:jc w:val="left"/>
              <w:rPr>
                <w:color w:val="auto"/>
                <w:kern w:val="0"/>
                <w:szCs w:val="21"/>
                <w:highlight w:val="none"/>
              </w:rPr>
            </w:pPr>
            <w:r>
              <w:rPr>
                <w:rFonts w:hint="eastAsia"/>
                <w:color w:val="auto"/>
                <w:kern w:val="0"/>
                <w:szCs w:val="21"/>
                <w:highlight w:val="none"/>
              </w:rPr>
              <w:t>需覆盖需求的地形等倾斜摄影三维建模(精度3CM），模型构建、材质与纹理处理、输出与集成等相关工作</w:t>
            </w:r>
          </w:p>
        </w:tc>
      </w:tr>
      <w:tr w14:paraId="2051A3B5">
        <w:tblPrEx>
          <w:tblCellMar>
            <w:top w:w="0" w:type="dxa"/>
            <w:left w:w="108" w:type="dxa"/>
            <w:bottom w:w="0" w:type="dxa"/>
            <w:right w:w="108" w:type="dxa"/>
          </w:tblCellMar>
        </w:tblPrEx>
        <w:trPr>
          <w:trHeight w:val="300" w:hRule="atLeast"/>
        </w:trPr>
        <w:tc>
          <w:tcPr>
            <w:tcW w:w="852" w:type="pct"/>
            <w:vMerge w:val="continue"/>
            <w:tcBorders>
              <w:top w:val="nil"/>
              <w:left w:val="single" w:color="auto" w:sz="4" w:space="0"/>
              <w:bottom w:val="single" w:color="auto" w:sz="4" w:space="0"/>
              <w:right w:val="single" w:color="auto" w:sz="4" w:space="0"/>
            </w:tcBorders>
            <w:vAlign w:val="center"/>
          </w:tcPr>
          <w:p w14:paraId="06EB8681">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06B993C3">
            <w:pPr>
              <w:widowControl/>
              <w:spacing w:line="360" w:lineRule="auto"/>
              <w:jc w:val="center"/>
              <w:rPr>
                <w:color w:val="auto"/>
                <w:kern w:val="0"/>
                <w:szCs w:val="21"/>
                <w:highlight w:val="none"/>
              </w:rPr>
            </w:pPr>
            <w:r>
              <w:rPr>
                <w:rFonts w:hint="eastAsia"/>
                <w:color w:val="auto"/>
                <w:kern w:val="0"/>
                <w:szCs w:val="21"/>
                <w:highlight w:val="none"/>
              </w:rPr>
              <w:t>精细化三维模型构建</w:t>
            </w:r>
          </w:p>
        </w:tc>
        <w:tc>
          <w:tcPr>
            <w:tcW w:w="3293" w:type="pct"/>
            <w:tcBorders>
              <w:top w:val="nil"/>
              <w:left w:val="nil"/>
              <w:bottom w:val="single" w:color="auto" w:sz="4" w:space="0"/>
              <w:right w:val="single" w:color="auto" w:sz="4" w:space="0"/>
            </w:tcBorders>
            <w:vAlign w:val="center"/>
          </w:tcPr>
          <w:p w14:paraId="1820C774">
            <w:pPr>
              <w:widowControl/>
              <w:spacing w:line="360" w:lineRule="auto"/>
              <w:jc w:val="left"/>
              <w:rPr>
                <w:color w:val="auto"/>
                <w:kern w:val="0"/>
                <w:szCs w:val="21"/>
                <w:highlight w:val="none"/>
              </w:rPr>
            </w:pPr>
            <w:r>
              <w:rPr>
                <w:rFonts w:hint="eastAsia"/>
                <w:color w:val="auto"/>
                <w:kern w:val="0"/>
                <w:szCs w:val="21"/>
                <w:highlight w:val="none"/>
              </w:rPr>
              <w:t>需完成部分港口、码头、船闸及水上服务区精细化三维建模(精度5cm)，模型构建、材质与纹理处理、输出与集成等相关工作</w:t>
            </w:r>
          </w:p>
        </w:tc>
      </w:tr>
      <w:tr w14:paraId="69874E91">
        <w:tblPrEx>
          <w:tblCellMar>
            <w:top w:w="0" w:type="dxa"/>
            <w:left w:w="108" w:type="dxa"/>
            <w:bottom w:w="0" w:type="dxa"/>
            <w:right w:w="108" w:type="dxa"/>
          </w:tblCellMar>
        </w:tblPrEx>
        <w:trPr>
          <w:trHeight w:val="300" w:hRule="atLeast"/>
        </w:trPr>
        <w:tc>
          <w:tcPr>
            <w:tcW w:w="852" w:type="pct"/>
            <w:vMerge w:val="continue"/>
            <w:tcBorders>
              <w:top w:val="nil"/>
              <w:left w:val="single" w:color="auto" w:sz="4" w:space="0"/>
              <w:bottom w:val="single" w:color="auto" w:sz="4" w:space="0"/>
              <w:right w:val="single" w:color="auto" w:sz="4" w:space="0"/>
            </w:tcBorders>
            <w:vAlign w:val="center"/>
          </w:tcPr>
          <w:p w14:paraId="1F68EBB9">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1405627A">
            <w:pPr>
              <w:widowControl/>
              <w:spacing w:line="360" w:lineRule="auto"/>
              <w:jc w:val="center"/>
              <w:rPr>
                <w:color w:val="auto"/>
                <w:kern w:val="0"/>
                <w:szCs w:val="21"/>
                <w:highlight w:val="none"/>
              </w:rPr>
            </w:pPr>
            <w:r>
              <w:rPr>
                <w:rFonts w:hint="eastAsia"/>
                <w:color w:val="auto"/>
                <w:kern w:val="0"/>
                <w:szCs w:val="21"/>
                <w:highlight w:val="none"/>
              </w:rPr>
              <w:t>激光雷达点云三维模型构建</w:t>
            </w:r>
          </w:p>
        </w:tc>
        <w:tc>
          <w:tcPr>
            <w:tcW w:w="3293" w:type="pct"/>
            <w:tcBorders>
              <w:top w:val="nil"/>
              <w:left w:val="nil"/>
              <w:bottom w:val="single" w:color="auto" w:sz="4" w:space="0"/>
              <w:right w:val="single" w:color="auto" w:sz="4" w:space="0"/>
            </w:tcBorders>
            <w:vAlign w:val="center"/>
          </w:tcPr>
          <w:p w14:paraId="45298548">
            <w:pPr>
              <w:widowControl/>
              <w:spacing w:line="360" w:lineRule="auto"/>
              <w:jc w:val="left"/>
              <w:rPr>
                <w:color w:val="auto"/>
                <w:kern w:val="0"/>
                <w:szCs w:val="21"/>
                <w:highlight w:val="none"/>
              </w:rPr>
            </w:pPr>
            <w:r>
              <w:rPr>
                <w:rFonts w:hint="eastAsia"/>
                <w:color w:val="auto"/>
                <w:kern w:val="0"/>
                <w:szCs w:val="21"/>
                <w:highlight w:val="none"/>
              </w:rPr>
              <w:t>需完成部分港口、码头、船闸及水上服务区激光雷达点云三维模型，模型构建、材质与纹理处理、输出与集成等相关工作</w:t>
            </w:r>
          </w:p>
        </w:tc>
      </w:tr>
      <w:tr w14:paraId="38EB6AE7">
        <w:tblPrEx>
          <w:tblCellMar>
            <w:top w:w="0" w:type="dxa"/>
            <w:left w:w="108" w:type="dxa"/>
            <w:bottom w:w="0" w:type="dxa"/>
            <w:right w:w="108" w:type="dxa"/>
          </w:tblCellMar>
        </w:tblPrEx>
        <w:trPr>
          <w:trHeight w:val="300" w:hRule="atLeast"/>
        </w:trPr>
        <w:tc>
          <w:tcPr>
            <w:tcW w:w="852" w:type="pct"/>
            <w:vMerge w:val="continue"/>
            <w:tcBorders>
              <w:top w:val="nil"/>
              <w:left w:val="single" w:color="auto" w:sz="4" w:space="0"/>
              <w:bottom w:val="single" w:color="auto" w:sz="4" w:space="0"/>
              <w:right w:val="single" w:color="auto" w:sz="4" w:space="0"/>
            </w:tcBorders>
            <w:vAlign w:val="center"/>
          </w:tcPr>
          <w:p w14:paraId="6DF3EA8C">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533FA843">
            <w:pPr>
              <w:widowControl/>
              <w:spacing w:line="360" w:lineRule="auto"/>
              <w:jc w:val="center"/>
              <w:rPr>
                <w:color w:val="auto"/>
                <w:kern w:val="0"/>
                <w:szCs w:val="21"/>
                <w:highlight w:val="none"/>
              </w:rPr>
            </w:pPr>
            <w:r>
              <w:rPr>
                <w:rFonts w:hint="eastAsia"/>
                <w:color w:val="auto"/>
                <w:kern w:val="0"/>
                <w:szCs w:val="21"/>
                <w:highlight w:val="none"/>
              </w:rPr>
              <w:t>水下点云三维建模</w:t>
            </w:r>
          </w:p>
        </w:tc>
        <w:tc>
          <w:tcPr>
            <w:tcW w:w="3293" w:type="pct"/>
            <w:tcBorders>
              <w:top w:val="nil"/>
              <w:left w:val="nil"/>
              <w:bottom w:val="single" w:color="auto" w:sz="4" w:space="0"/>
              <w:right w:val="single" w:color="auto" w:sz="4" w:space="0"/>
            </w:tcBorders>
            <w:vAlign w:val="center"/>
          </w:tcPr>
          <w:p w14:paraId="55CA3E10">
            <w:pPr>
              <w:widowControl/>
              <w:spacing w:line="360" w:lineRule="auto"/>
              <w:jc w:val="left"/>
              <w:rPr>
                <w:color w:val="auto"/>
                <w:kern w:val="0"/>
                <w:szCs w:val="21"/>
                <w:highlight w:val="none"/>
              </w:rPr>
            </w:pPr>
            <w:r>
              <w:rPr>
                <w:rFonts w:hint="eastAsia"/>
                <w:color w:val="auto"/>
                <w:kern w:val="0"/>
                <w:szCs w:val="21"/>
                <w:highlight w:val="none"/>
              </w:rPr>
              <w:t>需覆盖需求的水下点云三维建模，模型构建、材质与纹理处理、输出与集成等相关工作</w:t>
            </w:r>
          </w:p>
        </w:tc>
      </w:tr>
      <w:tr w14:paraId="7811822D">
        <w:tblPrEx>
          <w:tblCellMar>
            <w:top w:w="0" w:type="dxa"/>
            <w:left w:w="108" w:type="dxa"/>
            <w:bottom w:w="0" w:type="dxa"/>
            <w:right w:w="108" w:type="dxa"/>
          </w:tblCellMar>
        </w:tblPrEx>
        <w:trPr>
          <w:trHeight w:val="300" w:hRule="atLeast"/>
        </w:trPr>
        <w:tc>
          <w:tcPr>
            <w:tcW w:w="852" w:type="pct"/>
            <w:vMerge w:val="continue"/>
            <w:tcBorders>
              <w:top w:val="nil"/>
              <w:left w:val="single" w:color="auto" w:sz="4" w:space="0"/>
              <w:bottom w:val="single" w:color="auto" w:sz="4" w:space="0"/>
              <w:right w:val="single" w:color="auto" w:sz="4" w:space="0"/>
            </w:tcBorders>
            <w:vAlign w:val="center"/>
          </w:tcPr>
          <w:p w14:paraId="5CA4D119">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4C51B720">
            <w:pPr>
              <w:widowControl/>
              <w:spacing w:line="360" w:lineRule="auto"/>
              <w:jc w:val="center"/>
              <w:rPr>
                <w:color w:val="auto"/>
                <w:kern w:val="0"/>
                <w:szCs w:val="21"/>
                <w:highlight w:val="none"/>
              </w:rPr>
            </w:pPr>
            <w:r>
              <w:rPr>
                <w:rFonts w:hint="eastAsia"/>
                <w:color w:val="auto"/>
                <w:kern w:val="0"/>
                <w:szCs w:val="21"/>
                <w:highlight w:val="none"/>
              </w:rPr>
              <w:t>三维可视化模型封装</w:t>
            </w:r>
          </w:p>
        </w:tc>
        <w:tc>
          <w:tcPr>
            <w:tcW w:w="3293" w:type="pct"/>
            <w:tcBorders>
              <w:top w:val="nil"/>
              <w:left w:val="nil"/>
              <w:bottom w:val="single" w:color="auto" w:sz="4" w:space="0"/>
              <w:right w:val="single" w:color="auto" w:sz="4" w:space="0"/>
            </w:tcBorders>
            <w:vAlign w:val="center"/>
          </w:tcPr>
          <w:p w14:paraId="4E1DDEA6">
            <w:pPr>
              <w:widowControl/>
              <w:spacing w:line="360" w:lineRule="auto"/>
              <w:jc w:val="left"/>
              <w:rPr>
                <w:color w:val="auto"/>
                <w:kern w:val="0"/>
                <w:szCs w:val="21"/>
                <w:highlight w:val="none"/>
              </w:rPr>
            </w:pPr>
            <w:r>
              <w:rPr>
                <w:rFonts w:hint="eastAsia"/>
                <w:color w:val="auto"/>
                <w:kern w:val="0"/>
                <w:szCs w:val="21"/>
                <w:highlight w:val="none"/>
              </w:rPr>
              <w:t>需完成将三维可视化模型与电子航道图数据进行空间对齐、属性关联、封装为标准化GIS服务并支持接口调用</w:t>
            </w:r>
          </w:p>
        </w:tc>
      </w:tr>
      <w:tr w14:paraId="5A2B723F">
        <w:tblPrEx>
          <w:tblCellMar>
            <w:top w:w="0" w:type="dxa"/>
            <w:left w:w="108" w:type="dxa"/>
            <w:bottom w:w="0" w:type="dxa"/>
            <w:right w:w="108" w:type="dxa"/>
          </w:tblCellMar>
        </w:tblPrEx>
        <w:trPr>
          <w:trHeight w:val="1935" w:hRule="atLeast"/>
        </w:trPr>
        <w:tc>
          <w:tcPr>
            <w:tcW w:w="852" w:type="pct"/>
            <w:vMerge w:val="restart"/>
            <w:tcBorders>
              <w:top w:val="nil"/>
              <w:left w:val="single" w:color="auto" w:sz="4" w:space="0"/>
              <w:bottom w:val="single" w:color="auto" w:sz="4" w:space="0"/>
              <w:right w:val="single" w:color="auto" w:sz="4" w:space="0"/>
            </w:tcBorders>
            <w:vAlign w:val="center"/>
          </w:tcPr>
          <w:p w14:paraId="225EAEBC">
            <w:pPr>
              <w:widowControl/>
              <w:spacing w:line="360" w:lineRule="auto"/>
              <w:jc w:val="center"/>
              <w:rPr>
                <w:color w:val="auto"/>
                <w:kern w:val="0"/>
                <w:szCs w:val="21"/>
                <w:highlight w:val="none"/>
              </w:rPr>
            </w:pPr>
            <w:r>
              <w:rPr>
                <w:rFonts w:hint="eastAsia"/>
                <w:color w:val="auto"/>
                <w:kern w:val="0"/>
                <w:szCs w:val="21"/>
                <w:highlight w:val="none"/>
              </w:rPr>
              <w:t>电子航道图生产制作系统</w:t>
            </w:r>
          </w:p>
        </w:tc>
        <w:tc>
          <w:tcPr>
            <w:tcW w:w="855" w:type="pct"/>
            <w:tcBorders>
              <w:top w:val="nil"/>
              <w:left w:val="nil"/>
              <w:bottom w:val="single" w:color="auto" w:sz="4" w:space="0"/>
              <w:right w:val="single" w:color="auto" w:sz="4" w:space="0"/>
            </w:tcBorders>
            <w:vAlign w:val="center"/>
          </w:tcPr>
          <w:p w14:paraId="3156A4D8">
            <w:pPr>
              <w:widowControl/>
              <w:spacing w:line="360" w:lineRule="auto"/>
              <w:jc w:val="center"/>
              <w:rPr>
                <w:color w:val="auto"/>
                <w:kern w:val="0"/>
                <w:szCs w:val="21"/>
                <w:highlight w:val="none"/>
              </w:rPr>
            </w:pPr>
            <w:r>
              <w:rPr>
                <w:rFonts w:hint="eastAsia"/>
                <w:color w:val="auto"/>
                <w:kern w:val="0"/>
                <w:szCs w:val="21"/>
                <w:highlight w:val="none"/>
              </w:rPr>
              <w:t>生产系统：数据预处理模块</w:t>
            </w:r>
          </w:p>
        </w:tc>
        <w:tc>
          <w:tcPr>
            <w:tcW w:w="3293" w:type="pct"/>
            <w:tcBorders>
              <w:top w:val="nil"/>
              <w:left w:val="nil"/>
              <w:bottom w:val="single" w:color="auto" w:sz="4" w:space="0"/>
              <w:right w:val="single" w:color="auto" w:sz="4" w:space="0"/>
            </w:tcBorders>
            <w:vAlign w:val="center"/>
          </w:tcPr>
          <w:p w14:paraId="6F079244">
            <w:pPr>
              <w:widowControl/>
              <w:spacing w:line="360" w:lineRule="auto"/>
              <w:jc w:val="left"/>
              <w:rPr>
                <w:color w:val="auto"/>
                <w:kern w:val="0"/>
                <w:szCs w:val="21"/>
                <w:highlight w:val="none"/>
              </w:rPr>
            </w:pPr>
            <w:r>
              <w:rPr>
                <w:rFonts w:hint="eastAsia"/>
                <w:color w:val="auto"/>
                <w:kern w:val="0"/>
                <w:szCs w:val="21"/>
                <w:highlight w:val="none"/>
              </w:rPr>
              <w:t>需实现以下功能：1.多源数据导入：实现已有原始航道测图CAD（如DWG）、SHP、EPS等格式数据的入库；支持已有000文件格式的航道图数据入库。2.坐标系转换：提供坐标转换工具，具备将不同大地坐标系转换为国家 2000 大地坐标系。3.类型转换与提取：提供数据类型的转换功能，点、线、面之间的转换操作;提供数据提取功能，按照某些特殊的属性条件进行数据拆分；提供数据抽稀功能，保持数据对象形状的情况下，实现冗余节点的线对象数据的抽稀。4.空间关系检查：提供对转换成果数据的空间关系检查功能，检查点、线、面数据集本身及各不同类型数据集其相互之间不符合空间关系的对象。5.数据编辑：提供空间编辑和属性编辑：图形编辑主要实现包括图形编辑、图形整饰、图幅拼接、图形变换、投影变换、误差校正等功能。属性编辑主要实现常见的属性字段管理，属性批量的赋值、调整，基于空间关系的属性更新功能。6.水深数据提取：提供水深数据提取功能：实现基于水深点提取等深线、等深线提取深度范围、水深换算功能</w:t>
            </w:r>
          </w:p>
        </w:tc>
      </w:tr>
      <w:tr w14:paraId="56CCC556">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4171B38B">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4A2B809C">
            <w:pPr>
              <w:widowControl/>
              <w:spacing w:line="360" w:lineRule="auto"/>
              <w:jc w:val="center"/>
              <w:rPr>
                <w:color w:val="auto"/>
                <w:kern w:val="0"/>
                <w:szCs w:val="21"/>
                <w:highlight w:val="none"/>
              </w:rPr>
            </w:pPr>
            <w:r>
              <w:rPr>
                <w:rFonts w:hint="eastAsia"/>
                <w:color w:val="auto"/>
                <w:kern w:val="0"/>
                <w:szCs w:val="21"/>
                <w:highlight w:val="none"/>
              </w:rPr>
              <w:t>生产系统：元数据管理模块</w:t>
            </w:r>
          </w:p>
        </w:tc>
        <w:tc>
          <w:tcPr>
            <w:tcW w:w="3293" w:type="pct"/>
            <w:tcBorders>
              <w:top w:val="nil"/>
              <w:left w:val="nil"/>
              <w:bottom w:val="single" w:color="auto" w:sz="4" w:space="0"/>
              <w:right w:val="single" w:color="auto" w:sz="4" w:space="0"/>
            </w:tcBorders>
            <w:vAlign w:val="center"/>
          </w:tcPr>
          <w:p w14:paraId="149921EB">
            <w:pPr>
              <w:widowControl/>
              <w:spacing w:line="360" w:lineRule="auto"/>
              <w:jc w:val="left"/>
              <w:rPr>
                <w:color w:val="auto"/>
                <w:kern w:val="0"/>
                <w:szCs w:val="21"/>
                <w:highlight w:val="none"/>
              </w:rPr>
            </w:pPr>
            <w:r>
              <w:rPr>
                <w:rFonts w:hint="eastAsia"/>
                <w:color w:val="auto"/>
                <w:kern w:val="0"/>
                <w:szCs w:val="21"/>
                <w:highlight w:val="none"/>
              </w:rPr>
              <w:t>需实现以下功能：1.创建元数据：提供电子航道图元数据创建功能，定义该图幅的用途、数据范围、生产机构、数据编辑比例尺、深度基准面等元信息；2.元数据查询：提对新建和外部导入000格式的电子航道图数据的元数据查看功能</w:t>
            </w:r>
          </w:p>
        </w:tc>
      </w:tr>
      <w:tr w14:paraId="3D3271AD">
        <w:tblPrEx>
          <w:tblCellMar>
            <w:top w:w="0" w:type="dxa"/>
            <w:left w:w="108" w:type="dxa"/>
            <w:bottom w:w="0" w:type="dxa"/>
            <w:right w:w="108" w:type="dxa"/>
          </w:tblCellMar>
        </w:tblPrEx>
        <w:trPr>
          <w:trHeight w:val="975" w:hRule="atLeast"/>
        </w:trPr>
        <w:tc>
          <w:tcPr>
            <w:tcW w:w="852" w:type="pct"/>
            <w:vMerge w:val="continue"/>
            <w:tcBorders>
              <w:top w:val="nil"/>
              <w:left w:val="single" w:color="auto" w:sz="4" w:space="0"/>
              <w:bottom w:val="single" w:color="auto" w:sz="4" w:space="0"/>
              <w:right w:val="single" w:color="auto" w:sz="4" w:space="0"/>
            </w:tcBorders>
            <w:vAlign w:val="center"/>
          </w:tcPr>
          <w:p w14:paraId="0292C669">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57F6ACD7">
            <w:pPr>
              <w:widowControl/>
              <w:spacing w:line="360" w:lineRule="auto"/>
              <w:jc w:val="center"/>
              <w:rPr>
                <w:color w:val="auto"/>
                <w:kern w:val="0"/>
                <w:szCs w:val="21"/>
                <w:highlight w:val="none"/>
              </w:rPr>
            </w:pPr>
            <w:r>
              <w:rPr>
                <w:rFonts w:hint="eastAsia"/>
                <w:color w:val="auto"/>
                <w:kern w:val="0"/>
                <w:szCs w:val="21"/>
                <w:highlight w:val="none"/>
              </w:rPr>
              <w:t>生产系统：物标数据管理模块</w:t>
            </w:r>
          </w:p>
        </w:tc>
        <w:tc>
          <w:tcPr>
            <w:tcW w:w="3293" w:type="pct"/>
            <w:tcBorders>
              <w:top w:val="nil"/>
              <w:left w:val="nil"/>
              <w:bottom w:val="single" w:color="auto" w:sz="4" w:space="0"/>
              <w:right w:val="single" w:color="auto" w:sz="4" w:space="0"/>
            </w:tcBorders>
            <w:vAlign w:val="center"/>
          </w:tcPr>
          <w:p w14:paraId="5E3F57D0">
            <w:pPr>
              <w:widowControl/>
              <w:spacing w:line="360" w:lineRule="auto"/>
              <w:jc w:val="left"/>
              <w:rPr>
                <w:color w:val="auto"/>
                <w:kern w:val="0"/>
                <w:szCs w:val="21"/>
                <w:highlight w:val="none"/>
              </w:rPr>
            </w:pPr>
            <w:r>
              <w:rPr>
                <w:rFonts w:hint="eastAsia"/>
                <w:color w:val="auto"/>
                <w:kern w:val="0"/>
                <w:szCs w:val="21"/>
                <w:highlight w:val="none"/>
              </w:rPr>
              <w:t>需实现以下功能：1.物标数据集管理：提供创建特征物标数据集、向特征物标数据集追加记录的功能；2.物标对象编辑：提供物标几何对象的打断、合并、节点编辑、重采样、分割等编辑功能；3.物标属性编辑：提供按照标准规定的要求，可约束字段属性值、字段取值范围等，可交互式地选择定义的枚举值、范围值等进行物标属性编辑；4.水深物标管理：将具有相同属性的水深点分配相同的特征物标标识和记录标识号进行水深分组管理；5.物标数据查询：提供点查询某个位置的所有物标对象，定位该对象与查询物标对象属性等功能</w:t>
            </w:r>
          </w:p>
        </w:tc>
      </w:tr>
      <w:tr w14:paraId="4FC896B1">
        <w:tblPrEx>
          <w:tblCellMar>
            <w:top w:w="0" w:type="dxa"/>
            <w:left w:w="108" w:type="dxa"/>
            <w:bottom w:w="0" w:type="dxa"/>
            <w:right w:w="108" w:type="dxa"/>
          </w:tblCellMar>
        </w:tblPrEx>
        <w:trPr>
          <w:trHeight w:val="735" w:hRule="atLeast"/>
        </w:trPr>
        <w:tc>
          <w:tcPr>
            <w:tcW w:w="852" w:type="pct"/>
            <w:vMerge w:val="continue"/>
            <w:tcBorders>
              <w:top w:val="nil"/>
              <w:left w:val="single" w:color="auto" w:sz="4" w:space="0"/>
              <w:bottom w:val="single" w:color="auto" w:sz="4" w:space="0"/>
              <w:right w:val="single" w:color="auto" w:sz="4" w:space="0"/>
            </w:tcBorders>
            <w:vAlign w:val="center"/>
          </w:tcPr>
          <w:p w14:paraId="57E7FA27">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1152F5C1">
            <w:pPr>
              <w:widowControl/>
              <w:spacing w:line="360" w:lineRule="auto"/>
              <w:jc w:val="center"/>
              <w:rPr>
                <w:color w:val="auto"/>
                <w:kern w:val="0"/>
                <w:szCs w:val="21"/>
                <w:highlight w:val="none"/>
              </w:rPr>
            </w:pPr>
            <w:r>
              <w:rPr>
                <w:rFonts w:hint="eastAsia"/>
                <w:color w:val="auto"/>
                <w:kern w:val="0"/>
                <w:szCs w:val="21"/>
                <w:highlight w:val="none"/>
              </w:rPr>
              <w:t>生产系统：数据检查模块</w:t>
            </w:r>
          </w:p>
        </w:tc>
        <w:tc>
          <w:tcPr>
            <w:tcW w:w="3293" w:type="pct"/>
            <w:tcBorders>
              <w:top w:val="nil"/>
              <w:left w:val="nil"/>
              <w:bottom w:val="single" w:color="auto" w:sz="4" w:space="0"/>
              <w:right w:val="single" w:color="auto" w:sz="4" w:space="0"/>
            </w:tcBorders>
            <w:vAlign w:val="center"/>
          </w:tcPr>
          <w:p w14:paraId="219C1477">
            <w:pPr>
              <w:widowControl/>
              <w:spacing w:line="360" w:lineRule="auto"/>
              <w:jc w:val="left"/>
              <w:rPr>
                <w:color w:val="auto"/>
                <w:kern w:val="0"/>
                <w:szCs w:val="21"/>
                <w:highlight w:val="none"/>
              </w:rPr>
            </w:pPr>
            <w:r>
              <w:rPr>
                <w:rFonts w:hint="eastAsia"/>
                <w:color w:val="auto"/>
                <w:kern w:val="0"/>
                <w:szCs w:val="21"/>
                <w:highlight w:val="none"/>
              </w:rPr>
              <w:t>需实现以下功能：1.数据检查：提供符合标准的通用数据质量检查规则数据检查功能，提供自定义扩展数据质量检查规则功能，实现自动检查和人工检查两种方式；2.交互式错误定位与修复：提供交互式的界面界面，逐记录检查数据，保证要素的完整性和准确性，提供定位错误对象空间位置和修复功能</w:t>
            </w:r>
          </w:p>
        </w:tc>
      </w:tr>
      <w:tr w14:paraId="5736E208">
        <w:tblPrEx>
          <w:tblCellMar>
            <w:top w:w="0" w:type="dxa"/>
            <w:left w:w="108" w:type="dxa"/>
            <w:bottom w:w="0" w:type="dxa"/>
            <w:right w:w="108" w:type="dxa"/>
          </w:tblCellMar>
        </w:tblPrEx>
        <w:trPr>
          <w:trHeight w:val="735" w:hRule="atLeast"/>
        </w:trPr>
        <w:tc>
          <w:tcPr>
            <w:tcW w:w="852" w:type="pct"/>
            <w:vMerge w:val="continue"/>
            <w:tcBorders>
              <w:top w:val="nil"/>
              <w:left w:val="single" w:color="auto" w:sz="4" w:space="0"/>
              <w:bottom w:val="single" w:color="auto" w:sz="4" w:space="0"/>
              <w:right w:val="single" w:color="auto" w:sz="4" w:space="0"/>
            </w:tcBorders>
            <w:vAlign w:val="center"/>
          </w:tcPr>
          <w:p w14:paraId="0FBFAA95">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3C3E4996">
            <w:pPr>
              <w:widowControl/>
              <w:spacing w:line="360" w:lineRule="auto"/>
              <w:jc w:val="center"/>
              <w:rPr>
                <w:color w:val="auto"/>
                <w:kern w:val="0"/>
                <w:szCs w:val="21"/>
                <w:highlight w:val="none"/>
              </w:rPr>
            </w:pPr>
            <w:r>
              <w:rPr>
                <w:rFonts w:hint="eastAsia"/>
                <w:color w:val="auto"/>
                <w:kern w:val="0"/>
                <w:szCs w:val="21"/>
                <w:highlight w:val="none"/>
              </w:rPr>
              <w:t>生产系统：数据导出</w:t>
            </w:r>
          </w:p>
        </w:tc>
        <w:tc>
          <w:tcPr>
            <w:tcW w:w="3293" w:type="pct"/>
            <w:tcBorders>
              <w:top w:val="nil"/>
              <w:left w:val="nil"/>
              <w:bottom w:val="single" w:color="auto" w:sz="4" w:space="0"/>
              <w:right w:val="single" w:color="auto" w:sz="4" w:space="0"/>
            </w:tcBorders>
            <w:vAlign w:val="center"/>
          </w:tcPr>
          <w:p w14:paraId="4763A512">
            <w:pPr>
              <w:widowControl/>
              <w:spacing w:line="360" w:lineRule="auto"/>
              <w:jc w:val="left"/>
              <w:rPr>
                <w:color w:val="auto"/>
                <w:kern w:val="0"/>
                <w:szCs w:val="21"/>
                <w:highlight w:val="none"/>
              </w:rPr>
            </w:pPr>
            <w:r>
              <w:rPr>
                <w:rFonts w:hint="eastAsia"/>
                <w:color w:val="auto"/>
                <w:kern w:val="0"/>
                <w:szCs w:val="21"/>
                <w:highlight w:val="none"/>
              </w:rPr>
              <w:t>需实现以下功能：1.产品输出：提供将符合标准的电子航道图数据导出为 *.000 文件或 *.shp 文件；2.航道图瓦片生成：提供多幅电子航道图数据拼接成电子地图后，提供二三维地图瓦片生产能力</w:t>
            </w:r>
          </w:p>
        </w:tc>
      </w:tr>
      <w:tr w14:paraId="4A77443A">
        <w:tblPrEx>
          <w:tblCellMar>
            <w:top w:w="0" w:type="dxa"/>
            <w:left w:w="108" w:type="dxa"/>
            <w:bottom w:w="0" w:type="dxa"/>
            <w:right w:w="108" w:type="dxa"/>
          </w:tblCellMar>
        </w:tblPrEx>
        <w:trPr>
          <w:trHeight w:val="1935" w:hRule="atLeast"/>
        </w:trPr>
        <w:tc>
          <w:tcPr>
            <w:tcW w:w="852" w:type="pct"/>
            <w:vMerge w:val="continue"/>
            <w:tcBorders>
              <w:top w:val="nil"/>
              <w:left w:val="single" w:color="auto" w:sz="4" w:space="0"/>
              <w:bottom w:val="single" w:color="auto" w:sz="4" w:space="0"/>
              <w:right w:val="single" w:color="auto" w:sz="4" w:space="0"/>
            </w:tcBorders>
            <w:vAlign w:val="center"/>
          </w:tcPr>
          <w:p w14:paraId="75CF75A6">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3D6EB4AE">
            <w:pPr>
              <w:widowControl/>
              <w:spacing w:line="360" w:lineRule="auto"/>
              <w:jc w:val="center"/>
              <w:rPr>
                <w:color w:val="auto"/>
                <w:kern w:val="0"/>
                <w:szCs w:val="21"/>
                <w:highlight w:val="none"/>
              </w:rPr>
            </w:pPr>
            <w:r>
              <w:rPr>
                <w:rFonts w:hint="eastAsia"/>
                <w:color w:val="auto"/>
                <w:kern w:val="0"/>
                <w:szCs w:val="21"/>
                <w:highlight w:val="none"/>
              </w:rPr>
              <w:t>生产系统：数据服务发布与显示</w:t>
            </w:r>
          </w:p>
        </w:tc>
        <w:tc>
          <w:tcPr>
            <w:tcW w:w="3293" w:type="pct"/>
            <w:tcBorders>
              <w:top w:val="nil"/>
              <w:left w:val="nil"/>
              <w:bottom w:val="single" w:color="auto" w:sz="4" w:space="0"/>
              <w:right w:val="single" w:color="auto" w:sz="4" w:space="0"/>
            </w:tcBorders>
            <w:vAlign w:val="center"/>
          </w:tcPr>
          <w:p w14:paraId="3BFB52A1">
            <w:pPr>
              <w:widowControl/>
              <w:spacing w:line="360" w:lineRule="auto"/>
              <w:jc w:val="left"/>
              <w:rPr>
                <w:color w:val="auto"/>
                <w:kern w:val="0"/>
                <w:szCs w:val="21"/>
                <w:highlight w:val="none"/>
              </w:rPr>
            </w:pPr>
            <w:r>
              <w:rPr>
                <w:rFonts w:hint="eastAsia"/>
                <w:color w:val="auto"/>
                <w:kern w:val="0"/>
                <w:szCs w:val="21"/>
                <w:highlight w:val="none"/>
              </w:rPr>
              <w:t>需实现以下功能：1.航道图数据目录服务：提供数据目录服务，支持通过航道空间数据分类信息和数据的描述信息，按一定条件的图层元数据查询。2.动态服务发布;提供000格式的电子航道图数据直接发布为动态地图服务能力，无需根据不同业务参数组合反复进行数据切片操作，满足Web动态出图可视化和数据查询需求场景。3.电子航道图服务管理:提供基于电子航道图基础图开发并叠加一系列专题数据，按照要求自定义制作有关的专题地图；提供航道水下地形的数据分布，断面对比，冲淤分析，浅滩航道实时有效通航尺度分析；提供AIS船舶定位，为用户提供船舶助航、周边船舶识别与显示、航行预警、流速信息显示、可航水深查询与显示的功能。4.电子航道图要素服务:提供符号渲染的矢量数据功能，提供数据的查询功能和编辑功能。5.地图服务运维管理:提供基于用户权限来控制用户可访问的服务资源，提供用户在线的进行服务资源申请和审核。6.电子航道图接口预留:提供相关电子航道图数据及服务标准接口的开发预留，满足业务系统对电子航道图服务的接入需求</w:t>
            </w:r>
          </w:p>
        </w:tc>
      </w:tr>
      <w:tr w14:paraId="2658E180">
        <w:tblPrEx>
          <w:tblCellMar>
            <w:top w:w="0" w:type="dxa"/>
            <w:left w:w="108" w:type="dxa"/>
            <w:bottom w:w="0" w:type="dxa"/>
            <w:right w:w="108" w:type="dxa"/>
          </w:tblCellMar>
        </w:tblPrEx>
        <w:trPr>
          <w:trHeight w:val="720" w:hRule="atLeast"/>
        </w:trPr>
        <w:tc>
          <w:tcPr>
            <w:tcW w:w="852" w:type="pct"/>
            <w:vMerge w:val="continue"/>
            <w:tcBorders>
              <w:top w:val="nil"/>
              <w:left w:val="single" w:color="auto" w:sz="4" w:space="0"/>
              <w:bottom w:val="single" w:color="auto" w:sz="4" w:space="0"/>
              <w:right w:val="single" w:color="auto" w:sz="4" w:space="0"/>
            </w:tcBorders>
            <w:vAlign w:val="center"/>
          </w:tcPr>
          <w:p w14:paraId="676304B7">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50DA6382">
            <w:pPr>
              <w:widowControl/>
              <w:spacing w:line="360" w:lineRule="auto"/>
              <w:jc w:val="center"/>
              <w:rPr>
                <w:color w:val="auto"/>
                <w:kern w:val="0"/>
                <w:szCs w:val="21"/>
                <w:highlight w:val="none"/>
              </w:rPr>
            </w:pPr>
            <w:r>
              <w:rPr>
                <w:rFonts w:hint="eastAsia"/>
                <w:color w:val="auto"/>
                <w:kern w:val="0"/>
                <w:szCs w:val="21"/>
                <w:highlight w:val="none"/>
              </w:rPr>
              <w:t>生产系统：电子航道图干支衔接</w:t>
            </w:r>
          </w:p>
        </w:tc>
        <w:tc>
          <w:tcPr>
            <w:tcW w:w="3293" w:type="pct"/>
            <w:tcBorders>
              <w:top w:val="nil"/>
              <w:left w:val="nil"/>
              <w:bottom w:val="single" w:color="auto" w:sz="4" w:space="0"/>
              <w:right w:val="single" w:color="auto" w:sz="4" w:space="0"/>
            </w:tcBorders>
            <w:vAlign w:val="center"/>
          </w:tcPr>
          <w:p w14:paraId="7DFC3D5D">
            <w:pPr>
              <w:widowControl/>
              <w:spacing w:line="360" w:lineRule="auto"/>
              <w:jc w:val="left"/>
              <w:rPr>
                <w:color w:val="auto"/>
                <w:kern w:val="0"/>
                <w:szCs w:val="21"/>
                <w:highlight w:val="none"/>
              </w:rPr>
            </w:pPr>
            <w:r>
              <w:rPr>
                <w:rFonts w:hint="eastAsia"/>
                <w:color w:val="auto"/>
                <w:kern w:val="0"/>
                <w:szCs w:val="21"/>
                <w:highlight w:val="none"/>
              </w:rPr>
              <w:t>需实现以下功能：1.在线推送:提供电子航道图成果数据文件的在线推送功能；2.空间数据服务:遵循REST、OGC标准，通过空间数据服务方式进行发布，形成标准数据接口服务，内容包括二维电子航道图服务接口、电子航道空间数据服务接口、数据查询服务接口及元数据服务接口等；3.在线下载:提供电子航道图成果数据文件通过FTP的方式实现在线推送功能</w:t>
            </w:r>
          </w:p>
        </w:tc>
      </w:tr>
      <w:tr w14:paraId="3EA79DBE">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2AF072F8">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15EF8E7B">
            <w:pPr>
              <w:widowControl/>
              <w:spacing w:line="360" w:lineRule="auto"/>
              <w:jc w:val="center"/>
              <w:rPr>
                <w:color w:val="auto"/>
                <w:kern w:val="0"/>
                <w:szCs w:val="21"/>
                <w:highlight w:val="none"/>
              </w:rPr>
            </w:pPr>
            <w:r>
              <w:rPr>
                <w:rFonts w:hint="eastAsia"/>
                <w:color w:val="auto"/>
                <w:kern w:val="0"/>
                <w:szCs w:val="21"/>
                <w:highlight w:val="none"/>
              </w:rPr>
              <w:t>基础平台：电子航道图生产GIS桌面软件</w:t>
            </w:r>
          </w:p>
        </w:tc>
        <w:tc>
          <w:tcPr>
            <w:tcW w:w="3293" w:type="pct"/>
            <w:tcBorders>
              <w:top w:val="nil"/>
              <w:left w:val="nil"/>
              <w:bottom w:val="single" w:color="auto" w:sz="4" w:space="0"/>
              <w:right w:val="single" w:color="auto" w:sz="4" w:space="0"/>
            </w:tcBorders>
            <w:vAlign w:val="center"/>
          </w:tcPr>
          <w:p w14:paraId="3F2098D3">
            <w:pPr>
              <w:widowControl/>
              <w:spacing w:line="360" w:lineRule="auto"/>
              <w:jc w:val="left"/>
              <w:rPr>
                <w:color w:val="auto"/>
                <w:kern w:val="0"/>
                <w:szCs w:val="21"/>
                <w:highlight w:val="none"/>
              </w:rPr>
            </w:pPr>
            <w:r>
              <w:rPr>
                <w:rFonts w:hint="eastAsia"/>
                <w:color w:val="auto"/>
                <w:kern w:val="0"/>
                <w:szCs w:val="21"/>
                <w:highlight w:val="none"/>
              </w:rPr>
              <w:t>需支持3用户访问、编辑、管理电子航道图用户。该软件用于开展现有电子航道图数据迁移工作，用于功能扩展开发的基础平台软件</w:t>
            </w:r>
          </w:p>
        </w:tc>
      </w:tr>
      <w:tr w14:paraId="269EE815">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2994F8D8">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0C3409E6">
            <w:pPr>
              <w:widowControl/>
              <w:spacing w:line="360" w:lineRule="auto"/>
              <w:jc w:val="center"/>
              <w:rPr>
                <w:color w:val="auto"/>
                <w:kern w:val="0"/>
                <w:szCs w:val="21"/>
                <w:highlight w:val="none"/>
              </w:rPr>
            </w:pPr>
            <w:r>
              <w:rPr>
                <w:rFonts w:hint="eastAsia"/>
                <w:color w:val="auto"/>
                <w:kern w:val="0"/>
                <w:szCs w:val="21"/>
                <w:highlight w:val="none"/>
              </w:rPr>
              <w:t>基础平台：电子航道图发布GIS服务器软件</w:t>
            </w:r>
          </w:p>
        </w:tc>
        <w:tc>
          <w:tcPr>
            <w:tcW w:w="3293" w:type="pct"/>
            <w:tcBorders>
              <w:top w:val="nil"/>
              <w:left w:val="nil"/>
              <w:bottom w:val="single" w:color="auto" w:sz="4" w:space="0"/>
              <w:right w:val="single" w:color="auto" w:sz="4" w:space="0"/>
            </w:tcBorders>
            <w:vAlign w:val="center"/>
          </w:tcPr>
          <w:p w14:paraId="202C08E7">
            <w:pPr>
              <w:widowControl/>
              <w:spacing w:line="360" w:lineRule="auto"/>
              <w:jc w:val="left"/>
              <w:rPr>
                <w:color w:val="auto"/>
                <w:kern w:val="0"/>
                <w:szCs w:val="21"/>
                <w:highlight w:val="none"/>
              </w:rPr>
            </w:pPr>
            <w:r>
              <w:rPr>
                <w:rFonts w:hint="eastAsia"/>
                <w:color w:val="auto"/>
                <w:kern w:val="0"/>
                <w:szCs w:val="21"/>
                <w:highlight w:val="none"/>
              </w:rPr>
              <w:t>需提供电子航道图数据与GIS数据的统一管理及缓存技术，支持电子航道图数据一体化存储、显示与发布</w:t>
            </w:r>
          </w:p>
        </w:tc>
      </w:tr>
    </w:tbl>
    <w:p w14:paraId="0BF671AC">
      <w:pPr>
        <w:spacing w:line="360" w:lineRule="auto"/>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br w:type="page"/>
      </w:r>
    </w:p>
    <w:p w14:paraId="1FFBB552">
      <w:pPr>
        <w:spacing w:line="360" w:lineRule="auto"/>
        <w:ind w:firstLine="422" w:firstLineChars="200"/>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2.</w:t>
      </w:r>
      <w:r>
        <w:rPr>
          <w:rFonts w:hint="eastAsia" w:ascii="黑体" w:hAnsi="黑体" w:eastAsia="黑体" w:cs="Times New Roman"/>
          <w:color w:val="auto"/>
          <w:sz w:val="24"/>
          <w:highlight w:val="none"/>
        </w:rPr>
        <w:t xml:space="preserve"> </w:t>
      </w:r>
      <w:r>
        <w:rPr>
          <w:rFonts w:hint="eastAsia" w:ascii="Times New Roman" w:hAnsi="Times New Roman" w:cs="Times New Roman"/>
          <w:b/>
          <w:bCs/>
          <w:color w:val="auto"/>
          <w:szCs w:val="22"/>
          <w:highlight w:val="none"/>
        </w:rPr>
        <w:t>内河航运综合监管服务</w:t>
      </w:r>
    </w:p>
    <w:tbl>
      <w:tblPr>
        <w:tblStyle w:val="4"/>
        <w:tblpPr w:leftFromText="180" w:rightFromText="180" w:vertAnchor="text" w:horzAnchor="page" w:tblpX="1950"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275"/>
        <w:gridCol w:w="5461"/>
      </w:tblGrid>
      <w:tr w14:paraId="0EE5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728" w:type="dxa"/>
            <w:gridSpan w:val="2"/>
            <w:vAlign w:val="center"/>
          </w:tcPr>
          <w:p w14:paraId="4D0ABBD2">
            <w:pPr>
              <w:spacing w:line="360" w:lineRule="auto"/>
              <w:jc w:val="center"/>
              <w:rPr>
                <w:rFonts w:cs="Arial"/>
                <w:color w:val="auto"/>
                <w:szCs w:val="21"/>
                <w:highlight w:val="none"/>
                <w:lang w:bidi="ar"/>
              </w:rPr>
            </w:pPr>
            <w:r>
              <w:rPr>
                <w:rFonts w:hint="eastAsia" w:cs="Arial"/>
                <w:b/>
                <w:color w:val="auto"/>
                <w:szCs w:val="21"/>
                <w:highlight w:val="none"/>
                <w:lang w:bidi="ar"/>
              </w:rPr>
              <w:t>功能模块</w:t>
            </w:r>
          </w:p>
        </w:tc>
        <w:tc>
          <w:tcPr>
            <w:tcW w:w="5461" w:type="dxa"/>
            <w:vMerge w:val="restart"/>
            <w:vAlign w:val="center"/>
          </w:tcPr>
          <w:p w14:paraId="26A206CE">
            <w:pPr>
              <w:spacing w:line="360" w:lineRule="auto"/>
              <w:jc w:val="center"/>
              <w:rPr>
                <w:rFonts w:cs="Arial"/>
                <w:color w:val="auto"/>
                <w:szCs w:val="21"/>
                <w:highlight w:val="none"/>
                <w:lang w:bidi="ar"/>
              </w:rPr>
            </w:pPr>
            <w:r>
              <w:rPr>
                <w:rFonts w:hint="eastAsia" w:cs="Arial"/>
                <w:b/>
                <w:color w:val="auto"/>
                <w:szCs w:val="21"/>
                <w:highlight w:val="none"/>
                <w:lang w:bidi="ar"/>
              </w:rPr>
              <w:t>功能模块</w:t>
            </w:r>
          </w:p>
        </w:tc>
      </w:tr>
      <w:tr w14:paraId="7D71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53" w:type="dxa"/>
            <w:vAlign w:val="center"/>
          </w:tcPr>
          <w:p w14:paraId="7DAA9755">
            <w:pPr>
              <w:spacing w:line="360" w:lineRule="auto"/>
              <w:jc w:val="center"/>
              <w:rPr>
                <w:rFonts w:cs="Arial"/>
                <w:color w:val="auto"/>
                <w:szCs w:val="21"/>
                <w:highlight w:val="none"/>
                <w:lang w:bidi="ar"/>
              </w:rPr>
            </w:pPr>
            <w:r>
              <w:rPr>
                <w:rFonts w:hint="eastAsia" w:cs="Arial"/>
                <w:b/>
                <w:color w:val="auto"/>
                <w:szCs w:val="21"/>
                <w:highlight w:val="none"/>
                <w:lang w:bidi="ar"/>
              </w:rPr>
              <w:t>一级功能</w:t>
            </w:r>
          </w:p>
        </w:tc>
        <w:tc>
          <w:tcPr>
            <w:tcW w:w="1275" w:type="dxa"/>
            <w:vAlign w:val="center"/>
          </w:tcPr>
          <w:p w14:paraId="06AF53AB">
            <w:pPr>
              <w:spacing w:line="360" w:lineRule="auto"/>
              <w:jc w:val="center"/>
              <w:rPr>
                <w:rFonts w:cs="Arial"/>
                <w:color w:val="auto"/>
                <w:szCs w:val="21"/>
                <w:highlight w:val="none"/>
                <w:lang w:bidi="ar"/>
              </w:rPr>
            </w:pPr>
            <w:r>
              <w:rPr>
                <w:rFonts w:hint="eastAsia" w:cs="Arial"/>
                <w:b/>
                <w:color w:val="auto"/>
                <w:szCs w:val="21"/>
                <w:highlight w:val="none"/>
                <w:lang w:bidi="ar"/>
              </w:rPr>
              <w:t>二级功能</w:t>
            </w:r>
          </w:p>
        </w:tc>
        <w:tc>
          <w:tcPr>
            <w:tcW w:w="5461" w:type="dxa"/>
            <w:vMerge w:val="continue"/>
            <w:vAlign w:val="center"/>
          </w:tcPr>
          <w:p w14:paraId="108E1E3A">
            <w:pPr>
              <w:spacing w:line="360" w:lineRule="auto"/>
              <w:rPr>
                <w:rFonts w:cs="Arial"/>
                <w:b/>
                <w:color w:val="auto"/>
                <w:szCs w:val="21"/>
                <w:highlight w:val="none"/>
                <w:lang w:bidi="ar"/>
              </w:rPr>
            </w:pPr>
          </w:p>
        </w:tc>
      </w:tr>
      <w:tr w14:paraId="0BE9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72FF456C">
            <w:pPr>
              <w:spacing w:line="360" w:lineRule="auto"/>
              <w:jc w:val="center"/>
              <w:rPr>
                <w:rFonts w:cs="Arial"/>
                <w:color w:val="auto"/>
                <w:szCs w:val="21"/>
                <w:highlight w:val="none"/>
                <w:lang w:bidi="ar"/>
              </w:rPr>
            </w:pPr>
            <w:r>
              <w:rPr>
                <w:rFonts w:cs="Arial"/>
                <w:color w:val="auto"/>
                <w:szCs w:val="21"/>
                <w:highlight w:val="none"/>
                <w:lang w:bidi="ar"/>
              </w:rPr>
              <w:t>港航建设项目管理</w:t>
            </w:r>
          </w:p>
        </w:tc>
        <w:tc>
          <w:tcPr>
            <w:tcW w:w="1275" w:type="dxa"/>
            <w:vAlign w:val="center"/>
          </w:tcPr>
          <w:p w14:paraId="12CC7E0E">
            <w:pPr>
              <w:spacing w:line="360" w:lineRule="auto"/>
              <w:jc w:val="center"/>
              <w:rPr>
                <w:rFonts w:cs="Arial"/>
                <w:color w:val="auto"/>
                <w:szCs w:val="21"/>
                <w:highlight w:val="none"/>
                <w:lang w:bidi="ar"/>
              </w:rPr>
            </w:pPr>
            <w:r>
              <w:rPr>
                <w:rFonts w:cs="Arial"/>
                <w:color w:val="auto"/>
                <w:szCs w:val="21"/>
                <w:highlight w:val="none"/>
                <w:lang w:bidi="ar"/>
              </w:rPr>
              <w:t>项目前期管理</w:t>
            </w:r>
          </w:p>
        </w:tc>
        <w:tc>
          <w:tcPr>
            <w:tcW w:w="5461" w:type="dxa"/>
            <w:vAlign w:val="center"/>
          </w:tcPr>
          <w:p w14:paraId="0CCD1057">
            <w:pPr>
              <w:spacing w:line="360" w:lineRule="auto"/>
              <w:rPr>
                <w:rFonts w:cs="Arial"/>
                <w:color w:val="auto"/>
                <w:szCs w:val="21"/>
                <w:highlight w:val="none"/>
                <w:lang w:bidi="ar"/>
              </w:rPr>
            </w:pPr>
            <w:r>
              <w:rPr>
                <w:rFonts w:hint="eastAsia" w:cs="Arial"/>
                <w:color w:val="auto"/>
                <w:szCs w:val="21"/>
                <w:highlight w:val="none"/>
                <w:lang w:bidi="ar"/>
              </w:rPr>
              <w:t>需</w:t>
            </w:r>
            <w:r>
              <w:rPr>
                <w:rFonts w:hint="eastAsia" w:ascii="Times New Roman" w:hAnsi="Times New Roman" w:cs="Times New Roman"/>
                <w:color w:val="auto"/>
                <w:szCs w:val="21"/>
                <w:highlight w:val="none"/>
                <w:lang w:bidi="ar"/>
              </w:rPr>
              <w:t>实现从项目规划、项目库建立、资金计划下达等全过程进度管理，并实现项目前期投资的精细化跟踪、预警与在线督办的全链条数字化管控，确保项目高效推进与合规落地。</w:t>
            </w:r>
          </w:p>
        </w:tc>
      </w:tr>
      <w:tr w14:paraId="31D3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146F1B7">
            <w:pPr>
              <w:spacing w:line="360" w:lineRule="auto"/>
              <w:jc w:val="center"/>
              <w:rPr>
                <w:rFonts w:cs="Arial"/>
                <w:color w:val="auto"/>
                <w:szCs w:val="21"/>
                <w:highlight w:val="none"/>
                <w:lang w:bidi="ar"/>
              </w:rPr>
            </w:pPr>
          </w:p>
        </w:tc>
        <w:tc>
          <w:tcPr>
            <w:tcW w:w="1275" w:type="dxa"/>
            <w:vAlign w:val="center"/>
          </w:tcPr>
          <w:p w14:paraId="5F3792B5">
            <w:pPr>
              <w:spacing w:line="360" w:lineRule="auto"/>
              <w:jc w:val="center"/>
              <w:rPr>
                <w:rFonts w:cs="Arial"/>
                <w:color w:val="auto"/>
                <w:szCs w:val="21"/>
                <w:highlight w:val="none"/>
                <w:lang w:bidi="ar"/>
              </w:rPr>
            </w:pPr>
            <w:r>
              <w:rPr>
                <w:rFonts w:cs="Arial"/>
                <w:color w:val="auto"/>
                <w:szCs w:val="21"/>
                <w:highlight w:val="none"/>
                <w:lang w:bidi="ar"/>
              </w:rPr>
              <w:t>项目建设监管</w:t>
            </w:r>
          </w:p>
        </w:tc>
        <w:tc>
          <w:tcPr>
            <w:tcW w:w="5461" w:type="dxa"/>
            <w:vAlign w:val="center"/>
          </w:tcPr>
          <w:p w14:paraId="4134E7C6">
            <w:pPr>
              <w:spacing w:line="360" w:lineRule="auto"/>
              <w:rPr>
                <w:rFonts w:cs="Arial"/>
                <w:color w:val="auto"/>
                <w:szCs w:val="21"/>
                <w:highlight w:val="none"/>
                <w:lang w:bidi="ar"/>
              </w:rPr>
            </w:pPr>
            <w:r>
              <w:rPr>
                <w:rFonts w:cs="Arial"/>
                <w:color w:val="auto"/>
                <w:szCs w:val="21"/>
                <w:highlight w:val="none"/>
                <w:lang w:bidi="ar"/>
              </w:rPr>
              <w:t>需实现对工程建设进度、人员履约、质量安全、投资计量及农民工工资支付的全过程在线监管，通过数据抓取与智能预警，构建覆盖进度、质量、安全、投资的透明化、闭环式监管体系。</w:t>
            </w:r>
          </w:p>
        </w:tc>
      </w:tr>
      <w:tr w14:paraId="753A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7" w:hRule="atLeast"/>
        </w:trPr>
        <w:tc>
          <w:tcPr>
            <w:tcW w:w="1453" w:type="dxa"/>
            <w:vMerge w:val="restart"/>
            <w:vAlign w:val="center"/>
          </w:tcPr>
          <w:p w14:paraId="460B2B2E">
            <w:pPr>
              <w:spacing w:line="360" w:lineRule="auto"/>
              <w:jc w:val="center"/>
              <w:rPr>
                <w:rFonts w:cs="Arial"/>
                <w:color w:val="auto"/>
                <w:szCs w:val="21"/>
                <w:highlight w:val="none"/>
                <w:lang w:bidi="ar"/>
              </w:rPr>
            </w:pPr>
            <w:r>
              <w:rPr>
                <w:rFonts w:cs="Arial"/>
                <w:color w:val="auto"/>
                <w:szCs w:val="21"/>
                <w:highlight w:val="none"/>
                <w:lang w:bidi="ar"/>
              </w:rPr>
              <w:t>航道养护管理</w:t>
            </w:r>
          </w:p>
        </w:tc>
        <w:tc>
          <w:tcPr>
            <w:tcW w:w="1275" w:type="dxa"/>
            <w:vAlign w:val="center"/>
          </w:tcPr>
          <w:p w14:paraId="09FC10B4">
            <w:pPr>
              <w:spacing w:line="360" w:lineRule="auto"/>
              <w:jc w:val="center"/>
              <w:rPr>
                <w:rFonts w:cs="Arial"/>
                <w:color w:val="auto"/>
                <w:szCs w:val="21"/>
                <w:highlight w:val="none"/>
                <w:lang w:bidi="ar"/>
              </w:rPr>
            </w:pPr>
            <w:r>
              <w:rPr>
                <w:rFonts w:cs="Arial"/>
                <w:color w:val="auto"/>
                <w:szCs w:val="21"/>
                <w:highlight w:val="none"/>
                <w:lang w:bidi="ar"/>
              </w:rPr>
              <w:t>养护物资管理</w:t>
            </w:r>
          </w:p>
        </w:tc>
        <w:tc>
          <w:tcPr>
            <w:tcW w:w="5461" w:type="dxa"/>
            <w:vAlign w:val="center"/>
          </w:tcPr>
          <w:p w14:paraId="114248F0">
            <w:pPr>
              <w:spacing w:line="360" w:lineRule="auto"/>
              <w:rPr>
                <w:rFonts w:cs="Arial"/>
                <w:color w:val="auto"/>
                <w:szCs w:val="21"/>
                <w:highlight w:val="none"/>
                <w:lang w:bidi="ar"/>
              </w:rPr>
            </w:pPr>
            <w:r>
              <w:rPr>
                <w:rFonts w:cs="Arial"/>
                <w:color w:val="auto"/>
                <w:szCs w:val="21"/>
                <w:highlight w:val="none"/>
                <w:lang w:bidi="ar"/>
              </w:rPr>
              <w:t>需实现对工作船舶、养护器材等核心资产的全生命周期数字化管理，建立完整的电子化台账，并通过数据统计分析为船舶调度、物资调配与采购计划提供决策支持。</w:t>
            </w:r>
          </w:p>
        </w:tc>
      </w:tr>
      <w:tr w14:paraId="6D90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7C04656">
            <w:pPr>
              <w:spacing w:line="360" w:lineRule="auto"/>
              <w:jc w:val="center"/>
              <w:rPr>
                <w:rFonts w:cs="Arial"/>
                <w:color w:val="auto"/>
                <w:szCs w:val="21"/>
                <w:highlight w:val="none"/>
                <w:lang w:bidi="ar"/>
              </w:rPr>
            </w:pPr>
          </w:p>
        </w:tc>
        <w:tc>
          <w:tcPr>
            <w:tcW w:w="1275" w:type="dxa"/>
            <w:vAlign w:val="center"/>
          </w:tcPr>
          <w:p w14:paraId="21C40285">
            <w:pPr>
              <w:spacing w:line="360" w:lineRule="auto"/>
              <w:jc w:val="center"/>
              <w:rPr>
                <w:rFonts w:cs="Arial"/>
                <w:color w:val="auto"/>
                <w:szCs w:val="21"/>
                <w:highlight w:val="none"/>
                <w:lang w:bidi="ar"/>
              </w:rPr>
            </w:pPr>
            <w:r>
              <w:rPr>
                <w:rFonts w:cs="Arial"/>
                <w:color w:val="auto"/>
                <w:szCs w:val="21"/>
                <w:highlight w:val="none"/>
                <w:lang w:bidi="ar"/>
              </w:rPr>
              <w:t>养护</w:t>
            </w:r>
            <w:r>
              <w:rPr>
                <w:rFonts w:hint="eastAsia" w:cs="Arial"/>
                <w:color w:val="auto"/>
                <w:szCs w:val="21"/>
                <w:highlight w:val="none"/>
                <w:lang w:bidi="ar"/>
              </w:rPr>
              <w:t>巡查</w:t>
            </w:r>
            <w:r>
              <w:rPr>
                <w:rFonts w:cs="Arial"/>
                <w:color w:val="auto"/>
                <w:szCs w:val="21"/>
                <w:highlight w:val="none"/>
                <w:lang w:bidi="ar"/>
              </w:rPr>
              <w:t>管理</w:t>
            </w:r>
          </w:p>
        </w:tc>
        <w:tc>
          <w:tcPr>
            <w:tcW w:w="5461" w:type="dxa"/>
            <w:vAlign w:val="center"/>
          </w:tcPr>
          <w:p w14:paraId="2AB50390">
            <w:pPr>
              <w:spacing w:line="360" w:lineRule="auto"/>
              <w:rPr>
                <w:rFonts w:cs="Arial"/>
                <w:color w:val="auto"/>
                <w:szCs w:val="21"/>
                <w:highlight w:val="none"/>
                <w:lang w:bidi="ar"/>
              </w:rPr>
            </w:pPr>
            <w:r>
              <w:rPr>
                <w:rFonts w:cs="Arial"/>
                <w:color w:val="auto"/>
                <w:szCs w:val="21"/>
                <w:highlight w:val="none"/>
                <w:lang w:bidi="ar"/>
              </w:rPr>
              <w:t>需实现从巡查计划制定、船舶与人员排班、任务下达与现场执行，到病害、养护工单自动分发与处置跟踪的数字化全流程。</w:t>
            </w:r>
          </w:p>
        </w:tc>
      </w:tr>
      <w:tr w14:paraId="0640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3411F59">
            <w:pPr>
              <w:spacing w:line="360" w:lineRule="auto"/>
              <w:jc w:val="center"/>
              <w:rPr>
                <w:rFonts w:cs="Arial"/>
                <w:color w:val="auto"/>
                <w:szCs w:val="21"/>
                <w:highlight w:val="none"/>
                <w:lang w:bidi="ar"/>
              </w:rPr>
            </w:pPr>
          </w:p>
        </w:tc>
        <w:tc>
          <w:tcPr>
            <w:tcW w:w="1275" w:type="dxa"/>
            <w:vAlign w:val="center"/>
          </w:tcPr>
          <w:p w14:paraId="34FE4B71">
            <w:pPr>
              <w:spacing w:line="360" w:lineRule="auto"/>
              <w:jc w:val="center"/>
              <w:rPr>
                <w:rFonts w:cs="Arial"/>
                <w:color w:val="auto"/>
                <w:szCs w:val="21"/>
                <w:highlight w:val="none"/>
                <w:lang w:bidi="ar"/>
              </w:rPr>
            </w:pPr>
            <w:r>
              <w:rPr>
                <w:rFonts w:cs="Arial"/>
                <w:color w:val="auto"/>
                <w:szCs w:val="21"/>
                <w:highlight w:val="none"/>
                <w:lang w:bidi="ar"/>
              </w:rPr>
              <w:t>养护作业管理</w:t>
            </w:r>
          </w:p>
        </w:tc>
        <w:tc>
          <w:tcPr>
            <w:tcW w:w="5461" w:type="dxa"/>
            <w:vAlign w:val="center"/>
          </w:tcPr>
          <w:p w14:paraId="06EF8EC4">
            <w:pPr>
              <w:spacing w:line="360" w:lineRule="auto"/>
              <w:rPr>
                <w:rFonts w:cs="Arial"/>
                <w:color w:val="auto"/>
                <w:szCs w:val="21"/>
                <w:highlight w:val="none"/>
                <w:lang w:bidi="ar"/>
              </w:rPr>
            </w:pPr>
            <w:r>
              <w:rPr>
                <w:rFonts w:hint="eastAsia" w:cs="Arial"/>
                <w:color w:val="auto"/>
                <w:szCs w:val="21"/>
                <w:highlight w:val="none"/>
                <w:lang w:bidi="ar"/>
              </w:rPr>
              <w:t>需建立养护项目库，</w:t>
            </w:r>
            <w:r>
              <w:rPr>
                <w:rFonts w:cs="Arial"/>
                <w:color w:val="auto"/>
                <w:szCs w:val="21"/>
                <w:highlight w:val="none"/>
                <w:lang w:bidi="ar"/>
              </w:rPr>
              <w:t>实现对例行与专项养护项目的</w:t>
            </w:r>
            <w:r>
              <w:rPr>
                <w:rFonts w:hint="eastAsia" w:cs="Arial"/>
                <w:color w:val="auto"/>
                <w:szCs w:val="21"/>
                <w:highlight w:val="none"/>
                <w:lang w:bidi="ar"/>
              </w:rPr>
              <w:t>全过程监管，包括对</w:t>
            </w:r>
            <w:r>
              <w:rPr>
                <w:rFonts w:cs="Arial"/>
                <w:color w:val="auto"/>
                <w:szCs w:val="21"/>
                <w:highlight w:val="none"/>
                <w:lang w:bidi="ar"/>
              </w:rPr>
              <w:t>人员、排班、考勤、考核以及项目全流程的精细化、闭环式</w:t>
            </w:r>
            <w:r>
              <w:rPr>
                <w:rFonts w:hint="eastAsia" w:cs="Arial"/>
                <w:color w:val="auto"/>
                <w:szCs w:val="21"/>
                <w:highlight w:val="none"/>
                <w:lang w:bidi="ar"/>
              </w:rPr>
              <w:t>监督与管理</w:t>
            </w:r>
            <w:r>
              <w:rPr>
                <w:rFonts w:cs="Arial"/>
                <w:color w:val="auto"/>
                <w:szCs w:val="21"/>
                <w:highlight w:val="none"/>
                <w:lang w:bidi="ar"/>
              </w:rPr>
              <w:t>，确保养护工作规范、高效。</w:t>
            </w:r>
          </w:p>
        </w:tc>
      </w:tr>
      <w:tr w14:paraId="2E1B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B4B942C">
            <w:pPr>
              <w:spacing w:line="360" w:lineRule="auto"/>
              <w:jc w:val="center"/>
              <w:rPr>
                <w:rFonts w:cs="Arial"/>
                <w:color w:val="auto"/>
                <w:szCs w:val="21"/>
                <w:highlight w:val="none"/>
                <w:lang w:bidi="ar"/>
              </w:rPr>
            </w:pPr>
          </w:p>
        </w:tc>
        <w:tc>
          <w:tcPr>
            <w:tcW w:w="1275" w:type="dxa"/>
            <w:vAlign w:val="center"/>
          </w:tcPr>
          <w:p w14:paraId="1E9AF1C6">
            <w:pPr>
              <w:spacing w:line="360" w:lineRule="auto"/>
              <w:jc w:val="center"/>
              <w:rPr>
                <w:rFonts w:cs="Arial"/>
                <w:color w:val="auto"/>
                <w:szCs w:val="21"/>
                <w:highlight w:val="none"/>
                <w:lang w:bidi="ar"/>
              </w:rPr>
            </w:pPr>
            <w:r>
              <w:rPr>
                <w:rFonts w:cs="Arial"/>
                <w:color w:val="auto"/>
                <w:szCs w:val="21"/>
                <w:highlight w:val="none"/>
                <w:lang w:bidi="ar"/>
              </w:rPr>
              <w:t>养护统计分析</w:t>
            </w:r>
          </w:p>
        </w:tc>
        <w:tc>
          <w:tcPr>
            <w:tcW w:w="5461" w:type="dxa"/>
            <w:vAlign w:val="center"/>
          </w:tcPr>
          <w:p w14:paraId="3A1C0D7B">
            <w:pPr>
              <w:spacing w:line="360" w:lineRule="auto"/>
              <w:rPr>
                <w:rFonts w:cs="Arial"/>
                <w:color w:val="auto"/>
                <w:szCs w:val="21"/>
                <w:highlight w:val="none"/>
                <w:lang w:bidi="ar"/>
              </w:rPr>
            </w:pPr>
            <w:r>
              <w:rPr>
                <w:rFonts w:cs="Arial"/>
                <w:color w:val="auto"/>
                <w:szCs w:val="21"/>
                <w:highlight w:val="none"/>
                <w:lang w:bidi="ar"/>
              </w:rPr>
              <w:t>需实现对生产计划执行情况的多维度统计分析，并基于历史数据，对未来养护计划与资金需求进行</w:t>
            </w:r>
            <w:r>
              <w:rPr>
                <w:rFonts w:hint="eastAsia" w:cs="Arial"/>
                <w:color w:val="auto"/>
                <w:szCs w:val="21"/>
                <w:highlight w:val="none"/>
                <w:lang w:bidi="ar"/>
              </w:rPr>
              <w:t>辅助</w:t>
            </w:r>
            <w:r>
              <w:rPr>
                <w:rFonts w:cs="Arial"/>
                <w:color w:val="auto"/>
                <w:szCs w:val="21"/>
                <w:highlight w:val="none"/>
                <w:lang w:bidi="ar"/>
              </w:rPr>
              <w:t>预测，为工作考评与计划制定提供依据。</w:t>
            </w:r>
          </w:p>
        </w:tc>
      </w:tr>
      <w:tr w14:paraId="64AC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0A0FBF1">
            <w:pPr>
              <w:spacing w:line="360" w:lineRule="auto"/>
              <w:jc w:val="center"/>
              <w:rPr>
                <w:rFonts w:cs="Arial"/>
                <w:color w:val="auto"/>
                <w:szCs w:val="21"/>
                <w:highlight w:val="none"/>
                <w:lang w:bidi="ar"/>
              </w:rPr>
            </w:pPr>
          </w:p>
        </w:tc>
        <w:tc>
          <w:tcPr>
            <w:tcW w:w="1275" w:type="dxa"/>
            <w:vAlign w:val="center"/>
          </w:tcPr>
          <w:p w14:paraId="4BFC7AAE">
            <w:pPr>
              <w:spacing w:line="360" w:lineRule="auto"/>
              <w:jc w:val="center"/>
              <w:rPr>
                <w:rFonts w:cs="Arial"/>
                <w:color w:val="auto"/>
                <w:szCs w:val="21"/>
                <w:highlight w:val="none"/>
                <w:lang w:bidi="ar"/>
              </w:rPr>
            </w:pPr>
            <w:r>
              <w:rPr>
                <w:rFonts w:cs="Arial"/>
                <w:color w:val="auto"/>
                <w:szCs w:val="21"/>
                <w:highlight w:val="none"/>
                <w:lang w:bidi="ar"/>
              </w:rPr>
              <w:t>航道养护监测与预警</w:t>
            </w:r>
          </w:p>
        </w:tc>
        <w:tc>
          <w:tcPr>
            <w:tcW w:w="5461" w:type="dxa"/>
            <w:vAlign w:val="center"/>
          </w:tcPr>
          <w:p w14:paraId="3C4241CA">
            <w:pPr>
              <w:spacing w:line="360" w:lineRule="auto"/>
              <w:rPr>
                <w:rFonts w:cs="Arial"/>
                <w:color w:val="auto"/>
                <w:szCs w:val="21"/>
                <w:highlight w:val="none"/>
                <w:lang w:bidi="ar"/>
              </w:rPr>
            </w:pPr>
            <w:r>
              <w:rPr>
                <w:rFonts w:cs="Arial"/>
                <w:color w:val="auto"/>
                <w:szCs w:val="21"/>
                <w:highlight w:val="none"/>
                <w:lang w:bidi="ar"/>
              </w:rPr>
              <w:t>需实现航道尺度数据的实时上报、维护与统计，并基于预设阈值对航道维护尺度进行动态监测与自动预警，为清淤等维护生产计划提供决策支持。</w:t>
            </w:r>
          </w:p>
        </w:tc>
      </w:tr>
      <w:tr w14:paraId="6BA0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183113C">
            <w:pPr>
              <w:spacing w:line="360" w:lineRule="auto"/>
              <w:jc w:val="center"/>
              <w:rPr>
                <w:rFonts w:cs="Arial"/>
                <w:color w:val="auto"/>
                <w:szCs w:val="21"/>
                <w:highlight w:val="none"/>
                <w:lang w:bidi="ar"/>
              </w:rPr>
            </w:pPr>
          </w:p>
        </w:tc>
        <w:tc>
          <w:tcPr>
            <w:tcW w:w="1275" w:type="dxa"/>
            <w:vAlign w:val="center"/>
          </w:tcPr>
          <w:p w14:paraId="5E85154D">
            <w:pPr>
              <w:spacing w:line="360" w:lineRule="auto"/>
              <w:jc w:val="center"/>
              <w:rPr>
                <w:rFonts w:cs="Arial"/>
                <w:color w:val="auto"/>
                <w:szCs w:val="21"/>
                <w:highlight w:val="none"/>
                <w:lang w:bidi="ar"/>
              </w:rPr>
            </w:pPr>
            <w:r>
              <w:rPr>
                <w:rFonts w:cs="Arial"/>
                <w:color w:val="auto"/>
                <w:szCs w:val="21"/>
                <w:highlight w:val="none"/>
                <w:lang w:bidi="ar"/>
              </w:rPr>
              <w:t>航道回淤监测分析</w:t>
            </w:r>
          </w:p>
        </w:tc>
        <w:tc>
          <w:tcPr>
            <w:tcW w:w="5461" w:type="dxa"/>
            <w:vAlign w:val="center"/>
          </w:tcPr>
          <w:p w14:paraId="43DF43F9">
            <w:pPr>
              <w:spacing w:line="360" w:lineRule="auto"/>
              <w:rPr>
                <w:rFonts w:cs="Arial"/>
                <w:color w:val="auto"/>
                <w:szCs w:val="21"/>
                <w:highlight w:val="none"/>
                <w:lang w:bidi="ar"/>
              </w:rPr>
            </w:pPr>
            <w:r>
              <w:rPr>
                <w:rFonts w:cs="Arial"/>
                <w:color w:val="auto"/>
                <w:szCs w:val="21"/>
                <w:highlight w:val="none"/>
                <w:lang w:bidi="ar"/>
              </w:rPr>
              <w:t>需通过模型试验、数值模拟与统计分析等方法，实现对航道回淤规律的预测与分析，并自动生成包括定期疏浚在内的科学应对措施。</w:t>
            </w:r>
          </w:p>
        </w:tc>
      </w:tr>
      <w:tr w14:paraId="3B73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626CDE7">
            <w:pPr>
              <w:spacing w:line="360" w:lineRule="auto"/>
              <w:jc w:val="center"/>
              <w:rPr>
                <w:rFonts w:cs="Arial"/>
                <w:color w:val="auto"/>
                <w:szCs w:val="21"/>
                <w:highlight w:val="none"/>
                <w:lang w:bidi="ar"/>
              </w:rPr>
            </w:pPr>
          </w:p>
        </w:tc>
        <w:tc>
          <w:tcPr>
            <w:tcW w:w="1275" w:type="dxa"/>
            <w:vAlign w:val="center"/>
          </w:tcPr>
          <w:p w14:paraId="4FCDFF24">
            <w:pPr>
              <w:spacing w:line="360" w:lineRule="auto"/>
              <w:jc w:val="center"/>
              <w:rPr>
                <w:rFonts w:cs="Arial"/>
                <w:color w:val="auto"/>
                <w:szCs w:val="21"/>
                <w:highlight w:val="none"/>
                <w:lang w:bidi="ar"/>
              </w:rPr>
            </w:pPr>
            <w:r>
              <w:rPr>
                <w:rFonts w:cs="Arial"/>
                <w:color w:val="auto"/>
                <w:szCs w:val="21"/>
                <w:highlight w:val="none"/>
                <w:lang w:bidi="ar"/>
              </w:rPr>
              <w:t>航道演变分析</w:t>
            </w:r>
          </w:p>
        </w:tc>
        <w:tc>
          <w:tcPr>
            <w:tcW w:w="5461" w:type="dxa"/>
            <w:vAlign w:val="center"/>
          </w:tcPr>
          <w:p w14:paraId="4437C0BC">
            <w:pPr>
              <w:spacing w:line="360" w:lineRule="auto"/>
              <w:rPr>
                <w:rFonts w:cs="Arial"/>
                <w:color w:val="auto"/>
                <w:szCs w:val="21"/>
                <w:highlight w:val="none"/>
                <w:lang w:bidi="ar"/>
              </w:rPr>
            </w:pPr>
            <w:r>
              <w:rPr>
                <w:rFonts w:cs="Arial"/>
                <w:color w:val="auto"/>
                <w:szCs w:val="21"/>
                <w:highlight w:val="none"/>
                <w:lang w:bidi="ar"/>
              </w:rPr>
              <w:t>需综合运用天然河道实测资料分析、类比分析、模型试验及理论计算等方法，对航道形态与通航条件的演变规律进行深入研究，为航道规划与管理提供科学依据。</w:t>
            </w:r>
          </w:p>
        </w:tc>
      </w:tr>
      <w:tr w14:paraId="6A59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354CDEBD">
            <w:pPr>
              <w:spacing w:line="360" w:lineRule="auto"/>
              <w:jc w:val="center"/>
              <w:rPr>
                <w:rFonts w:cs="Arial"/>
                <w:color w:val="auto"/>
                <w:szCs w:val="21"/>
                <w:highlight w:val="none"/>
                <w:lang w:bidi="ar"/>
              </w:rPr>
            </w:pPr>
            <w:r>
              <w:rPr>
                <w:rFonts w:cs="Arial"/>
                <w:color w:val="auto"/>
                <w:szCs w:val="21"/>
                <w:highlight w:val="none"/>
                <w:lang w:bidi="ar"/>
              </w:rPr>
              <w:t>航道运行监测</w:t>
            </w:r>
          </w:p>
        </w:tc>
        <w:tc>
          <w:tcPr>
            <w:tcW w:w="1275" w:type="dxa"/>
            <w:vAlign w:val="center"/>
          </w:tcPr>
          <w:p w14:paraId="5CFA4402">
            <w:pPr>
              <w:spacing w:line="360" w:lineRule="auto"/>
              <w:jc w:val="center"/>
              <w:rPr>
                <w:rFonts w:cs="Arial"/>
                <w:color w:val="auto"/>
                <w:szCs w:val="21"/>
                <w:highlight w:val="none"/>
                <w:lang w:bidi="ar"/>
              </w:rPr>
            </w:pPr>
            <w:r>
              <w:rPr>
                <w:rFonts w:cs="Arial"/>
                <w:color w:val="auto"/>
                <w:szCs w:val="21"/>
                <w:highlight w:val="none"/>
                <w:lang w:bidi="ar"/>
              </w:rPr>
              <w:t>船闸运行监测</w:t>
            </w:r>
          </w:p>
        </w:tc>
        <w:tc>
          <w:tcPr>
            <w:tcW w:w="5461" w:type="dxa"/>
            <w:vAlign w:val="center"/>
          </w:tcPr>
          <w:p w14:paraId="1D42386F">
            <w:pPr>
              <w:spacing w:line="360" w:lineRule="auto"/>
              <w:rPr>
                <w:rFonts w:cs="Arial"/>
                <w:color w:val="auto"/>
                <w:szCs w:val="21"/>
                <w:highlight w:val="none"/>
                <w:lang w:bidi="ar"/>
              </w:rPr>
            </w:pPr>
            <w:r>
              <w:rPr>
                <w:rFonts w:cs="Arial"/>
                <w:color w:val="auto"/>
                <w:szCs w:val="21"/>
                <w:highlight w:val="none"/>
                <w:lang w:bidi="ar"/>
              </w:rPr>
              <w:t>需实现对船闸运行状态的实时监测，保障船舶进出闸安全与效率。</w:t>
            </w:r>
          </w:p>
        </w:tc>
      </w:tr>
      <w:tr w14:paraId="4186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C846FDA">
            <w:pPr>
              <w:spacing w:line="360" w:lineRule="auto"/>
              <w:jc w:val="center"/>
              <w:rPr>
                <w:rFonts w:cs="Arial"/>
                <w:color w:val="auto"/>
                <w:szCs w:val="21"/>
                <w:highlight w:val="none"/>
                <w:lang w:bidi="ar"/>
              </w:rPr>
            </w:pPr>
          </w:p>
        </w:tc>
        <w:tc>
          <w:tcPr>
            <w:tcW w:w="1275" w:type="dxa"/>
            <w:vAlign w:val="center"/>
          </w:tcPr>
          <w:p w14:paraId="6AC999B2">
            <w:pPr>
              <w:spacing w:line="360" w:lineRule="auto"/>
              <w:jc w:val="center"/>
              <w:rPr>
                <w:rFonts w:cs="Arial"/>
                <w:color w:val="auto"/>
                <w:szCs w:val="21"/>
                <w:highlight w:val="none"/>
                <w:lang w:bidi="ar"/>
              </w:rPr>
            </w:pPr>
            <w:r>
              <w:rPr>
                <w:rFonts w:cs="Arial"/>
                <w:color w:val="auto"/>
                <w:szCs w:val="21"/>
                <w:highlight w:val="none"/>
                <w:lang w:bidi="ar"/>
              </w:rPr>
              <w:t>航道视频监控</w:t>
            </w:r>
          </w:p>
        </w:tc>
        <w:tc>
          <w:tcPr>
            <w:tcW w:w="5461" w:type="dxa"/>
            <w:vAlign w:val="center"/>
          </w:tcPr>
          <w:p w14:paraId="72D4FE7D">
            <w:pPr>
              <w:spacing w:line="360" w:lineRule="auto"/>
              <w:rPr>
                <w:rFonts w:cs="Arial"/>
                <w:color w:val="auto"/>
                <w:szCs w:val="21"/>
                <w:highlight w:val="none"/>
                <w:lang w:bidi="ar"/>
              </w:rPr>
            </w:pPr>
            <w:r>
              <w:rPr>
                <w:rFonts w:cs="Arial"/>
                <w:color w:val="auto"/>
                <w:szCs w:val="21"/>
                <w:highlight w:val="none"/>
                <w:lang w:bidi="ar"/>
              </w:rPr>
              <w:t>需实现对航道水域的全天候视频监视、轮巡、录像回放与云台控制，实现</w:t>
            </w:r>
            <w:r>
              <w:rPr>
                <w:rFonts w:hint="eastAsia" w:cs="Arial"/>
                <w:color w:val="auto"/>
                <w:szCs w:val="21"/>
                <w:highlight w:val="none"/>
                <w:lang w:bidi="ar"/>
              </w:rPr>
              <w:t>全天候监管</w:t>
            </w:r>
            <w:r>
              <w:rPr>
                <w:rFonts w:cs="Arial"/>
                <w:color w:val="auto"/>
                <w:szCs w:val="21"/>
                <w:highlight w:val="none"/>
                <w:lang w:bidi="ar"/>
              </w:rPr>
              <w:t>。</w:t>
            </w:r>
          </w:p>
        </w:tc>
      </w:tr>
      <w:tr w14:paraId="1B5B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082A0C6">
            <w:pPr>
              <w:spacing w:line="360" w:lineRule="auto"/>
              <w:jc w:val="center"/>
              <w:rPr>
                <w:rFonts w:cs="Arial"/>
                <w:color w:val="auto"/>
                <w:szCs w:val="21"/>
                <w:highlight w:val="none"/>
                <w:lang w:bidi="ar"/>
              </w:rPr>
            </w:pPr>
          </w:p>
        </w:tc>
        <w:tc>
          <w:tcPr>
            <w:tcW w:w="1275" w:type="dxa"/>
            <w:vAlign w:val="center"/>
          </w:tcPr>
          <w:p w14:paraId="244361BB">
            <w:pPr>
              <w:spacing w:line="360" w:lineRule="auto"/>
              <w:jc w:val="center"/>
              <w:rPr>
                <w:rFonts w:cs="Arial"/>
                <w:color w:val="auto"/>
                <w:szCs w:val="21"/>
                <w:highlight w:val="none"/>
                <w:lang w:bidi="ar"/>
              </w:rPr>
            </w:pPr>
            <w:r>
              <w:rPr>
                <w:rFonts w:cs="Arial"/>
                <w:color w:val="auto"/>
                <w:szCs w:val="21"/>
                <w:highlight w:val="none"/>
                <w:lang w:bidi="ar"/>
              </w:rPr>
              <w:t>航标遥测遥控</w:t>
            </w:r>
          </w:p>
        </w:tc>
        <w:tc>
          <w:tcPr>
            <w:tcW w:w="5461" w:type="dxa"/>
            <w:vAlign w:val="center"/>
          </w:tcPr>
          <w:p w14:paraId="24880E48">
            <w:pPr>
              <w:spacing w:line="360" w:lineRule="auto"/>
              <w:rPr>
                <w:rFonts w:cs="Arial"/>
                <w:color w:val="auto"/>
                <w:szCs w:val="21"/>
                <w:highlight w:val="none"/>
                <w:lang w:bidi="ar"/>
              </w:rPr>
            </w:pPr>
            <w:r>
              <w:rPr>
                <w:rFonts w:cs="Arial"/>
                <w:color w:val="auto"/>
                <w:szCs w:val="21"/>
                <w:highlight w:val="none"/>
                <w:lang w:bidi="ar"/>
              </w:rPr>
              <w:t>需实现航标基础数据的自动采集与上报、工作状态的远程监测与预警，并支持对异常</w:t>
            </w:r>
            <w:r>
              <w:rPr>
                <w:rFonts w:hint="eastAsia" w:cs="Arial"/>
                <w:color w:val="auto"/>
                <w:szCs w:val="21"/>
                <w:highlight w:val="none"/>
                <w:lang w:bidi="ar"/>
              </w:rPr>
              <w:t>设备的</w:t>
            </w:r>
            <w:r>
              <w:rPr>
                <w:rFonts w:cs="Arial"/>
                <w:color w:val="auto"/>
                <w:szCs w:val="21"/>
                <w:highlight w:val="none"/>
                <w:lang w:bidi="ar"/>
              </w:rPr>
              <w:t>工单派发，确保航标正常运行。</w:t>
            </w:r>
          </w:p>
        </w:tc>
      </w:tr>
      <w:tr w14:paraId="6670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AA3D021">
            <w:pPr>
              <w:spacing w:line="360" w:lineRule="auto"/>
              <w:jc w:val="center"/>
              <w:rPr>
                <w:rFonts w:cs="Arial"/>
                <w:color w:val="auto"/>
                <w:szCs w:val="21"/>
                <w:highlight w:val="none"/>
                <w:lang w:bidi="ar"/>
              </w:rPr>
            </w:pPr>
          </w:p>
        </w:tc>
        <w:tc>
          <w:tcPr>
            <w:tcW w:w="1275" w:type="dxa"/>
            <w:vAlign w:val="center"/>
          </w:tcPr>
          <w:p w14:paraId="2975A7C1">
            <w:pPr>
              <w:spacing w:line="360" w:lineRule="auto"/>
              <w:jc w:val="center"/>
              <w:rPr>
                <w:rFonts w:cs="Arial"/>
                <w:color w:val="auto"/>
                <w:szCs w:val="21"/>
                <w:highlight w:val="none"/>
                <w:lang w:bidi="ar"/>
              </w:rPr>
            </w:pPr>
            <w:r>
              <w:rPr>
                <w:rFonts w:cs="Arial"/>
                <w:color w:val="auto"/>
                <w:szCs w:val="21"/>
                <w:highlight w:val="none"/>
                <w:lang w:bidi="ar"/>
              </w:rPr>
              <w:t>水文遥测遥报</w:t>
            </w:r>
          </w:p>
        </w:tc>
        <w:tc>
          <w:tcPr>
            <w:tcW w:w="5461" w:type="dxa"/>
            <w:vAlign w:val="center"/>
          </w:tcPr>
          <w:p w14:paraId="736BA4A6">
            <w:pPr>
              <w:spacing w:line="360" w:lineRule="auto"/>
              <w:rPr>
                <w:rFonts w:cs="Arial"/>
                <w:color w:val="auto"/>
                <w:szCs w:val="21"/>
                <w:highlight w:val="none"/>
                <w:lang w:bidi="ar"/>
              </w:rPr>
            </w:pPr>
            <w:r>
              <w:rPr>
                <w:rFonts w:cs="Arial"/>
                <w:color w:val="auto"/>
                <w:szCs w:val="21"/>
                <w:highlight w:val="none"/>
                <w:lang w:bidi="ar"/>
              </w:rPr>
              <w:t>需实现</w:t>
            </w:r>
            <w:r>
              <w:rPr>
                <w:rFonts w:hint="eastAsia" w:cs="Arial"/>
                <w:color w:val="auto"/>
                <w:szCs w:val="21"/>
                <w:highlight w:val="none"/>
                <w:lang w:bidi="ar"/>
              </w:rPr>
              <w:t>对水位等信息的监测</w:t>
            </w:r>
            <w:r>
              <w:rPr>
                <w:rFonts w:cs="Arial"/>
                <w:color w:val="auto"/>
                <w:szCs w:val="21"/>
                <w:highlight w:val="none"/>
                <w:lang w:bidi="ar"/>
              </w:rPr>
              <w:t>，</w:t>
            </w:r>
            <w:r>
              <w:rPr>
                <w:rFonts w:hint="eastAsia" w:cs="Arial"/>
                <w:color w:val="auto"/>
                <w:szCs w:val="21"/>
                <w:highlight w:val="none"/>
                <w:lang w:bidi="ar"/>
              </w:rPr>
              <w:t>支持超出阈值时进行报警，并实现</w:t>
            </w:r>
            <w:r>
              <w:rPr>
                <w:rFonts w:cs="Arial"/>
                <w:color w:val="auto"/>
                <w:szCs w:val="21"/>
                <w:highlight w:val="none"/>
                <w:lang w:bidi="ar"/>
              </w:rPr>
              <w:t>水文信息的查询统计</w:t>
            </w:r>
            <w:r>
              <w:rPr>
                <w:rFonts w:hint="eastAsia" w:cs="Arial"/>
                <w:color w:val="auto"/>
                <w:szCs w:val="21"/>
                <w:highlight w:val="none"/>
                <w:lang w:bidi="ar"/>
              </w:rPr>
              <w:t>。</w:t>
            </w:r>
          </w:p>
        </w:tc>
      </w:tr>
      <w:tr w14:paraId="653F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A5C1E40">
            <w:pPr>
              <w:spacing w:line="360" w:lineRule="auto"/>
              <w:jc w:val="center"/>
              <w:rPr>
                <w:rFonts w:cs="Arial"/>
                <w:color w:val="auto"/>
                <w:szCs w:val="21"/>
                <w:highlight w:val="none"/>
                <w:lang w:bidi="ar"/>
              </w:rPr>
            </w:pPr>
          </w:p>
        </w:tc>
        <w:tc>
          <w:tcPr>
            <w:tcW w:w="1275" w:type="dxa"/>
            <w:vAlign w:val="center"/>
          </w:tcPr>
          <w:p w14:paraId="5BC2851E">
            <w:pPr>
              <w:spacing w:line="360" w:lineRule="auto"/>
              <w:jc w:val="center"/>
              <w:rPr>
                <w:rFonts w:cs="Arial"/>
                <w:color w:val="auto"/>
                <w:szCs w:val="21"/>
                <w:highlight w:val="none"/>
                <w:lang w:bidi="ar"/>
              </w:rPr>
            </w:pPr>
            <w:r>
              <w:rPr>
                <w:rFonts w:cs="Arial"/>
                <w:color w:val="auto"/>
                <w:szCs w:val="21"/>
                <w:highlight w:val="none"/>
                <w:lang w:bidi="ar"/>
              </w:rPr>
              <w:t>气象动态监测</w:t>
            </w:r>
          </w:p>
        </w:tc>
        <w:tc>
          <w:tcPr>
            <w:tcW w:w="5461" w:type="dxa"/>
            <w:vAlign w:val="center"/>
          </w:tcPr>
          <w:p w14:paraId="08C4EB73">
            <w:pPr>
              <w:spacing w:line="360" w:lineRule="auto"/>
              <w:rPr>
                <w:rFonts w:cs="Arial"/>
                <w:color w:val="auto"/>
                <w:szCs w:val="21"/>
                <w:highlight w:val="none"/>
                <w:lang w:bidi="ar"/>
              </w:rPr>
            </w:pPr>
            <w:r>
              <w:rPr>
                <w:rFonts w:cs="Arial"/>
                <w:color w:val="auto"/>
                <w:szCs w:val="21"/>
                <w:highlight w:val="none"/>
                <w:lang w:bidi="ar"/>
              </w:rPr>
              <w:t>需实现气象信息的查询统计，并设定监测阈值，在气象信息异常时自动触发报警。</w:t>
            </w:r>
          </w:p>
        </w:tc>
      </w:tr>
      <w:tr w14:paraId="4995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3A655851">
            <w:pPr>
              <w:spacing w:line="360" w:lineRule="auto"/>
              <w:jc w:val="center"/>
              <w:rPr>
                <w:rFonts w:cs="Arial"/>
                <w:color w:val="auto"/>
                <w:szCs w:val="21"/>
                <w:highlight w:val="none"/>
                <w:lang w:bidi="ar"/>
              </w:rPr>
            </w:pPr>
          </w:p>
        </w:tc>
        <w:tc>
          <w:tcPr>
            <w:tcW w:w="1275" w:type="dxa"/>
            <w:vAlign w:val="center"/>
          </w:tcPr>
          <w:p w14:paraId="455858C0">
            <w:pPr>
              <w:spacing w:line="360" w:lineRule="auto"/>
              <w:jc w:val="center"/>
              <w:rPr>
                <w:rFonts w:cs="Arial"/>
                <w:color w:val="auto"/>
                <w:szCs w:val="21"/>
                <w:highlight w:val="none"/>
                <w:lang w:bidi="ar"/>
              </w:rPr>
            </w:pPr>
            <w:r>
              <w:rPr>
                <w:rFonts w:cs="Arial"/>
                <w:color w:val="auto"/>
                <w:szCs w:val="21"/>
                <w:highlight w:val="none"/>
                <w:lang w:bidi="ar"/>
              </w:rPr>
              <w:t>航道尺度监测</w:t>
            </w:r>
          </w:p>
        </w:tc>
        <w:tc>
          <w:tcPr>
            <w:tcW w:w="5461" w:type="dxa"/>
            <w:vAlign w:val="center"/>
          </w:tcPr>
          <w:p w14:paraId="23B98A06">
            <w:pPr>
              <w:spacing w:line="360" w:lineRule="auto"/>
              <w:rPr>
                <w:rFonts w:cs="Arial"/>
                <w:color w:val="auto"/>
                <w:szCs w:val="21"/>
                <w:highlight w:val="none"/>
                <w:lang w:bidi="ar"/>
              </w:rPr>
            </w:pPr>
            <w:r>
              <w:rPr>
                <w:rFonts w:hint="eastAsia" w:cs="Arial"/>
                <w:color w:val="auto"/>
                <w:szCs w:val="21"/>
                <w:highlight w:val="none"/>
                <w:lang w:bidi="ar"/>
              </w:rPr>
              <w:t>需实现航道基础信息与尺度数据（探测、简测、扫床、计划）的监测与统计管理，并通过与计划维护尺度对比，实现航道维护尺度的自动预警。</w:t>
            </w:r>
          </w:p>
        </w:tc>
      </w:tr>
      <w:tr w14:paraId="279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962561F">
            <w:pPr>
              <w:spacing w:line="360" w:lineRule="auto"/>
              <w:jc w:val="center"/>
              <w:rPr>
                <w:rFonts w:cs="Arial"/>
                <w:color w:val="auto"/>
                <w:szCs w:val="21"/>
                <w:highlight w:val="none"/>
                <w:lang w:bidi="ar"/>
              </w:rPr>
            </w:pPr>
          </w:p>
        </w:tc>
        <w:tc>
          <w:tcPr>
            <w:tcW w:w="1275" w:type="dxa"/>
            <w:vAlign w:val="center"/>
          </w:tcPr>
          <w:p w14:paraId="5A5D3FC3">
            <w:pPr>
              <w:spacing w:line="360" w:lineRule="auto"/>
              <w:jc w:val="center"/>
              <w:rPr>
                <w:rFonts w:cs="Arial"/>
                <w:color w:val="auto"/>
                <w:szCs w:val="21"/>
                <w:highlight w:val="none"/>
                <w:lang w:bidi="ar"/>
              </w:rPr>
            </w:pPr>
            <w:r>
              <w:rPr>
                <w:rFonts w:cs="Arial"/>
                <w:color w:val="auto"/>
                <w:szCs w:val="21"/>
                <w:highlight w:val="none"/>
                <w:lang w:bidi="ar"/>
              </w:rPr>
              <w:t>桥梁通航尺度监测</w:t>
            </w:r>
          </w:p>
        </w:tc>
        <w:tc>
          <w:tcPr>
            <w:tcW w:w="5461" w:type="dxa"/>
            <w:vAlign w:val="center"/>
          </w:tcPr>
          <w:p w14:paraId="0A514C6E">
            <w:pPr>
              <w:spacing w:line="360" w:lineRule="auto"/>
              <w:rPr>
                <w:rFonts w:cs="Arial"/>
                <w:color w:val="auto"/>
                <w:szCs w:val="21"/>
                <w:highlight w:val="none"/>
                <w:lang w:bidi="ar"/>
              </w:rPr>
            </w:pPr>
            <w:r>
              <w:rPr>
                <w:rFonts w:cs="Arial"/>
                <w:color w:val="auto"/>
                <w:szCs w:val="21"/>
                <w:highlight w:val="none"/>
                <w:lang w:bidi="ar"/>
              </w:rPr>
              <w:t>需实现桥梁净高监测、水位监测及实时净高预警功能，保障桥区通航安全。</w:t>
            </w:r>
          </w:p>
        </w:tc>
      </w:tr>
      <w:tr w14:paraId="41A8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4355732">
            <w:pPr>
              <w:spacing w:line="360" w:lineRule="auto"/>
              <w:jc w:val="center"/>
              <w:rPr>
                <w:rFonts w:cs="Arial"/>
                <w:color w:val="auto"/>
                <w:szCs w:val="21"/>
                <w:highlight w:val="none"/>
                <w:lang w:bidi="ar"/>
              </w:rPr>
            </w:pPr>
          </w:p>
        </w:tc>
        <w:tc>
          <w:tcPr>
            <w:tcW w:w="1275" w:type="dxa"/>
            <w:vAlign w:val="center"/>
          </w:tcPr>
          <w:p w14:paraId="29B1FA1F">
            <w:pPr>
              <w:spacing w:line="360" w:lineRule="auto"/>
              <w:jc w:val="center"/>
              <w:rPr>
                <w:rFonts w:cs="Arial"/>
                <w:color w:val="auto"/>
                <w:szCs w:val="21"/>
                <w:highlight w:val="none"/>
                <w:lang w:bidi="ar"/>
              </w:rPr>
            </w:pPr>
            <w:r>
              <w:rPr>
                <w:rFonts w:cs="Arial"/>
                <w:color w:val="auto"/>
                <w:szCs w:val="21"/>
                <w:highlight w:val="none"/>
                <w:lang w:bidi="ar"/>
              </w:rPr>
              <w:t>水上服务区运行状态监测</w:t>
            </w:r>
          </w:p>
        </w:tc>
        <w:tc>
          <w:tcPr>
            <w:tcW w:w="5461" w:type="dxa"/>
            <w:vAlign w:val="center"/>
          </w:tcPr>
          <w:p w14:paraId="0411277F">
            <w:pPr>
              <w:spacing w:line="360" w:lineRule="auto"/>
              <w:rPr>
                <w:rFonts w:cs="Arial"/>
                <w:color w:val="auto"/>
                <w:szCs w:val="21"/>
                <w:highlight w:val="none"/>
                <w:lang w:bidi="ar"/>
              </w:rPr>
            </w:pPr>
            <w:r>
              <w:rPr>
                <w:rFonts w:cs="Arial"/>
                <w:color w:val="auto"/>
                <w:szCs w:val="21"/>
                <w:highlight w:val="none"/>
                <w:lang w:bidi="ar"/>
              </w:rPr>
              <w:t>需实现对服务区重点点位的视频监控、污染物的接收与处理</w:t>
            </w:r>
            <w:r>
              <w:rPr>
                <w:rFonts w:hint="eastAsia" w:cs="Arial"/>
                <w:color w:val="auto"/>
                <w:szCs w:val="21"/>
                <w:highlight w:val="none"/>
                <w:lang w:bidi="ar"/>
              </w:rPr>
              <w:t>监测</w:t>
            </w:r>
            <w:r>
              <w:rPr>
                <w:rFonts w:cs="Arial"/>
                <w:color w:val="auto"/>
                <w:szCs w:val="21"/>
                <w:highlight w:val="none"/>
                <w:lang w:bidi="ar"/>
              </w:rPr>
              <w:t>，提升服务区运营效率与管理水平。</w:t>
            </w:r>
          </w:p>
        </w:tc>
      </w:tr>
      <w:tr w14:paraId="3ECF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CD5E8EE">
            <w:pPr>
              <w:spacing w:line="360" w:lineRule="auto"/>
              <w:jc w:val="center"/>
              <w:rPr>
                <w:rFonts w:cs="Arial"/>
                <w:color w:val="auto"/>
                <w:szCs w:val="21"/>
                <w:highlight w:val="none"/>
                <w:lang w:bidi="ar"/>
              </w:rPr>
            </w:pPr>
          </w:p>
        </w:tc>
        <w:tc>
          <w:tcPr>
            <w:tcW w:w="1275" w:type="dxa"/>
            <w:vAlign w:val="center"/>
          </w:tcPr>
          <w:p w14:paraId="71D634AB">
            <w:pPr>
              <w:spacing w:line="360" w:lineRule="auto"/>
              <w:jc w:val="center"/>
              <w:rPr>
                <w:rFonts w:cs="Arial"/>
                <w:color w:val="auto"/>
                <w:szCs w:val="21"/>
                <w:highlight w:val="none"/>
                <w:lang w:bidi="ar"/>
              </w:rPr>
            </w:pPr>
            <w:r>
              <w:rPr>
                <w:rFonts w:cs="Arial"/>
                <w:color w:val="auto"/>
                <w:szCs w:val="21"/>
                <w:highlight w:val="none"/>
                <w:lang w:bidi="ar"/>
              </w:rPr>
              <w:t>岸电监测</w:t>
            </w:r>
          </w:p>
        </w:tc>
        <w:tc>
          <w:tcPr>
            <w:tcW w:w="5461" w:type="dxa"/>
            <w:vAlign w:val="center"/>
          </w:tcPr>
          <w:p w14:paraId="733A637F">
            <w:pPr>
              <w:spacing w:line="360" w:lineRule="auto"/>
              <w:rPr>
                <w:rFonts w:cs="Arial"/>
                <w:color w:val="auto"/>
                <w:szCs w:val="21"/>
                <w:highlight w:val="none"/>
                <w:lang w:bidi="ar"/>
              </w:rPr>
            </w:pPr>
            <w:r>
              <w:rPr>
                <w:rFonts w:cs="Arial"/>
                <w:color w:val="auto"/>
                <w:szCs w:val="21"/>
                <w:highlight w:val="none"/>
                <w:lang w:bidi="ar"/>
              </w:rPr>
              <w:t>需实现在线的岸电使用申请、审批与设备状态</w:t>
            </w:r>
            <w:r>
              <w:rPr>
                <w:rFonts w:hint="eastAsia" w:cs="Arial"/>
                <w:color w:val="auto"/>
                <w:szCs w:val="21"/>
                <w:highlight w:val="none"/>
                <w:lang w:bidi="ar"/>
              </w:rPr>
              <w:t>监管</w:t>
            </w:r>
            <w:r>
              <w:rPr>
                <w:rFonts w:cs="Arial"/>
                <w:color w:val="auto"/>
                <w:szCs w:val="21"/>
                <w:highlight w:val="none"/>
                <w:lang w:bidi="ar"/>
              </w:rPr>
              <w:t>，并</w:t>
            </w:r>
            <w:r>
              <w:rPr>
                <w:rFonts w:hint="eastAsia" w:cs="Arial"/>
                <w:color w:val="auto"/>
                <w:szCs w:val="21"/>
                <w:highlight w:val="none"/>
                <w:lang w:bidi="ar"/>
              </w:rPr>
              <w:t>通过</w:t>
            </w:r>
            <w:r>
              <w:rPr>
                <w:rFonts w:cs="Arial"/>
                <w:color w:val="auto"/>
                <w:szCs w:val="21"/>
                <w:highlight w:val="none"/>
                <w:lang w:bidi="ar"/>
              </w:rPr>
              <w:t>台账</w:t>
            </w:r>
            <w:r>
              <w:rPr>
                <w:rFonts w:hint="eastAsia" w:cs="Arial"/>
                <w:color w:val="auto"/>
                <w:szCs w:val="21"/>
                <w:highlight w:val="none"/>
                <w:lang w:bidi="ar"/>
              </w:rPr>
              <w:t>监管</w:t>
            </w:r>
            <w:r>
              <w:rPr>
                <w:rFonts w:cs="Arial"/>
                <w:color w:val="auto"/>
                <w:szCs w:val="21"/>
                <w:highlight w:val="none"/>
                <w:lang w:bidi="ar"/>
              </w:rPr>
              <w:t>，为船舶提供稳定、可靠的岸电供应远程监控与管理。</w:t>
            </w:r>
          </w:p>
        </w:tc>
      </w:tr>
      <w:tr w14:paraId="54F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18F5959">
            <w:pPr>
              <w:spacing w:line="360" w:lineRule="auto"/>
              <w:jc w:val="center"/>
              <w:rPr>
                <w:rFonts w:cs="Arial"/>
                <w:color w:val="auto"/>
                <w:szCs w:val="21"/>
                <w:highlight w:val="none"/>
                <w:lang w:bidi="ar"/>
              </w:rPr>
            </w:pPr>
          </w:p>
        </w:tc>
        <w:tc>
          <w:tcPr>
            <w:tcW w:w="1275" w:type="dxa"/>
            <w:vAlign w:val="center"/>
          </w:tcPr>
          <w:p w14:paraId="271DA141">
            <w:pPr>
              <w:spacing w:line="360" w:lineRule="auto"/>
              <w:jc w:val="center"/>
              <w:rPr>
                <w:rFonts w:cs="Arial"/>
                <w:color w:val="auto"/>
                <w:szCs w:val="21"/>
                <w:highlight w:val="none"/>
                <w:lang w:bidi="ar"/>
              </w:rPr>
            </w:pPr>
            <w:r>
              <w:rPr>
                <w:rFonts w:cs="Arial"/>
                <w:color w:val="auto"/>
                <w:szCs w:val="21"/>
                <w:highlight w:val="none"/>
                <w:lang w:bidi="ar"/>
              </w:rPr>
              <w:t>船舶流量监测</w:t>
            </w:r>
          </w:p>
        </w:tc>
        <w:tc>
          <w:tcPr>
            <w:tcW w:w="5461" w:type="dxa"/>
            <w:vAlign w:val="center"/>
          </w:tcPr>
          <w:p w14:paraId="367D91AB">
            <w:pPr>
              <w:spacing w:line="360" w:lineRule="auto"/>
              <w:rPr>
                <w:rFonts w:cs="Arial"/>
                <w:color w:val="auto"/>
                <w:szCs w:val="21"/>
                <w:highlight w:val="none"/>
                <w:lang w:bidi="ar"/>
              </w:rPr>
            </w:pPr>
            <w:r>
              <w:rPr>
                <w:rFonts w:cs="Arial"/>
                <w:color w:val="auto"/>
                <w:szCs w:val="21"/>
                <w:highlight w:val="none"/>
                <w:lang w:bidi="ar"/>
              </w:rPr>
              <w:t>需统计航道船舶流量，并设定流量阈值实现</w:t>
            </w:r>
            <w:r>
              <w:rPr>
                <w:rFonts w:hint="eastAsia" w:cs="Arial"/>
                <w:color w:val="auto"/>
                <w:szCs w:val="21"/>
                <w:highlight w:val="none"/>
                <w:lang w:bidi="ar"/>
              </w:rPr>
              <w:t>动态监管</w:t>
            </w:r>
            <w:r>
              <w:rPr>
                <w:rFonts w:cs="Arial"/>
                <w:color w:val="auto"/>
                <w:szCs w:val="21"/>
                <w:highlight w:val="none"/>
                <w:lang w:bidi="ar"/>
              </w:rPr>
              <w:t>。</w:t>
            </w:r>
          </w:p>
        </w:tc>
      </w:tr>
      <w:tr w14:paraId="50B5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261BC965">
            <w:pPr>
              <w:spacing w:line="360" w:lineRule="auto"/>
              <w:jc w:val="center"/>
              <w:rPr>
                <w:rFonts w:cs="Arial"/>
                <w:color w:val="auto"/>
                <w:szCs w:val="21"/>
                <w:highlight w:val="none"/>
                <w:lang w:bidi="ar"/>
              </w:rPr>
            </w:pPr>
            <w:r>
              <w:rPr>
                <w:rFonts w:cs="Arial"/>
                <w:color w:val="auto"/>
                <w:szCs w:val="21"/>
                <w:highlight w:val="none"/>
                <w:lang w:bidi="ar"/>
              </w:rPr>
              <w:t>船闸联合调度管理</w:t>
            </w:r>
          </w:p>
        </w:tc>
        <w:tc>
          <w:tcPr>
            <w:tcW w:w="1275" w:type="dxa"/>
            <w:vAlign w:val="center"/>
          </w:tcPr>
          <w:p w14:paraId="7A89E26D">
            <w:pPr>
              <w:spacing w:line="360" w:lineRule="auto"/>
              <w:jc w:val="center"/>
              <w:rPr>
                <w:rFonts w:cs="Arial"/>
                <w:color w:val="auto"/>
                <w:szCs w:val="21"/>
                <w:highlight w:val="none"/>
                <w:lang w:bidi="ar"/>
              </w:rPr>
            </w:pPr>
            <w:r>
              <w:rPr>
                <w:rFonts w:cs="Arial"/>
                <w:color w:val="auto"/>
                <w:szCs w:val="21"/>
                <w:highlight w:val="none"/>
                <w:lang w:bidi="ar"/>
              </w:rPr>
              <w:t>船闸联合调度监测</w:t>
            </w:r>
          </w:p>
        </w:tc>
        <w:tc>
          <w:tcPr>
            <w:tcW w:w="5461" w:type="dxa"/>
            <w:vAlign w:val="center"/>
          </w:tcPr>
          <w:p w14:paraId="0C70B1C1">
            <w:pPr>
              <w:spacing w:line="360" w:lineRule="auto"/>
              <w:rPr>
                <w:rFonts w:cs="Arial"/>
                <w:color w:val="auto"/>
                <w:szCs w:val="21"/>
                <w:highlight w:val="none"/>
                <w:lang w:bidi="ar"/>
              </w:rPr>
            </w:pPr>
            <w:r>
              <w:rPr>
                <w:rFonts w:cs="Arial"/>
                <w:color w:val="auto"/>
                <w:szCs w:val="21"/>
                <w:highlight w:val="none"/>
                <w:lang w:bidi="ar"/>
              </w:rPr>
              <w:t>需实现船闸及闸室静态基础信息的</w:t>
            </w:r>
            <w:r>
              <w:rPr>
                <w:rFonts w:hint="eastAsia" w:cs="Arial"/>
                <w:color w:val="auto"/>
                <w:szCs w:val="21"/>
                <w:highlight w:val="none"/>
                <w:lang w:bidi="ar"/>
              </w:rPr>
              <w:t>对接</w:t>
            </w:r>
            <w:r>
              <w:rPr>
                <w:rFonts w:cs="Arial"/>
                <w:color w:val="auto"/>
                <w:szCs w:val="21"/>
                <w:highlight w:val="none"/>
                <w:lang w:bidi="ar"/>
              </w:rPr>
              <w:t>维护，并通过获取企业平台数据动态掌握船闸状态与停闸信息。</w:t>
            </w:r>
          </w:p>
        </w:tc>
      </w:tr>
      <w:tr w14:paraId="695E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35EEC55">
            <w:pPr>
              <w:spacing w:line="360" w:lineRule="auto"/>
              <w:jc w:val="center"/>
              <w:rPr>
                <w:rFonts w:cs="Arial"/>
                <w:color w:val="auto"/>
                <w:szCs w:val="21"/>
                <w:highlight w:val="none"/>
                <w:lang w:bidi="ar"/>
              </w:rPr>
            </w:pPr>
          </w:p>
        </w:tc>
        <w:tc>
          <w:tcPr>
            <w:tcW w:w="1275" w:type="dxa"/>
            <w:vAlign w:val="center"/>
          </w:tcPr>
          <w:p w14:paraId="0407070D">
            <w:pPr>
              <w:spacing w:line="360" w:lineRule="auto"/>
              <w:jc w:val="center"/>
              <w:rPr>
                <w:rFonts w:cs="Arial"/>
                <w:color w:val="auto"/>
                <w:szCs w:val="21"/>
                <w:highlight w:val="none"/>
                <w:lang w:bidi="ar"/>
              </w:rPr>
            </w:pPr>
            <w:r>
              <w:rPr>
                <w:rFonts w:cs="Arial"/>
                <w:color w:val="auto"/>
                <w:szCs w:val="21"/>
                <w:highlight w:val="none"/>
                <w:lang w:bidi="ar"/>
              </w:rPr>
              <w:t>船闸过闸监测</w:t>
            </w:r>
          </w:p>
        </w:tc>
        <w:tc>
          <w:tcPr>
            <w:tcW w:w="5461" w:type="dxa"/>
            <w:vAlign w:val="center"/>
          </w:tcPr>
          <w:p w14:paraId="06A55714">
            <w:pPr>
              <w:spacing w:line="360" w:lineRule="auto"/>
              <w:rPr>
                <w:rFonts w:cs="Arial"/>
                <w:color w:val="auto"/>
                <w:szCs w:val="21"/>
                <w:highlight w:val="none"/>
                <w:lang w:bidi="ar"/>
              </w:rPr>
            </w:pPr>
            <w:r>
              <w:rPr>
                <w:rFonts w:cs="Arial"/>
                <w:color w:val="auto"/>
                <w:szCs w:val="21"/>
                <w:highlight w:val="none"/>
                <w:lang w:bidi="ar"/>
              </w:rPr>
              <w:t>需实现对过闸调度情况、已过闸船舶信息、过闸货物类型及船舶载重状态的多维度统计与分析，生成各类分析图表以掌握过闸规律。</w:t>
            </w:r>
          </w:p>
        </w:tc>
      </w:tr>
      <w:tr w14:paraId="7ECD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0713CDD">
            <w:pPr>
              <w:spacing w:line="360" w:lineRule="auto"/>
              <w:jc w:val="center"/>
              <w:rPr>
                <w:rFonts w:cs="Arial"/>
                <w:color w:val="auto"/>
                <w:szCs w:val="21"/>
                <w:highlight w:val="none"/>
                <w:lang w:bidi="ar"/>
              </w:rPr>
            </w:pPr>
          </w:p>
        </w:tc>
        <w:tc>
          <w:tcPr>
            <w:tcW w:w="1275" w:type="dxa"/>
            <w:vAlign w:val="center"/>
          </w:tcPr>
          <w:p w14:paraId="0CF34352">
            <w:pPr>
              <w:spacing w:line="360" w:lineRule="auto"/>
              <w:jc w:val="center"/>
              <w:rPr>
                <w:rFonts w:cs="Arial"/>
                <w:color w:val="auto"/>
                <w:szCs w:val="21"/>
                <w:highlight w:val="none"/>
                <w:lang w:bidi="ar"/>
              </w:rPr>
            </w:pPr>
            <w:r>
              <w:rPr>
                <w:rFonts w:cs="Arial"/>
                <w:color w:val="auto"/>
                <w:szCs w:val="21"/>
                <w:highlight w:val="none"/>
                <w:lang w:bidi="ar"/>
              </w:rPr>
              <w:t>跨省协同监管</w:t>
            </w:r>
          </w:p>
        </w:tc>
        <w:tc>
          <w:tcPr>
            <w:tcW w:w="5461" w:type="dxa"/>
            <w:vAlign w:val="center"/>
          </w:tcPr>
          <w:p w14:paraId="398128B3">
            <w:pPr>
              <w:spacing w:line="360" w:lineRule="auto"/>
              <w:rPr>
                <w:rFonts w:cs="Arial"/>
                <w:color w:val="auto"/>
                <w:szCs w:val="21"/>
                <w:highlight w:val="none"/>
                <w:lang w:bidi="ar"/>
              </w:rPr>
            </w:pPr>
            <w:r>
              <w:rPr>
                <w:rFonts w:cs="Arial"/>
                <w:color w:val="auto"/>
                <w:szCs w:val="21"/>
                <w:highlight w:val="none"/>
                <w:lang w:bidi="ar"/>
              </w:rPr>
              <w:t>需实现对跨省过境船舶的主动识别与动态监测，并对邻省闸口开放时间、程度等协同调度规范性进行评估，提升跨区域协同效率。</w:t>
            </w:r>
          </w:p>
        </w:tc>
      </w:tr>
      <w:tr w14:paraId="39D1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0121B18">
            <w:pPr>
              <w:spacing w:line="360" w:lineRule="auto"/>
              <w:jc w:val="center"/>
              <w:rPr>
                <w:rFonts w:cs="Arial"/>
                <w:color w:val="auto"/>
                <w:szCs w:val="21"/>
                <w:highlight w:val="none"/>
                <w:lang w:bidi="ar"/>
              </w:rPr>
            </w:pPr>
          </w:p>
        </w:tc>
        <w:tc>
          <w:tcPr>
            <w:tcW w:w="1275" w:type="dxa"/>
            <w:vAlign w:val="center"/>
          </w:tcPr>
          <w:p w14:paraId="1ECDC666">
            <w:pPr>
              <w:spacing w:line="360" w:lineRule="auto"/>
              <w:jc w:val="center"/>
              <w:rPr>
                <w:rFonts w:cs="Arial"/>
                <w:color w:val="auto"/>
                <w:szCs w:val="21"/>
                <w:highlight w:val="none"/>
                <w:lang w:bidi="ar"/>
              </w:rPr>
            </w:pPr>
            <w:r>
              <w:rPr>
                <w:rFonts w:cs="Arial"/>
                <w:color w:val="auto"/>
                <w:szCs w:val="21"/>
                <w:highlight w:val="none"/>
                <w:lang w:bidi="ar"/>
              </w:rPr>
              <w:t>船闸应急调度管理</w:t>
            </w:r>
          </w:p>
        </w:tc>
        <w:tc>
          <w:tcPr>
            <w:tcW w:w="5461" w:type="dxa"/>
            <w:vAlign w:val="center"/>
          </w:tcPr>
          <w:p w14:paraId="2520DEF7">
            <w:pPr>
              <w:spacing w:line="360" w:lineRule="auto"/>
              <w:rPr>
                <w:rFonts w:cs="Arial"/>
                <w:color w:val="auto"/>
                <w:szCs w:val="21"/>
                <w:highlight w:val="none"/>
                <w:lang w:bidi="ar"/>
              </w:rPr>
            </w:pPr>
            <w:r>
              <w:rPr>
                <w:rFonts w:cs="Arial"/>
                <w:color w:val="auto"/>
                <w:szCs w:val="21"/>
                <w:highlight w:val="none"/>
                <w:lang w:bidi="ar"/>
              </w:rPr>
              <w:t>需实现在应急事件或特殊情况下，由授权管理部门直接向下级单位发布船闸调度指令，并实时跟踪指令执行状态与船舶通过情况。</w:t>
            </w:r>
          </w:p>
        </w:tc>
      </w:tr>
      <w:tr w14:paraId="6477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D4760FD">
            <w:pPr>
              <w:spacing w:line="360" w:lineRule="auto"/>
              <w:jc w:val="center"/>
              <w:rPr>
                <w:rFonts w:cs="Arial"/>
                <w:color w:val="auto"/>
                <w:szCs w:val="21"/>
                <w:highlight w:val="none"/>
                <w:lang w:bidi="ar"/>
              </w:rPr>
            </w:pPr>
          </w:p>
        </w:tc>
        <w:tc>
          <w:tcPr>
            <w:tcW w:w="1275" w:type="dxa"/>
            <w:vAlign w:val="center"/>
          </w:tcPr>
          <w:p w14:paraId="03B5403C">
            <w:pPr>
              <w:spacing w:line="360" w:lineRule="auto"/>
              <w:jc w:val="center"/>
              <w:rPr>
                <w:rFonts w:cs="Arial"/>
                <w:color w:val="auto"/>
                <w:szCs w:val="21"/>
                <w:highlight w:val="none"/>
                <w:lang w:bidi="ar"/>
              </w:rPr>
            </w:pPr>
            <w:r>
              <w:rPr>
                <w:rFonts w:cs="Arial"/>
                <w:color w:val="auto"/>
                <w:szCs w:val="21"/>
                <w:highlight w:val="none"/>
                <w:lang w:bidi="ar"/>
              </w:rPr>
              <w:t>调度效能分析</w:t>
            </w:r>
          </w:p>
        </w:tc>
        <w:tc>
          <w:tcPr>
            <w:tcW w:w="5461" w:type="dxa"/>
            <w:vAlign w:val="center"/>
          </w:tcPr>
          <w:p w14:paraId="53C096B1">
            <w:pPr>
              <w:spacing w:line="360" w:lineRule="auto"/>
              <w:rPr>
                <w:rFonts w:cs="Arial"/>
                <w:color w:val="auto"/>
                <w:szCs w:val="21"/>
                <w:highlight w:val="none"/>
                <w:lang w:bidi="ar"/>
              </w:rPr>
            </w:pPr>
            <w:r>
              <w:rPr>
                <w:rFonts w:cs="Arial"/>
                <w:color w:val="auto"/>
                <w:szCs w:val="21"/>
                <w:highlight w:val="none"/>
                <w:lang w:bidi="ar"/>
              </w:rPr>
              <w:t>需构建闸室利用率、船舶待闸、航道拥堵及跨省调度执行效果等多维度分析模型，基于汇聚数据评估调度效率，为优化调度政策与资源配置提供决策依据。</w:t>
            </w:r>
          </w:p>
        </w:tc>
      </w:tr>
      <w:tr w14:paraId="0D55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85B8F9D">
            <w:pPr>
              <w:spacing w:line="360" w:lineRule="auto"/>
              <w:jc w:val="center"/>
              <w:rPr>
                <w:rFonts w:cs="Arial"/>
                <w:color w:val="auto"/>
                <w:szCs w:val="21"/>
                <w:highlight w:val="none"/>
                <w:lang w:bidi="ar"/>
              </w:rPr>
            </w:pPr>
          </w:p>
        </w:tc>
        <w:tc>
          <w:tcPr>
            <w:tcW w:w="1275" w:type="dxa"/>
            <w:vAlign w:val="center"/>
          </w:tcPr>
          <w:p w14:paraId="7ED3C91A">
            <w:pPr>
              <w:spacing w:line="360" w:lineRule="auto"/>
              <w:jc w:val="center"/>
              <w:rPr>
                <w:rFonts w:cs="Arial"/>
                <w:color w:val="auto"/>
                <w:szCs w:val="21"/>
                <w:highlight w:val="none"/>
                <w:lang w:bidi="ar"/>
              </w:rPr>
            </w:pPr>
            <w:r>
              <w:rPr>
                <w:rFonts w:cs="Arial"/>
                <w:color w:val="auto"/>
                <w:szCs w:val="21"/>
                <w:highlight w:val="none"/>
                <w:lang w:bidi="ar"/>
              </w:rPr>
              <w:t>调度合规性分析</w:t>
            </w:r>
          </w:p>
        </w:tc>
        <w:tc>
          <w:tcPr>
            <w:tcW w:w="5461" w:type="dxa"/>
            <w:vAlign w:val="center"/>
          </w:tcPr>
          <w:p w14:paraId="03B2068A">
            <w:pPr>
              <w:spacing w:line="360" w:lineRule="auto"/>
              <w:rPr>
                <w:rFonts w:cs="Arial"/>
                <w:color w:val="auto"/>
                <w:szCs w:val="21"/>
                <w:highlight w:val="none"/>
                <w:lang w:bidi="ar"/>
              </w:rPr>
            </w:pPr>
            <w:r>
              <w:rPr>
                <w:rFonts w:cs="Arial"/>
                <w:color w:val="auto"/>
                <w:szCs w:val="21"/>
                <w:highlight w:val="none"/>
                <w:lang w:bidi="ar"/>
              </w:rPr>
              <w:t>需实时</w:t>
            </w:r>
            <w:r>
              <w:rPr>
                <w:rFonts w:hint="eastAsia" w:cs="Arial"/>
                <w:color w:val="auto"/>
                <w:szCs w:val="21"/>
                <w:highlight w:val="none"/>
                <w:lang w:bidi="ar"/>
              </w:rPr>
              <w:t>分析</w:t>
            </w:r>
            <w:r>
              <w:rPr>
                <w:rFonts w:cs="Arial"/>
                <w:color w:val="auto"/>
                <w:szCs w:val="21"/>
                <w:highlight w:val="none"/>
                <w:lang w:bidi="ar"/>
              </w:rPr>
              <w:t>调度规则执行记录，对过闸廉政、收费规范性、重点物资通过时效及跨省协同调度规范性进行评估，并通过异常预警与服务评价确保调度公开、公平、高效。</w:t>
            </w:r>
          </w:p>
        </w:tc>
      </w:tr>
      <w:tr w14:paraId="3700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1BD404DB">
            <w:pPr>
              <w:spacing w:line="360" w:lineRule="auto"/>
              <w:jc w:val="center"/>
              <w:rPr>
                <w:rFonts w:cs="Arial"/>
                <w:color w:val="auto"/>
                <w:szCs w:val="21"/>
                <w:highlight w:val="none"/>
                <w:lang w:bidi="ar"/>
              </w:rPr>
            </w:pPr>
            <w:r>
              <w:rPr>
                <w:rFonts w:cs="Arial"/>
                <w:color w:val="auto"/>
                <w:szCs w:val="21"/>
                <w:highlight w:val="none"/>
                <w:lang w:bidi="ar"/>
              </w:rPr>
              <w:t>海事业务监管</w:t>
            </w:r>
          </w:p>
        </w:tc>
        <w:tc>
          <w:tcPr>
            <w:tcW w:w="1275" w:type="dxa"/>
            <w:vAlign w:val="center"/>
          </w:tcPr>
          <w:p w14:paraId="7F391DA2">
            <w:pPr>
              <w:spacing w:line="360" w:lineRule="auto"/>
              <w:jc w:val="center"/>
              <w:rPr>
                <w:rFonts w:cs="Arial"/>
                <w:color w:val="auto"/>
                <w:szCs w:val="21"/>
                <w:highlight w:val="none"/>
                <w:lang w:bidi="ar"/>
              </w:rPr>
            </w:pPr>
            <w:r>
              <w:rPr>
                <w:rFonts w:cs="Arial"/>
                <w:color w:val="auto"/>
                <w:szCs w:val="21"/>
                <w:highlight w:val="none"/>
                <w:lang w:bidi="ar"/>
              </w:rPr>
              <w:t>船舶管理</w:t>
            </w:r>
          </w:p>
        </w:tc>
        <w:tc>
          <w:tcPr>
            <w:tcW w:w="5461" w:type="dxa"/>
            <w:vAlign w:val="center"/>
          </w:tcPr>
          <w:p w14:paraId="694EFD27">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搭建全省船舶信息库，对船舶的相关证件、图纸信息、检验信息等进行管理，记录验船师检验船舶的全流程数据和报告。</w:t>
            </w:r>
          </w:p>
        </w:tc>
      </w:tr>
      <w:tr w14:paraId="612C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C472AF3">
            <w:pPr>
              <w:spacing w:line="360" w:lineRule="auto"/>
              <w:jc w:val="center"/>
              <w:rPr>
                <w:rFonts w:cs="Arial"/>
                <w:color w:val="auto"/>
                <w:szCs w:val="21"/>
                <w:highlight w:val="none"/>
                <w:lang w:bidi="ar"/>
              </w:rPr>
            </w:pPr>
          </w:p>
        </w:tc>
        <w:tc>
          <w:tcPr>
            <w:tcW w:w="1275" w:type="dxa"/>
            <w:vAlign w:val="center"/>
          </w:tcPr>
          <w:p w14:paraId="369F0034">
            <w:pPr>
              <w:spacing w:line="360" w:lineRule="auto"/>
              <w:jc w:val="center"/>
              <w:rPr>
                <w:rFonts w:cs="Arial"/>
                <w:color w:val="auto"/>
                <w:szCs w:val="21"/>
                <w:highlight w:val="none"/>
                <w:lang w:bidi="ar"/>
              </w:rPr>
            </w:pPr>
            <w:r>
              <w:rPr>
                <w:rFonts w:cs="Arial"/>
                <w:color w:val="auto"/>
                <w:szCs w:val="21"/>
                <w:highlight w:val="none"/>
                <w:lang w:bidi="ar"/>
              </w:rPr>
              <w:t>船员管理</w:t>
            </w:r>
          </w:p>
        </w:tc>
        <w:tc>
          <w:tcPr>
            <w:tcW w:w="5461" w:type="dxa"/>
            <w:vAlign w:val="center"/>
          </w:tcPr>
          <w:p w14:paraId="52B0A6C5">
            <w:pPr>
              <w:spacing w:line="360" w:lineRule="auto"/>
              <w:rPr>
                <w:rFonts w:cs="Arial"/>
                <w:color w:val="auto"/>
                <w:szCs w:val="21"/>
                <w:highlight w:val="none"/>
                <w:lang w:bidi="ar"/>
              </w:rPr>
            </w:pPr>
            <w:r>
              <w:rPr>
                <w:rFonts w:cs="Arial"/>
                <w:color w:val="auto"/>
                <w:szCs w:val="21"/>
                <w:highlight w:val="none"/>
                <w:lang w:bidi="ar"/>
              </w:rPr>
              <w:t>需实现船员基础信息、培训考试与适任证书状态的动态更新与监控，并通过统计分析掌握船员队伍结构与考试发证情况，提升船员整体素养与监管效能。</w:t>
            </w:r>
          </w:p>
        </w:tc>
      </w:tr>
      <w:tr w14:paraId="6A3C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1DE1BA9">
            <w:pPr>
              <w:spacing w:line="360" w:lineRule="auto"/>
              <w:jc w:val="center"/>
              <w:rPr>
                <w:rFonts w:cs="Arial"/>
                <w:color w:val="auto"/>
                <w:szCs w:val="21"/>
                <w:highlight w:val="none"/>
                <w:lang w:bidi="ar"/>
              </w:rPr>
            </w:pPr>
          </w:p>
        </w:tc>
        <w:tc>
          <w:tcPr>
            <w:tcW w:w="1275" w:type="dxa"/>
            <w:vAlign w:val="center"/>
          </w:tcPr>
          <w:p w14:paraId="7E4F9AD9">
            <w:pPr>
              <w:spacing w:line="360" w:lineRule="auto"/>
              <w:jc w:val="center"/>
              <w:rPr>
                <w:rFonts w:cs="Arial"/>
                <w:color w:val="auto"/>
                <w:szCs w:val="21"/>
                <w:highlight w:val="none"/>
                <w:lang w:bidi="ar"/>
              </w:rPr>
            </w:pPr>
            <w:r>
              <w:rPr>
                <w:rFonts w:cs="Arial"/>
                <w:color w:val="auto"/>
                <w:szCs w:val="21"/>
                <w:highlight w:val="none"/>
                <w:lang w:bidi="ar"/>
              </w:rPr>
              <w:t>海事安全管理</w:t>
            </w:r>
          </w:p>
        </w:tc>
        <w:tc>
          <w:tcPr>
            <w:tcW w:w="5461" w:type="dxa"/>
            <w:vAlign w:val="center"/>
          </w:tcPr>
          <w:p w14:paraId="6F0FDEE9">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实现</w:t>
            </w:r>
            <w:r>
              <w:rPr>
                <w:rFonts w:cs="Arial"/>
                <w:color w:val="auto"/>
                <w:szCs w:val="21"/>
                <w:highlight w:val="none"/>
                <w:lang w:bidi="ar"/>
              </w:rPr>
              <w:t>人工、无人船、无人机与电子巡航等多种方式</w:t>
            </w:r>
            <w:r>
              <w:rPr>
                <w:rFonts w:hint="eastAsia" w:cs="Arial"/>
                <w:color w:val="auto"/>
                <w:szCs w:val="21"/>
                <w:highlight w:val="none"/>
                <w:lang w:bidi="ar"/>
              </w:rPr>
              <w:t>的</w:t>
            </w:r>
            <w:r>
              <w:rPr>
                <w:rFonts w:cs="Arial"/>
                <w:color w:val="auto"/>
                <w:szCs w:val="21"/>
                <w:highlight w:val="none"/>
                <w:lang w:bidi="ar"/>
              </w:rPr>
              <w:t>智能巡航监管，并加强对危防情况（危货运输、防污作业等）的</w:t>
            </w:r>
            <w:r>
              <w:rPr>
                <w:rFonts w:hint="eastAsia" w:cs="Arial"/>
                <w:color w:val="auto"/>
                <w:szCs w:val="21"/>
                <w:highlight w:val="none"/>
                <w:lang w:bidi="ar"/>
              </w:rPr>
              <w:t>记录与分析</w:t>
            </w:r>
            <w:r>
              <w:rPr>
                <w:rFonts w:cs="Arial"/>
                <w:color w:val="auto"/>
                <w:szCs w:val="21"/>
                <w:highlight w:val="none"/>
                <w:lang w:bidi="ar"/>
              </w:rPr>
              <w:t>。</w:t>
            </w:r>
          </w:p>
        </w:tc>
      </w:tr>
      <w:tr w14:paraId="23E6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D723B42">
            <w:pPr>
              <w:spacing w:line="360" w:lineRule="auto"/>
              <w:jc w:val="center"/>
              <w:rPr>
                <w:rFonts w:cs="Arial"/>
                <w:color w:val="auto"/>
                <w:szCs w:val="21"/>
                <w:highlight w:val="none"/>
                <w:lang w:bidi="ar"/>
              </w:rPr>
            </w:pPr>
          </w:p>
        </w:tc>
        <w:tc>
          <w:tcPr>
            <w:tcW w:w="1275" w:type="dxa"/>
            <w:vAlign w:val="center"/>
          </w:tcPr>
          <w:p w14:paraId="4D1EC176">
            <w:pPr>
              <w:spacing w:line="360" w:lineRule="auto"/>
              <w:jc w:val="center"/>
              <w:rPr>
                <w:rFonts w:cs="Arial"/>
                <w:color w:val="auto"/>
                <w:szCs w:val="21"/>
                <w:highlight w:val="none"/>
                <w:lang w:bidi="ar"/>
              </w:rPr>
            </w:pPr>
            <w:r>
              <w:rPr>
                <w:rFonts w:cs="Arial"/>
                <w:color w:val="auto"/>
                <w:szCs w:val="21"/>
                <w:highlight w:val="none"/>
                <w:lang w:bidi="ar"/>
              </w:rPr>
              <w:t>通航秩序管理</w:t>
            </w:r>
          </w:p>
        </w:tc>
        <w:tc>
          <w:tcPr>
            <w:tcW w:w="5461" w:type="dxa"/>
            <w:vAlign w:val="center"/>
          </w:tcPr>
          <w:p w14:paraId="09B75682">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实现船舶远程报港功能、对</w:t>
            </w:r>
            <w:r>
              <w:rPr>
                <w:rFonts w:cs="Arial"/>
                <w:color w:val="auto"/>
                <w:szCs w:val="21"/>
                <w:highlight w:val="none"/>
                <w:lang w:bidi="ar"/>
              </w:rPr>
              <w:t>船舶超载、违停、违规驾驶等各种违规</w:t>
            </w:r>
            <w:r>
              <w:rPr>
                <w:rFonts w:hint="eastAsia" w:cs="Arial"/>
                <w:color w:val="auto"/>
                <w:szCs w:val="21"/>
                <w:highlight w:val="none"/>
                <w:lang w:bidi="ar"/>
              </w:rPr>
              <w:t>驾驶信息进行统计和监管。</w:t>
            </w:r>
          </w:p>
        </w:tc>
      </w:tr>
      <w:tr w14:paraId="1483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FE57BE1">
            <w:pPr>
              <w:spacing w:line="360" w:lineRule="auto"/>
              <w:jc w:val="center"/>
              <w:rPr>
                <w:rFonts w:cs="Arial"/>
                <w:color w:val="auto"/>
                <w:szCs w:val="21"/>
                <w:highlight w:val="none"/>
                <w:lang w:bidi="ar"/>
              </w:rPr>
            </w:pPr>
          </w:p>
        </w:tc>
        <w:tc>
          <w:tcPr>
            <w:tcW w:w="1275" w:type="dxa"/>
            <w:vAlign w:val="center"/>
          </w:tcPr>
          <w:p w14:paraId="6602A88E">
            <w:pPr>
              <w:spacing w:line="360" w:lineRule="auto"/>
              <w:jc w:val="center"/>
              <w:rPr>
                <w:rFonts w:cs="Arial"/>
                <w:color w:val="auto"/>
                <w:szCs w:val="21"/>
                <w:highlight w:val="none"/>
                <w:lang w:bidi="ar"/>
              </w:rPr>
            </w:pPr>
            <w:r>
              <w:rPr>
                <w:rFonts w:cs="Arial"/>
                <w:color w:val="auto"/>
                <w:szCs w:val="21"/>
                <w:highlight w:val="none"/>
                <w:lang w:bidi="ar"/>
              </w:rPr>
              <w:t>信用管理</w:t>
            </w:r>
          </w:p>
        </w:tc>
        <w:tc>
          <w:tcPr>
            <w:tcW w:w="5461" w:type="dxa"/>
            <w:vAlign w:val="center"/>
          </w:tcPr>
          <w:p w14:paraId="6DC09B96">
            <w:pPr>
              <w:spacing w:line="360" w:lineRule="auto"/>
              <w:rPr>
                <w:rFonts w:cs="Arial"/>
                <w:color w:val="auto"/>
                <w:szCs w:val="21"/>
                <w:highlight w:val="none"/>
                <w:lang w:bidi="ar"/>
              </w:rPr>
            </w:pPr>
            <w:r>
              <w:rPr>
                <w:rFonts w:hint="eastAsia" w:cs="Arial"/>
                <w:color w:val="auto"/>
                <w:szCs w:val="21"/>
                <w:highlight w:val="none"/>
                <w:lang w:bidi="ar"/>
              </w:rPr>
              <w:t>需根据</w:t>
            </w:r>
            <w:r>
              <w:rPr>
                <w:rFonts w:cs="Arial"/>
                <w:color w:val="auto"/>
                <w:szCs w:val="21"/>
                <w:highlight w:val="none"/>
                <w:lang w:bidi="ar"/>
              </w:rPr>
              <w:t>诚信规则体系，实现诚信记录的信息化管理、查询与失信名单自动关联，并</w:t>
            </w:r>
            <w:r>
              <w:rPr>
                <w:rFonts w:hint="eastAsia" w:cs="Arial"/>
                <w:color w:val="auto"/>
                <w:szCs w:val="21"/>
                <w:highlight w:val="none"/>
                <w:lang w:bidi="ar"/>
              </w:rPr>
              <w:t>实现</w:t>
            </w:r>
            <w:r>
              <w:rPr>
                <w:rFonts w:cs="Arial"/>
                <w:color w:val="auto"/>
                <w:szCs w:val="21"/>
                <w:highlight w:val="none"/>
                <w:lang w:bidi="ar"/>
              </w:rPr>
              <w:t>诚信信息</w:t>
            </w:r>
            <w:r>
              <w:rPr>
                <w:rFonts w:hint="eastAsia" w:cs="Arial"/>
                <w:color w:val="auto"/>
                <w:szCs w:val="21"/>
                <w:highlight w:val="none"/>
                <w:lang w:bidi="ar"/>
              </w:rPr>
              <w:t>与船舶过闸等监管</w:t>
            </w:r>
            <w:r>
              <w:rPr>
                <w:rFonts w:cs="Arial"/>
                <w:color w:val="auto"/>
                <w:szCs w:val="21"/>
                <w:highlight w:val="none"/>
                <w:lang w:bidi="ar"/>
              </w:rPr>
              <w:t>联动。</w:t>
            </w:r>
          </w:p>
        </w:tc>
      </w:tr>
      <w:tr w14:paraId="5504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65E1724C">
            <w:pPr>
              <w:spacing w:line="360" w:lineRule="auto"/>
              <w:jc w:val="center"/>
              <w:rPr>
                <w:rFonts w:cs="Arial"/>
                <w:color w:val="auto"/>
                <w:szCs w:val="21"/>
                <w:highlight w:val="none"/>
                <w:lang w:bidi="ar"/>
              </w:rPr>
            </w:pPr>
            <w:r>
              <w:rPr>
                <w:rFonts w:cs="Arial"/>
                <w:color w:val="auto"/>
                <w:szCs w:val="21"/>
                <w:highlight w:val="none"/>
                <w:lang w:bidi="ar"/>
              </w:rPr>
              <w:t>港口监管与服务</w:t>
            </w:r>
          </w:p>
        </w:tc>
        <w:tc>
          <w:tcPr>
            <w:tcW w:w="1275" w:type="dxa"/>
            <w:vAlign w:val="center"/>
          </w:tcPr>
          <w:p w14:paraId="0727A6AD">
            <w:pPr>
              <w:spacing w:line="360" w:lineRule="auto"/>
              <w:jc w:val="center"/>
              <w:rPr>
                <w:rFonts w:cs="Arial"/>
                <w:color w:val="auto"/>
                <w:szCs w:val="21"/>
                <w:highlight w:val="none"/>
                <w:lang w:bidi="ar"/>
              </w:rPr>
            </w:pPr>
            <w:r>
              <w:rPr>
                <w:rFonts w:cs="Arial"/>
                <w:color w:val="auto"/>
                <w:szCs w:val="21"/>
                <w:highlight w:val="none"/>
                <w:lang w:bidi="ar"/>
              </w:rPr>
              <w:t>港口基本信息管理</w:t>
            </w:r>
          </w:p>
        </w:tc>
        <w:tc>
          <w:tcPr>
            <w:tcW w:w="5461" w:type="dxa"/>
            <w:vAlign w:val="center"/>
          </w:tcPr>
          <w:p w14:paraId="5B8BF5F6">
            <w:pPr>
              <w:spacing w:line="360" w:lineRule="auto"/>
              <w:rPr>
                <w:rFonts w:cs="Arial"/>
                <w:color w:val="auto"/>
                <w:szCs w:val="21"/>
                <w:highlight w:val="none"/>
                <w:lang w:bidi="ar"/>
              </w:rPr>
            </w:pPr>
            <w:r>
              <w:rPr>
                <w:rFonts w:cs="Arial"/>
                <w:color w:val="auto"/>
                <w:szCs w:val="21"/>
                <w:highlight w:val="none"/>
                <w:lang w:bidi="ar"/>
              </w:rPr>
              <w:t>需系统化管理港口基础数据、布局规划、企业信息、业务数据、设施设备及从业人员资格信息，构建港口信息库，为行业监管与公众服务提供精准数据支撑。</w:t>
            </w:r>
          </w:p>
        </w:tc>
      </w:tr>
      <w:tr w14:paraId="0A36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05D3943">
            <w:pPr>
              <w:spacing w:line="360" w:lineRule="auto"/>
              <w:jc w:val="center"/>
              <w:rPr>
                <w:rFonts w:cs="Arial"/>
                <w:color w:val="auto"/>
                <w:szCs w:val="21"/>
                <w:highlight w:val="none"/>
                <w:lang w:bidi="ar"/>
              </w:rPr>
            </w:pPr>
          </w:p>
        </w:tc>
        <w:tc>
          <w:tcPr>
            <w:tcW w:w="1275" w:type="dxa"/>
            <w:vAlign w:val="center"/>
          </w:tcPr>
          <w:p w14:paraId="74499A63">
            <w:pPr>
              <w:spacing w:line="360" w:lineRule="auto"/>
              <w:jc w:val="center"/>
              <w:rPr>
                <w:rFonts w:cs="Arial"/>
                <w:color w:val="auto"/>
                <w:szCs w:val="21"/>
                <w:highlight w:val="none"/>
                <w:lang w:bidi="ar"/>
              </w:rPr>
            </w:pPr>
            <w:r>
              <w:rPr>
                <w:rFonts w:cs="Arial"/>
                <w:color w:val="auto"/>
                <w:szCs w:val="21"/>
                <w:highlight w:val="none"/>
                <w:lang w:bidi="ar"/>
              </w:rPr>
              <w:t>安全监管</w:t>
            </w:r>
          </w:p>
        </w:tc>
        <w:tc>
          <w:tcPr>
            <w:tcW w:w="5461" w:type="dxa"/>
            <w:vAlign w:val="center"/>
          </w:tcPr>
          <w:p w14:paraId="01585DDC">
            <w:pPr>
              <w:spacing w:line="360" w:lineRule="auto"/>
              <w:rPr>
                <w:rFonts w:cs="Arial"/>
                <w:color w:val="auto"/>
                <w:szCs w:val="21"/>
                <w:highlight w:val="none"/>
                <w:lang w:bidi="ar"/>
              </w:rPr>
            </w:pPr>
            <w:r>
              <w:rPr>
                <w:rFonts w:cs="Arial"/>
                <w:color w:val="auto"/>
                <w:szCs w:val="21"/>
                <w:highlight w:val="none"/>
                <w:lang w:bidi="ar"/>
              </w:rPr>
              <w:t>需构建覆盖安全生产综合管理（安全台账、评估、责任体系等）与应急合规管理（应急机构、物资、预案等）的双重预防体系，实现对港口安全风险的动态化、结构化、闭环管理。</w:t>
            </w:r>
          </w:p>
        </w:tc>
      </w:tr>
      <w:tr w14:paraId="7721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9798268">
            <w:pPr>
              <w:spacing w:line="360" w:lineRule="auto"/>
              <w:jc w:val="center"/>
              <w:rPr>
                <w:rFonts w:cs="Arial"/>
                <w:color w:val="auto"/>
                <w:szCs w:val="21"/>
                <w:highlight w:val="none"/>
                <w:lang w:bidi="ar"/>
              </w:rPr>
            </w:pPr>
          </w:p>
        </w:tc>
        <w:tc>
          <w:tcPr>
            <w:tcW w:w="1275" w:type="dxa"/>
            <w:vAlign w:val="center"/>
          </w:tcPr>
          <w:p w14:paraId="66382CBC">
            <w:pPr>
              <w:spacing w:line="360" w:lineRule="auto"/>
              <w:jc w:val="center"/>
              <w:rPr>
                <w:rFonts w:cs="Arial"/>
                <w:color w:val="auto"/>
                <w:szCs w:val="21"/>
                <w:highlight w:val="none"/>
                <w:lang w:bidi="ar"/>
              </w:rPr>
            </w:pPr>
            <w:r>
              <w:rPr>
                <w:rFonts w:cs="Arial"/>
                <w:color w:val="auto"/>
                <w:szCs w:val="21"/>
                <w:highlight w:val="none"/>
                <w:lang w:bidi="ar"/>
              </w:rPr>
              <w:t>环保监管</w:t>
            </w:r>
          </w:p>
        </w:tc>
        <w:tc>
          <w:tcPr>
            <w:tcW w:w="5461" w:type="dxa"/>
            <w:vAlign w:val="center"/>
          </w:tcPr>
          <w:p w14:paraId="22CBCEEB">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实现</w:t>
            </w:r>
            <w:r>
              <w:rPr>
                <w:rFonts w:cs="Arial"/>
                <w:color w:val="auto"/>
                <w:szCs w:val="21"/>
                <w:highlight w:val="none"/>
                <w:lang w:bidi="ar"/>
              </w:rPr>
              <w:t>通过监测</w:t>
            </w:r>
            <w:r>
              <w:rPr>
                <w:rFonts w:hint="eastAsia" w:cs="Arial"/>
                <w:color w:val="auto"/>
                <w:szCs w:val="21"/>
                <w:highlight w:val="none"/>
                <w:lang w:bidi="ar"/>
              </w:rPr>
              <w:t>环保</w:t>
            </w:r>
            <w:r>
              <w:rPr>
                <w:rFonts w:cs="Arial"/>
                <w:color w:val="auto"/>
                <w:szCs w:val="21"/>
                <w:highlight w:val="none"/>
                <w:lang w:bidi="ar"/>
              </w:rPr>
              <w:t>数据</w:t>
            </w:r>
            <w:r>
              <w:rPr>
                <w:rFonts w:hint="eastAsia" w:cs="Arial"/>
                <w:color w:val="auto"/>
                <w:szCs w:val="21"/>
                <w:highlight w:val="none"/>
                <w:lang w:bidi="ar"/>
              </w:rPr>
              <w:t>并</w:t>
            </w:r>
            <w:r>
              <w:rPr>
                <w:rFonts w:cs="Arial"/>
                <w:color w:val="auto"/>
                <w:szCs w:val="21"/>
                <w:highlight w:val="none"/>
                <w:lang w:bidi="ar"/>
              </w:rPr>
              <w:t>设置阈值实现环保实时预警，同时加强对环评文件的归档与有效性监管，推动港口绿色转型。</w:t>
            </w:r>
          </w:p>
        </w:tc>
      </w:tr>
      <w:tr w14:paraId="41B7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4A9ED82">
            <w:pPr>
              <w:spacing w:line="360" w:lineRule="auto"/>
              <w:jc w:val="center"/>
              <w:rPr>
                <w:rFonts w:cs="Arial"/>
                <w:color w:val="auto"/>
                <w:szCs w:val="21"/>
                <w:highlight w:val="none"/>
                <w:lang w:bidi="ar"/>
              </w:rPr>
            </w:pPr>
          </w:p>
        </w:tc>
        <w:tc>
          <w:tcPr>
            <w:tcW w:w="1275" w:type="dxa"/>
            <w:vAlign w:val="center"/>
          </w:tcPr>
          <w:p w14:paraId="7142FCF9">
            <w:pPr>
              <w:spacing w:line="360" w:lineRule="auto"/>
              <w:jc w:val="center"/>
              <w:rPr>
                <w:rFonts w:cs="Arial"/>
                <w:color w:val="auto"/>
                <w:szCs w:val="21"/>
                <w:highlight w:val="none"/>
                <w:lang w:bidi="ar"/>
              </w:rPr>
            </w:pPr>
            <w:r>
              <w:rPr>
                <w:rFonts w:cs="Arial"/>
                <w:color w:val="auto"/>
                <w:szCs w:val="21"/>
                <w:highlight w:val="none"/>
                <w:lang w:bidi="ar"/>
              </w:rPr>
              <w:t>港政管理</w:t>
            </w:r>
          </w:p>
        </w:tc>
        <w:tc>
          <w:tcPr>
            <w:tcW w:w="5461" w:type="dxa"/>
            <w:vAlign w:val="center"/>
          </w:tcPr>
          <w:p w14:paraId="346EC439">
            <w:pPr>
              <w:spacing w:line="360" w:lineRule="auto"/>
              <w:rPr>
                <w:rFonts w:cs="Arial"/>
                <w:color w:val="auto"/>
                <w:szCs w:val="21"/>
                <w:highlight w:val="none"/>
                <w:lang w:bidi="ar"/>
              </w:rPr>
            </w:pPr>
            <w:r>
              <w:rPr>
                <w:rFonts w:cs="Arial"/>
                <w:color w:val="auto"/>
                <w:szCs w:val="21"/>
                <w:highlight w:val="none"/>
                <w:lang w:bidi="ar"/>
              </w:rPr>
              <w:t>需实现对港口经营</w:t>
            </w:r>
            <w:r>
              <w:rPr>
                <w:rFonts w:hint="eastAsia" w:cs="Arial"/>
                <w:color w:val="auto"/>
                <w:szCs w:val="21"/>
                <w:highlight w:val="none"/>
                <w:lang w:bidi="ar"/>
              </w:rPr>
              <w:t>人</w:t>
            </w:r>
            <w:r>
              <w:rPr>
                <w:rFonts w:cs="Arial"/>
                <w:color w:val="auto"/>
                <w:szCs w:val="21"/>
                <w:highlight w:val="none"/>
                <w:lang w:bidi="ar"/>
              </w:rPr>
              <w:t>资质的</w:t>
            </w:r>
            <w:r>
              <w:rPr>
                <w:rFonts w:hint="eastAsia" w:cs="Arial"/>
                <w:color w:val="auto"/>
                <w:szCs w:val="21"/>
                <w:highlight w:val="none"/>
                <w:lang w:bidi="ar"/>
              </w:rPr>
              <w:t>信息</w:t>
            </w:r>
            <w:r>
              <w:rPr>
                <w:rFonts w:cs="Arial"/>
                <w:color w:val="auto"/>
                <w:szCs w:val="21"/>
                <w:highlight w:val="none"/>
                <w:lang w:bidi="ar"/>
              </w:rPr>
              <w:t>核查与记录管理，并通过通知单派发形式对资质审核情况进行有效提醒。</w:t>
            </w:r>
          </w:p>
        </w:tc>
      </w:tr>
      <w:tr w14:paraId="2515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8A0BDED">
            <w:pPr>
              <w:spacing w:line="360" w:lineRule="auto"/>
              <w:jc w:val="center"/>
              <w:rPr>
                <w:rFonts w:cs="Arial"/>
                <w:color w:val="auto"/>
                <w:szCs w:val="21"/>
                <w:highlight w:val="none"/>
                <w:lang w:bidi="ar"/>
              </w:rPr>
            </w:pPr>
          </w:p>
        </w:tc>
        <w:tc>
          <w:tcPr>
            <w:tcW w:w="1275" w:type="dxa"/>
            <w:vAlign w:val="center"/>
          </w:tcPr>
          <w:p w14:paraId="2FC82049">
            <w:pPr>
              <w:spacing w:line="360" w:lineRule="auto"/>
              <w:jc w:val="center"/>
              <w:rPr>
                <w:rFonts w:cs="Arial"/>
                <w:color w:val="auto"/>
                <w:szCs w:val="21"/>
                <w:highlight w:val="none"/>
                <w:lang w:bidi="ar"/>
              </w:rPr>
            </w:pPr>
            <w:r>
              <w:rPr>
                <w:rFonts w:cs="Arial"/>
                <w:color w:val="auto"/>
                <w:szCs w:val="21"/>
                <w:highlight w:val="none"/>
                <w:lang w:bidi="ar"/>
              </w:rPr>
              <w:t>危货作业动态</w:t>
            </w:r>
          </w:p>
        </w:tc>
        <w:tc>
          <w:tcPr>
            <w:tcW w:w="5461" w:type="dxa"/>
            <w:vAlign w:val="center"/>
          </w:tcPr>
          <w:p w14:paraId="41544BC5">
            <w:pPr>
              <w:spacing w:line="360" w:lineRule="auto"/>
              <w:rPr>
                <w:rFonts w:cs="Arial"/>
                <w:color w:val="auto"/>
                <w:szCs w:val="21"/>
                <w:highlight w:val="none"/>
                <w:lang w:bidi="ar"/>
              </w:rPr>
            </w:pPr>
            <w:r>
              <w:rPr>
                <w:rFonts w:cs="Arial"/>
                <w:color w:val="auto"/>
                <w:szCs w:val="21"/>
                <w:highlight w:val="none"/>
                <w:lang w:bidi="ar"/>
              </w:rPr>
              <w:t>需实现对港口危险货物作业的申报、审批、进度及全过程电子记录的</w:t>
            </w:r>
            <w:r>
              <w:rPr>
                <w:rFonts w:hint="eastAsia" w:cs="Arial"/>
                <w:color w:val="auto"/>
                <w:szCs w:val="21"/>
                <w:highlight w:val="none"/>
                <w:lang w:bidi="ar"/>
              </w:rPr>
              <w:t>监管</w:t>
            </w:r>
            <w:r>
              <w:rPr>
                <w:rFonts w:cs="Arial"/>
                <w:color w:val="auto"/>
                <w:szCs w:val="21"/>
                <w:highlight w:val="none"/>
                <w:lang w:bidi="ar"/>
              </w:rPr>
              <w:t>，并加强对船舶洗舱作业的申请、预警规则与记录</w:t>
            </w:r>
            <w:r>
              <w:rPr>
                <w:rFonts w:hint="eastAsia" w:cs="Arial"/>
                <w:color w:val="auto"/>
                <w:szCs w:val="21"/>
                <w:highlight w:val="none"/>
                <w:lang w:bidi="ar"/>
              </w:rPr>
              <w:t>监管</w:t>
            </w:r>
            <w:r>
              <w:rPr>
                <w:rFonts w:cs="Arial"/>
                <w:color w:val="auto"/>
                <w:szCs w:val="21"/>
                <w:highlight w:val="none"/>
                <w:lang w:bidi="ar"/>
              </w:rPr>
              <w:t>，确保高风险作业安全合规。</w:t>
            </w:r>
          </w:p>
        </w:tc>
      </w:tr>
      <w:tr w14:paraId="1488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9994FC0">
            <w:pPr>
              <w:spacing w:line="360" w:lineRule="auto"/>
              <w:jc w:val="center"/>
              <w:rPr>
                <w:rFonts w:cs="Arial"/>
                <w:color w:val="auto"/>
                <w:szCs w:val="21"/>
                <w:highlight w:val="none"/>
                <w:lang w:bidi="ar"/>
              </w:rPr>
            </w:pPr>
          </w:p>
        </w:tc>
        <w:tc>
          <w:tcPr>
            <w:tcW w:w="1275" w:type="dxa"/>
            <w:vAlign w:val="center"/>
          </w:tcPr>
          <w:p w14:paraId="57E5307E">
            <w:pPr>
              <w:spacing w:line="360" w:lineRule="auto"/>
              <w:jc w:val="center"/>
              <w:rPr>
                <w:rFonts w:cs="Arial"/>
                <w:color w:val="auto"/>
                <w:szCs w:val="21"/>
                <w:highlight w:val="none"/>
                <w:lang w:bidi="ar"/>
              </w:rPr>
            </w:pPr>
            <w:r>
              <w:rPr>
                <w:rFonts w:cs="Arial"/>
                <w:color w:val="auto"/>
                <w:szCs w:val="21"/>
                <w:highlight w:val="none"/>
                <w:lang w:bidi="ar"/>
              </w:rPr>
              <w:t>客货量统计分析</w:t>
            </w:r>
          </w:p>
        </w:tc>
        <w:tc>
          <w:tcPr>
            <w:tcW w:w="5461" w:type="dxa"/>
            <w:vAlign w:val="center"/>
          </w:tcPr>
          <w:p w14:paraId="1D825F29">
            <w:pPr>
              <w:spacing w:line="360" w:lineRule="auto"/>
              <w:rPr>
                <w:rFonts w:cs="Arial"/>
                <w:color w:val="auto"/>
                <w:szCs w:val="21"/>
                <w:highlight w:val="none"/>
                <w:lang w:bidi="ar"/>
              </w:rPr>
            </w:pPr>
            <w:r>
              <w:rPr>
                <w:rFonts w:cs="Arial"/>
                <w:color w:val="auto"/>
                <w:szCs w:val="21"/>
                <w:highlight w:val="none"/>
                <w:lang w:bidi="ar"/>
              </w:rPr>
              <w:t>需实现多源客货运数据的采集、清洗与标准化整合，并进行多维度统计与分析，最终通过可视化看板与报表为决策提供支持。</w:t>
            </w:r>
          </w:p>
        </w:tc>
      </w:tr>
      <w:tr w14:paraId="530F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04E718D">
            <w:pPr>
              <w:spacing w:line="360" w:lineRule="auto"/>
              <w:jc w:val="center"/>
              <w:rPr>
                <w:rFonts w:cs="Arial"/>
                <w:color w:val="auto"/>
                <w:szCs w:val="21"/>
                <w:highlight w:val="none"/>
                <w:lang w:bidi="ar"/>
              </w:rPr>
            </w:pPr>
          </w:p>
        </w:tc>
        <w:tc>
          <w:tcPr>
            <w:tcW w:w="1275" w:type="dxa"/>
            <w:vAlign w:val="center"/>
          </w:tcPr>
          <w:p w14:paraId="5DECB964">
            <w:pPr>
              <w:spacing w:line="360" w:lineRule="auto"/>
              <w:jc w:val="center"/>
              <w:rPr>
                <w:rFonts w:cs="Arial"/>
                <w:color w:val="auto"/>
                <w:szCs w:val="21"/>
                <w:highlight w:val="none"/>
                <w:lang w:bidi="ar"/>
              </w:rPr>
            </w:pPr>
            <w:r>
              <w:rPr>
                <w:rFonts w:cs="Arial"/>
                <w:color w:val="auto"/>
                <w:szCs w:val="21"/>
                <w:highlight w:val="none"/>
                <w:lang w:bidi="ar"/>
              </w:rPr>
              <w:t>可视化看板</w:t>
            </w:r>
          </w:p>
        </w:tc>
        <w:tc>
          <w:tcPr>
            <w:tcW w:w="5461" w:type="dxa"/>
            <w:vAlign w:val="center"/>
          </w:tcPr>
          <w:p w14:paraId="1D7FACCA">
            <w:pPr>
              <w:spacing w:line="360" w:lineRule="auto"/>
              <w:rPr>
                <w:rFonts w:cs="Arial"/>
                <w:color w:val="auto"/>
                <w:szCs w:val="21"/>
                <w:highlight w:val="none"/>
                <w:lang w:bidi="ar"/>
              </w:rPr>
            </w:pPr>
            <w:r>
              <w:rPr>
                <w:rFonts w:cs="Arial"/>
                <w:color w:val="auto"/>
                <w:szCs w:val="21"/>
                <w:highlight w:val="none"/>
                <w:lang w:bidi="ar"/>
              </w:rPr>
              <w:t>需结合地图以可视化形式集中展示港口基础数据、分布情况以及危险货物作业的统计结果（如货种分类、吞吐量等），实现港口运行状态的宏观、直观把控。</w:t>
            </w:r>
          </w:p>
        </w:tc>
      </w:tr>
      <w:tr w14:paraId="1274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39B750CF">
            <w:pPr>
              <w:spacing w:line="360" w:lineRule="auto"/>
              <w:jc w:val="center"/>
              <w:rPr>
                <w:rFonts w:cs="Arial"/>
                <w:color w:val="auto"/>
                <w:szCs w:val="21"/>
                <w:highlight w:val="none"/>
                <w:lang w:bidi="ar"/>
              </w:rPr>
            </w:pPr>
          </w:p>
        </w:tc>
        <w:tc>
          <w:tcPr>
            <w:tcW w:w="1275" w:type="dxa"/>
            <w:vAlign w:val="center"/>
          </w:tcPr>
          <w:p w14:paraId="1A9DC270">
            <w:pPr>
              <w:spacing w:line="360" w:lineRule="auto"/>
              <w:jc w:val="center"/>
              <w:rPr>
                <w:rFonts w:cs="Arial"/>
                <w:color w:val="auto"/>
                <w:szCs w:val="21"/>
                <w:highlight w:val="none"/>
                <w:lang w:bidi="ar"/>
              </w:rPr>
            </w:pPr>
            <w:r>
              <w:rPr>
                <w:rFonts w:cs="Arial"/>
                <w:color w:val="auto"/>
                <w:szCs w:val="21"/>
                <w:highlight w:val="none"/>
                <w:lang w:bidi="ar"/>
              </w:rPr>
              <w:t>公众知识库</w:t>
            </w:r>
          </w:p>
        </w:tc>
        <w:tc>
          <w:tcPr>
            <w:tcW w:w="5461" w:type="dxa"/>
            <w:vAlign w:val="center"/>
          </w:tcPr>
          <w:p w14:paraId="7AD3F649">
            <w:pPr>
              <w:spacing w:line="360" w:lineRule="auto"/>
              <w:rPr>
                <w:rFonts w:cs="Arial"/>
                <w:color w:val="auto"/>
                <w:szCs w:val="21"/>
                <w:highlight w:val="none"/>
                <w:lang w:bidi="ar"/>
              </w:rPr>
            </w:pPr>
            <w:r>
              <w:rPr>
                <w:rFonts w:cs="Arial"/>
                <w:color w:val="auto"/>
                <w:szCs w:val="21"/>
                <w:highlight w:val="none"/>
                <w:lang w:bidi="ar"/>
              </w:rPr>
              <w:t>需系统化管理事故案例、行业专家信息及法规政策、安全文件等资料，形成支撑港口管理、决策与学习的知识体系，并通过知识共享提升行业安全与专业水平。</w:t>
            </w:r>
          </w:p>
        </w:tc>
      </w:tr>
      <w:tr w14:paraId="5ABF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47BB4952">
            <w:pPr>
              <w:spacing w:line="360" w:lineRule="auto"/>
              <w:jc w:val="center"/>
              <w:rPr>
                <w:rFonts w:cs="Arial"/>
                <w:color w:val="auto"/>
                <w:szCs w:val="21"/>
                <w:highlight w:val="none"/>
                <w:lang w:bidi="ar"/>
              </w:rPr>
            </w:pPr>
            <w:r>
              <w:rPr>
                <w:rFonts w:cs="Arial"/>
                <w:color w:val="auto"/>
                <w:szCs w:val="21"/>
                <w:highlight w:val="none"/>
                <w:lang w:bidi="ar"/>
              </w:rPr>
              <w:t>应急搜救指挥</w:t>
            </w:r>
          </w:p>
        </w:tc>
        <w:tc>
          <w:tcPr>
            <w:tcW w:w="1275" w:type="dxa"/>
            <w:vAlign w:val="center"/>
          </w:tcPr>
          <w:p w14:paraId="1E8C5580">
            <w:pPr>
              <w:spacing w:line="360" w:lineRule="auto"/>
              <w:jc w:val="center"/>
              <w:rPr>
                <w:rFonts w:cs="Arial"/>
                <w:color w:val="auto"/>
                <w:szCs w:val="21"/>
                <w:highlight w:val="none"/>
                <w:lang w:bidi="ar"/>
              </w:rPr>
            </w:pPr>
            <w:r>
              <w:rPr>
                <w:rFonts w:cs="Arial"/>
                <w:color w:val="auto"/>
                <w:szCs w:val="21"/>
                <w:highlight w:val="none"/>
                <w:lang w:bidi="ar"/>
              </w:rPr>
              <w:t>资源管理</w:t>
            </w:r>
          </w:p>
        </w:tc>
        <w:tc>
          <w:tcPr>
            <w:tcW w:w="5461" w:type="dxa"/>
            <w:vAlign w:val="center"/>
          </w:tcPr>
          <w:p w14:paraId="5DA8DF55">
            <w:pPr>
              <w:spacing w:line="360" w:lineRule="auto"/>
              <w:rPr>
                <w:rFonts w:cs="Arial"/>
                <w:color w:val="auto"/>
                <w:szCs w:val="21"/>
                <w:highlight w:val="none"/>
                <w:lang w:bidi="ar"/>
              </w:rPr>
            </w:pPr>
            <w:r>
              <w:rPr>
                <w:rFonts w:cs="Arial"/>
                <w:color w:val="auto"/>
                <w:szCs w:val="21"/>
                <w:highlight w:val="none"/>
                <w:lang w:bidi="ar"/>
              </w:rPr>
              <w:t>需实现对应急装备、运输船舶、应急物资、应急基地及应急资料的数字化台账与全生命周期管理</w:t>
            </w:r>
            <w:r>
              <w:rPr>
                <w:rFonts w:hint="eastAsia" w:cs="Arial"/>
                <w:color w:val="auto"/>
                <w:szCs w:val="21"/>
                <w:highlight w:val="none"/>
                <w:lang w:bidi="ar"/>
              </w:rPr>
              <w:t xml:space="preserve">。 </w:t>
            </w:r>
          </w:p>
        </w:tc>
      </w:tr>
      <w:tr w14:paraId="6AA0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81075EB">
            <w:pPr>
              <w:spacing w:line="360" w:lineRule="auto"/>
              <w:jc w:val="center"/>
              <w:rPr>
                <w:rFonts w:cs="Arial"/>
                <w:color w:val="auto"/>
                <w:szCs w:val="21"/>
                <w:highlight w:val="none"/>
                <w:lang w:bidi="ar"/>
              </w:rPr>
            </w:pPr>
          </w:p>
        </w:tc>
        <w:tc>
          <w:tcPr>
            <w:tcW w:w="1275" w:type="dxa"/>
            <w:vAlign w:val="center"/>
          </w:tcPr>
          <w:p w14:paraId="0EA514B0">
            <w:pPr>
              <w:spacing w:line="360" w:lineRule="auto"/>
              <w:jc w:val="center"/>
              <w:rPr>
                <w:rFonts w:cs="Arial"/>
                <w:color w:val="auto"/>
                <w:szCs w:val="21"/>
                <w:highlight w:val="none"/>
                <w:lang w:bidi="ar"/>
              </w:rPr>
            </w:pPr>
            <w:r>
              <w:rPr>
                <w:rFonts w:cs="Arial"/>
                <w:color w:val="auto"/>
                <w:szCs w:val="21"/>
                <w:highlight w:val="none"/>
                <w:lang w:bidi="ar"/>
              </w:rPr>
              <w:t>事件管理</w:t>
            </w:r>
          </w:p>
        </w:tc>
        <w:tc>
          <w:tcPr>
            <w:tcW w:w="5461" w:type="dxa"/>
            <w:vAlign w:val="center"/>
          </w:tcPr>
          <w:p w14:paraId="475B6B3D">
            <w:pPr>
              <w:spacing w:line="360" w:lineRule="auto"/>
              <w:rPr>
                <w:rFonts w:cs="Arial"/>
                <w:color w:val="auto"/>
                <w:szCs w:val="21"/>
                <w:highlight w:val="none"/>
                <w:lang w:bidi="ar"/>
              </w:rPr>
            </w:pPr>
            <w:r>
              <w:rPr>
                <w:rFonts w:cs="Arial"/>
                <w:color w:val="auto"/>
                <w:szCs w:val="21"/>
                <w:highlight w:val="none"/>
                <w:lang w:bidi="ar"/>
              </w:rPr>
              <w:t>需实现</w:t>
            </w:r>
            <w:r>
              <w:rPr>
                <w:rFonts w:hint="eastAsia" w:cs="Arial"/>
                <w:color w:val="auto"/>
                <w:szCs w:val="21"/>
                <w:highlight w:val="none"/>
                <w:lang w:bidi="ar"/>
              </w:rPr>
              <w:t>对应急事件处理全过程的记录备案。</w:t>
            </w:r>
          </w:p>
        </w:tc>
      </w:tr>
      <w:tr w14:paraId="3D1D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D5F362C">
            <w:pPr>
              <w:spacing w:line="360" w:lineRule="auto"/>
              <w:jc w:val="center"/>
              <w:rPr>
                <w:rFonts w:cs="Arial"/>
                <w:color w:val="auto"/>
                <w:szCs w:val="21"/>
                <w:highlight w:val="none"/>
                <w:lang w:bidi="ar"/>
              </w:rPr>
            </w:pPr>
          </w:p>
        </w:tc>
        <w:tc>
          <w:tcPr>
            <w:tcW w:w="1275" w:type="dxa"/>
            <w:vAlign w:val="center"/>
          </w:tcPr>
          <w:p w14:paraId="41E4B876">
            <w:pPr>
              <w:spacing w:line="360" w:lineRule="auto"/>
              <w:jc w:val="center"/>
              <w:rPr>
                <w:rFonts w:cs="Arial"/>
                <w:color w:val="auto"/>
                <w:szCs w:val="21"/>
                <w:highlight w:val="none"/>
                <w:lang w:bidi="ar"/>
              </w:rPr>
            </w:pPr>
            <w:r>
              <w:rPr>
                <w:rFonts w:cs="Arial"/>
                <w:color w:val="auto"/>
                <w:szCs w:val="21"/>
                <w:highlight w:val="none"/>
                <w:lang w:bidi="ar"/>
              </w:rPr>
              <w:t>分析研判</w:t>
            </w:r>
          </w:p>
        </w:tc>
        <w:tc>
          <w:tcPr>
            <w:tcW w:w="5461" w:type="dxa"/>
            <w:vAlign w:val="center"/>
          </w:tcPr>
          <w:p w14:paraId="1657BCED">
            <w:pPr>
              <w:spacing w:line="360" w:lineRule="auto"/>
              <w:rPr>
                <w:rFonts w:cs="Arial"/>
                <w:color w:val="auto"/>
                <w:szCs w:val="21"/>
                <w:highlight w:val="none"/>
                <w:lang w:bidi="ar"/>
              </w:rPr>
            </w:pPr>
            <w:r>
              <w:rPr>
                <w:rFonts w:cs="Arial"/>
                <w:color w:val="auto"/>
                <w:szCs w:val="21"/>
                <w:highlight w:val="none"/>
                <w:lang w:bidi="ar"/>
              </w:rPr>
              <w:t>需实现</w:t>
            </w:r>
            <w:r>
              <w:rPr>
                <w:rFonts w:hint="eastAsia" w:cs="Arial"/>
                <w:color w:val="auto"/>
                <w:szCs w:val="21"/>
                <w:highlight w:val="none"/>
                <w:lang w:bidi="ar"/>
              </w:rPr>
              <w:t>对应急指挥调度系统相关应急信息的对接，辅助支持</w:t>
            </w:r>
            <w:r>
              <w:rPr>
                <w:rFonts w:cs="Arial"/>
                <w:color w:val="auto"/>
                <w:szCs w:val="21"/>
                <w:highlight w:val="none"/>
                <w:lang w:bidi="ar"/>
              </w:rPr>
              <w:t>未来发展趋势</w:t>
            </w:r>
            <w:r>
              <w:rPr>
                <w:rFonts w:hint="eastAsia" w:cs="Arial"/>
                <w:color w:val="auto"/>
                <w:szCs w:val="21"/>
                <w:highlight w:val="none"/>
                <w:lang w:bidi="ar"/>
              </w:rPr>
              <w:t>的综合研判。</w:t>
            </w:r>
          </w:p>
        </w:tc>
      </w:tr>
      <w:tr w14:paraId="214D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3219C153">
            <w:pPr>
              <w:spacing w:line="360" w:lineRule="auto"/>
              <w:jc w:val="center"/>
              <w:rPr>
                <w:rFonts w:cs="Arial"/>
                <w:color w:val="auto"/>
                <w:szCs w:val="21"/>
                <w:highlight w:val="none"/>
                <w:lang w:bidi="ar"/>
              </w:rPr>
            </w:pPr>
          </w:p>
        </w:tc>
        <w:tc>
          <w:tcPr>
            <w:tcW w:w="1275" w:type="dxa"/>
            <w:vAlign w:val="center"/>
          </w:tcPr>
          <w:p w14:paraId="6653D798">
            <w:pPr>
              <w:spacing w:line="360" w:lineRule="auto"/>
              <w:jc w:val="center"/>
              <w:rPr>
                <w:rFonts w:cs="Arial"/>
                <w:color w:val="auto"/>
                <w:szCs w:val="21"/>
                <w:highlight w:val="none"/>
                <w:lang w:bidi="ar"/>
              </w:rPr>
            </w:pPr>
            <w:r>
              <w:rPr>
                <w:rFonts w:cs="Arial"/>
                <w:color w:val="auto"/>
                <w:szCs w:val="21"/>
                <w:highlight w:val="none"/>
                <w:lang w:bidi="ar"/>
              </w:rPr>
              <w:t>辅助决策</w:t>
            </w:r>
          </w:p>
        </w:tc>
        <w:tc>
          <w:tcPr>
            <w:tcW w:w="5461" w:type="dxa"/>
            <w:vAlign w:val="center"/>
          </w:tcPr>
          <w:p w14:paraId="45EDC952">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与应急指挥调度系统对接，实现应急预案与</w:t>
            </w:r>
            <w:r>
              <w:rPr>
                <w:rFonts w:cs="Arial"/>
                <w:color w:val="auto"/>
                <w:szCs w:val="21"/>
                <w:highlight w:val="none"/>
                <w:lang w:bidi="ar"/>
              </w:rPr>
              <w:t>险情特征的自动匹配，</w:t>
            </w:r>
            <w:r>
              <w:rPr>
                <w:rFonts w:hint="eastAsia" w:cs="Arial"/>
                <w:color w:val="auto"/>
                <w:szCs w:val="21"/>
                <w:highlight w:val="none"/>
                <w:lang w:bidi="ar"/>
              </w:rPr>
              <w:t>辅助决策分析。</w:t>
            </w:r>
          </w:p>
        </w:tc>
      </w:tr>
      <w:tr w14:paraId="16A6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AB1AB25">
            <w:pPr>
              <w:spacing w:line="360" w:lineRule="auto"/>
              <w:jc w:val="center"/>
              <w:rPr>
                <w:rFonts w:cs="Arial"/>
                <w:color w:val="auto"/>
                <w:szCs w:val="21"/>
                <w:highlight w:val="none"/>
                <w:lang w:bidi="ar"/>
              </w:rPr>
            </w:pPr>
          </w:p>
        </w:tc>
        <w:tc>
          <w:tcPr>
            <w:tcW w:w="1275" w:type="dxa"/>
            <w:vAlign w:val="center"/>
          </w:tcPr>
          <w:p w14:paraId="6943B4FD">
            <w:pPr>
              <w:spacing w:line="360" w:lineRule="auto"/>
              <w:jc w:val="center"/>
              <w:rPr>
                <w:rFonts w:cs="Arial"/>
                <w:color w:val="auto"/>
                <w:szCs w:val="21"/>
                <w:highlight w:val="none"/>
                <w:lang w:bidi="ar"/>
              </w:rPr>
            </w:pPr>
            <w:r>
              <w:rPr>
                <w:rFonts w:cs="Arial"/>
                <w:color w:val="auto"/>
                <w:szCs w:val="21"/>
                <w:highlight w:val="none"/>
                <w:lang w:bidi="ar"/>
              </w:rPr>
              <w:t>指挥调度</w:t>
            </w:r>
          </w:p>
        </w:tc>
        <w:tc>
          <w:tcPr>
            <w:tcW w:w="5461" w:type="dxa"/>
            <w:vAlign w:val="center"/>
          </w:tcPr>
          <w:p w14:paraId="096B8E35">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与应急指挥调度系统对接，</w:t>
            </w:r>
            <w:r>
              <w:rPr>
                <w:rFonts w:cs="Arial"/>
                <w:color w:val="auto"/>
                <w:szCs w:val="21"/>
                <w:highlight w:val="none"/>
                <w:lang w:bidi="ar"/>
              </w:rPr>
              <w:t>实现调度指令的发布</w:t>
            </w:r>
            <w:r>
              <w:rPr>
                <w:rFonts w:hint="eastAsia" w:cs="Arial"/>
                <w:color w:val="auto"/>
                <w:szCs w:val="21"/>
                <w:highlight w:val="none"/>
                <w:lang w:bidi="ar"/>
              </w:rPr>
              <w:t>与执行</w:t>
            </w:r>
            <w:r>
              <w:rPr>
                <w:rFonts w:cs="Arial"/>
                <w:color w:val="auto"/>
                <w:szCs w:val="21"/>
                <w:highlight w:val="none"/>
                <w:lang w:bidi="ar"/>
              </w:rPr>
              <w:t>，整合各类通信终端实现融合通信调度，并对所有调度资源进行任务状态跟踪，确保指令高效执行。</w:t>
            </w:r>
          </w:p>
        </w:tc>
      </w:tr>
      <w:tr w14:paraId="75DA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61D65A0">
            <w:pPr>
              <w:spacing w:line="360" w:lineRule="auto"/>
              <w:jc w:val="center"/>
              <w:rPr>
                <w:rFonts w:cs="Arial"/>
                <w:color w:val="auto"/>
                <w:szCs w:val="21"/>
                <w:highlight w:val="none"/>
                <w:lang w:bidi="ar"/>
              </w:rPr>
            </w:pPr>
          </w:p>
        </w:tc>
        <w:tc>
          <w:tcPr>
            <w:tcW w:w="1275" w:type="dxa"/>
            <w:vAlign w:val="center"/>
          </w:tcPr>
          <w:p w14:paraId="5757EAE4">
            <w:pPr>
              <w:spacing w:line="360" w:lineRule="auto"/>
              <w:jc w:val="center"/>
              <w:rPr>
                <w:rFonts w:cs="Arial"/>
                <w:color w:val="auto"/>
                <w:szCs w:val="21"/>
                <w:highlight w:val="none"/>
                <w:lang w:bidi="ar"/>
              </w:rPr>
            </w:pPr>
            <w:r>
              <w:rPr>
                <w:rFonts w:cs="Arial"/>
                <w:color w:val="auto"/>
                <w:szCs w:val="21"/>
                <w:highlight w:val="none"/>
                <w:lang w:bidi="ar"/>
              </w:rPr>
              <w:t>协同联动</w:t>
            </w:r>
          </w:p>
        </w:tc>
        <w:tc>
          <w:tcPr>
            <w:tcW w:w="5461" w:type="dxa"/>
            <w:vAlign w:val="center"/>
          </w:tcPr>
          <w:p w14:paraId="42C49334">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与应急指挥调度系统对接，</w:t>
            </w:r>
            <w:r>
              <w:rPr>
                <w:rFonts w:cs="Arial"/>
                <w:color w:val="auto"/>
                <w:szCs w:val="21"/>
                <w:highlight w:val="none"/>
                <w:lang w:bidi="ar"/>
              </w:rPr>
              <w:t>实现跨部门的信息融合、统一指挥与协同</w:t>
            </w:r>
            <w:r>
              <w:rPr>
                <w:rFonts w:hint="eastAsia" w:cs="Arial"/>
                <w:color w:val="auto"/>
                <w:szCs w:val="21"/>
                <w:highlight w:val="none"/>
                <w:lang w:bidi="ar"/>
              </w:rPr>
              <w:t>联动</w:t>
            </w:r>
            <w:r>
              <w:rPr>
                <w:rFonts w:cs="Arial"/>
                <w:color w:val="auto"/>
                <w:szCs w:val="21"/>
                <w:highlight w:val="none"/>
                <w:lang w:bidi="ar"/>
              </w:rPr>
              <w:t>。</w:t>
            </w:r>
          </w:p>
        </w:tc>
      </w:tr>
      <w:tr w14:paraId="7E52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C12308F">
            <w:pPr>
              <w:spacing w:line="360" w:lineRule="auto"/>
              <w:jc w:val="center"/>
              <w:rPr>
                <w:rFonts w:cs="Arial"/>
                <w:color w:val="auto"/>
                <w:szCs w:val="21"/>
                <w:highlight w:val="none"/>
                <w:lang w:bidi="ar"/>
              </w:rPr>
            </w:pPr>
          </w:p>
        </w:tc>
        <w:tc>
          <w:tcPr>
            <w:tcW w:w="1275" w:type="dxa"/>
            <w:vAlign w:val="center"/>
          </w:tcPr>
          <w:p w14:paraId="0F54ADB7">
            <w:pPr>
              <w:spacing w:line="360" w:lineRule="auto"/>
              <w:jc w:val="center"/>
              <w:rPr>
                <w:rFonts w:cs="Arial"/>
                <w:color w:val="auto"/>
                <w:szCs w:val="21"/>
                <w:highlight w:val="none"/>
                <w:lang w:bidi="ar"/>
              </w:rPr>
            </w:pPr>
            <w:r>
              <w:rPr>
                <w:rFonts w:cs="Arial"/>
                <w:color w:val="auto"/>
                <w:szCs w:val="21"/>
                <w:highlight w:val="none"/>
                <w:lang w:bidi="ar"/>
              </w:rPr>
              <w:t>应急处置</w:t>
            </w:r>
          </w:p>
        </w:tc>
        <w:tc>
          <w:tcPr>
            <w:tcW w:w="5461" w:type="dxa"/>
            <w:vAlign w:val="center"/>
          </w:tcPr>
          <w:p w14:paraId="48F9141D">
            <w:pPr>
              <w:spacing w:line="360" w:lineRule="auto"/>
              <w:rPr>
                <w:rFonts w:cs="Arial"/>
                <w:color w:val="auto"/>
                <w:szCs w:val="21"/>
                <w:highlight w:val="none"/>
                <w:lang w:bidi="ar"/>
              </w:rPr>
            </w:pPr>
            <w:r>
              <w:rPr>
                <w:rFonts w:cs="Arial"/>
                <w:color w:val="auto"/>
                <w:szCs w:val="21"/>
                <w:highlight w:val="none"/>
                <w:lang w:bidi="ar"/>
              </w:rPr>
              <w:t>需自动记录应急处置全过程的各类数据，并支持对处置过程进行多维度回放与细节分析，为事后总结与流程优化提供依据。</w:t>
            </w:r>
          </w:p>
        </w:tc>
      </w:tr>
      <w:tr w14:paraId="1FC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FECAD3D">
            <w:pPr>
              <w:spacing w:line="360" w:lineRule="auto"/>
              <w:jc w:val="center"/>
              <w:rPr>
                <w:rFonts w:cs="Arial"/>
                <w:color w:val="auto"/>
                <w:szCs w:val="21"/>
                <w:highlight w:val="none"/>
                <w:lang w:bidi="ar"/>
              </w:rPr>
            </w:pPr>
          </w:p>
        </w:tc>
        <w:tc>
          <w:tcPr>
            <w:tcW w:w="1275" w:type="dxa"/>
            <w:vAlign w:val="center"/>
          </w:tcPr>
          <w:p w14:paraId="02B97431">
            <w:pPr>
              <w:spacing w:line="360" w:lineRule="auto"/>
              <w:jc w:val="center"/>
              <w:rPr>
                <w:rFonts w:cs="Arial"/>
                <w:color w:val="auto"/>
                <w:szCs w:val="21"/>
                <w:highlight w:val="none"/>
                <w:lang w:bidi="ar"/>
              </w:rPr>
            </w:pPr>
            <w:r>
              <w:rPr>
                <w:rFonts w:cs="Arial"/>
                <w:color w:val="auto"/>
                <w:szCs w:val="21"/>
                <w:highlight w:val="none"/>
                <w:lang w:bidi="ar"/>
              </w:rPr>
              <w:t>综合评价</w:t>
            </w:r>
          </w:p>
        </w:tc>
        <w:tc>
          <w:tcPr>
            <w:tcW w:w="5461" w:type="dxa"/>
            <w:vAlign w:val="center"/>
          </w:tcPr>
          <w:p w14:paraId="093530CB">
            <w:pPr>
              <w:spacing w:line="360" w:lineRule="auto"/>
              <w:rPr>
                <w:rFonts w:cs="Arial"/>
                <w:color w:val="auto"/>
                <w:szCs w:val="21"/>
                <w:highlight w:val="none"/>
                <w:lang w:bidi="ar"/>
              </w:rPr>
            </w:pPr>
            <w:r>
              <w:rPr>
                <w:rFonts w:cs="Arial"/>
                <w:color w:val="auto"/>
                <w:szCs w:val="21"/>
                <w:highlight w:val="none"/>
                <w:lang w:bidi="ar"/>
              </w:rPr>
              <w:t>需建立覆盖应急处置程序选取、应急响应启动、处置方案可行性及有效性的多维度评估模型，对应急处置全过程的效果进行量化综合评价。</w:t>
            </w:r>
          </w:p>
        </w:tc>
      </w:tr>
      <w:tr w14:paraId="5797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1183DC9E">
            <w:pPr>
              <w:spacing w:line="360" w:lineRule="auto"/>
              <w:jc w:val="center"/>
              <w:rPr>
                <w:rFonts w:cs="Arial"/>
                <w:color w:val="auto"/>
                <w:szCs w:val="21"/>
                <w:highlight w:val="none"/>
                <w:lang w:bidi="ar"/>
              </w:rPr>
            </w:pPr>
            <w:r>
              <w:rPr>
                <w:rFonts w:cs="Arial"/>
                <w:color w:val="auto"/>
                <w:szCs w:val="21"/>
                <w:highlight w:val="none"/>
                <w:lang w:bidi="ar"/>
              </w:rPr>
              <w:t>对外信息服务</w:t>
            </w:r>
          </w:p>
        </w:tc>
        <w:tc>
          <w:tcPr>
            <w:tcW w:w="1275" w:type="dxa"/>
            <w:vAlign w:val="center"/>
          </w:tcPr>
          <w:p w14:paraId="2874AE95">
            <w:pPr>
              <w:spacing w:line="360" w:lineRule="auto"/>
              <w:jc w:val="center"/>
              <w:rPr>
                <w:rFonts w:cs="Arial"/>
                <w:color w:val="auto"/>
                <w:szCs w:val="21"/>
                <w:highlight w:val="none"/>
                <w:lang w:bidi="ar"/>
              </w:rPr>
            </w:pPr>
            <w:r>
              <w:rPr>
                <w:rFonts w:cs="Arial"/>
                <w:color w:val="auto"/>
                <w:szCs w:val="21"/>
                <w:highlight w:val="none"/>
                <w:lang w:bidi="ar"/>
              </w:rPr>
              <w:t>门户网站</w:t>
            </w:r>
          </w:p>
        </w:tc>
        <w:tc>
          <w:tcPr>
            <w:tcW w:w="5461" w:type="dxa"/>
            <w:vAlign w:val="center"/>
          </w:tcPr>
          <w:p w14:paraId="3F1C35D9">
            <w:pPr>
              <w:spacing w:line="360" w:lineRule="auto"/>
              <w:rPr>
                <w:rFonts w:cs="Arial"/>
                <w:color w:val="auto"/>
                <w:szCs w:val="21"/>
                <w:highlight w:val="none"/>
                <w:lang w:bidi="ar"/>
              </w:rPr>
            </w:pPr>
            <w:r>
              <w:rPr>
                <w:rFonts w:cs="Arial"/>
                <w:color w:val="auto"/>
                <w:szCs w:val="21"/>
                <w:highlight w:val="none"/>
                <w:lang w:bidi="ar"/>
              </w:rPr>
              <w:t>需建设一体化服务平台，提供航运新闻、政务公告、法规政策、通航安全信息、跨河建筑物信息及在线举报等内容的发布、管理与互动功能。</w:t>
            </w:r>
          </w:p>
        </w:tc>
      </w:tr>
      <w:tr w14:paraId="4450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DCBAEAD">
            <w:pPr>
              <w:jc w:val="center"/>
              <w:rPr>
                <w:rFonts w:cs="Arial"/>
                <w:color w:val="auto"/>
                <w:szCs w:val="21"/>
                <w:highlight w:val="none"/>
                <w:lang w:bidi="ar"/>
              </w:rPr>
            </w:pPr>
          </w:p>
        </w:tc>
        <w:tc>
          <w:tcPr>
            <w:tcW w:w="1275" w:type="dxa"/>
            <w:vAlign w:val="center"/>
          </w:tcPr>
          <w:p w14:paraId="7FCF4A62">
            <w:pPr>
              <w:jc w:val="center"/>
              <w:rPr>
                <w:rFonts w:cs="Arial"/>
                <w:color w:val="auto"/>
                <w:szCs w:val="21"/>
                <w:highlight w:val="none"/>
                <w:lang w:bidi="ar"/>
              </w:rPr>
            </w:pPr>
            <w:r>
              <w:rPr>
                <w:rFonts w:cs="Arial"/>
                <w:color w:val="auto"/>
                <w:szCs w:val="21"/>
                <w:highlight w:val="none"/>
                <w:lang w:bidi="ar"/>
              </w:rPr>
              <w:t>微信公众号</w:t>
            </w:r>
          </w:p>
        </w:tc>
        <w:tc>
          <w:tcPr>
            <w:tcW w:w="5461" w:type="dxa"/>
            <w:vAlign w:val="center"/>
          </w:tcPr>
          <w:p w14:paraId="0C232234">
            <w:pPr>
              <w:rPr>
                <w:rFonts w:cs="Arial"/>
                <w:color w:val="auto"/>
                <w:szCs w:val="21"/>
                <w:highlight w:val="none"/>
                <w:lang w:bidi="ar"/>
              </w:rPr>
            </w:pPr>
            <w:r>
              <w:rPr>
                <w:rFonts w:cs="Arial"/>
                <w:color w:val="auto"/>
                <w:szCs w:val="21"/>
                <w:highlight w:val="none"/>
                <w:lang w:bidi="ar"/>
              </w:rPr>
              <w:t>需通过公众号实现航道水深、净空高度、航标配布等信息的显示与查询浏览，并不定期推送行业动态、通知通告等编辑信息，提升公共服务能力。</w:t>
            </w:r>
          </w:p>
        </w:tc>
      </w:tr>
      <w:tr w14:paraId="0D4C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E138562">
            <w:pPr>
              <w:jc w:val="center"/>
              <w:rPr>
                <w:rFonts w:cs="Arial"/>
                <w:color w:val="auto"/>
                <w:szCs w:val="21"/>
                <w:highlight w:val="none"/>
                <w:lang w:bidi="ar"/>
              </w:rPr>
            </w:pPr>
          </w:p>
        </w:tc>
        <w:tc>
          <w:tcPr>
            <w:tcW w:w="1275" w:type="dxa"/>
            <w:vAlign w:val="center"/>
          </w:tcPr>
          <w:p w14:paraId="5F8CC148">
            <w:pPr>
              <w:jc w:val="center"/>
              <w:rPr>
                <w:rFonts w:cs="Arial"/>
                <w:color w:val="auto"/>
                <w:szCs w:val="21"/>
                <w:highlight w:val="none"/>
                <w:lang w:bidi="ar"/>
              </w:rPr>
            </w:pPr>
            <w:r>
              <w:rPr>
                <w:rFonts w:cs="Arial"/>
                <w:color w:val="auto"/>
                <w:szCs w:val="21"/>
                <w:highlight w:val="none"/>
                <w:lang w:bidi="ar"/>
              </w:rPr>
              <w:t>对外服务APP</w:t>
            </w:r>
          </w:p>
        </w:tc>
        <w:tc>
          <w:tcPr>
            <w:tcW w:w="5461" w:type="dxa"/>
            <w:vAlign w:val="center"/>
          </w:tcPr>
          <w:p w14:paraId="3C5BE796">
            <w:pPr>
              <w:rPr>
                <w:rFonts w:cs="Arial"/>
                <w:color w:val="auto"/>
                <w:szCs w:val="21"/>
                <w:highlight w:val="none"/>
                <w:lang w:bidi="ar"/>
              </w:rPr>
            </w:pPr>
            <w:r>
              <w:rPr>
                <w:rFonts w:cs="Arial"/>
                <w:color w:val="auto"/>
                <w:szCs w:val="21"/>
                <w:highlight w:val="none"/>
                <w:lang w:bidi="ar"/>
              </w:rPr>
              <w:t>需为用户提供通航环境信息、船舶航行</w:t>
            </w:r>
            <w:r>
              <w:rPr>
                <w:rFonts w:hint="eastAsia" w:cs="Arial"/>
                <w:color w:val="auto"/>
                <w:szCs w:val="21"/>
                <w:highlight w:val="none"/>
                <w:lang w:bidi="ar"/>
              </w:rPr>
              <w:t>通航环境</w:t>
            </w:r>
            <w:r>
              <w:rPr>
                <w:rFonts w:cs="Arial"/>
                <w:color w:val="auto"/>
                <w:szCs w:val="21"/>
                <w:highlight w:val="none"/>
                <w:lang w:bidi="ar"/>
              </w:rPr>
              <w:t>状态查询、视频查看、航道监管、消息提醒、用户反馈。</w:t>
            </w:r>
          </w:p>
        </w:tc>
      </w:tr>
      <w:tr w14:paraId="62FE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09EC2DC0">
            <w:pPr>
              <w:jc w:val="center"/>
              <w:rPr>
                <w:rFonts w:cs="Arial"/>
                <w:color w:val="auto"/>
                <w:szCs w:val="21"/>
                <w:highlight w:val="none"/>
                <w:lang w:bidi="ar"/>
              </w:rPr>
            </w:pPr>
            <w:r>
              <w:rPr>
                <w:rFonts w:cs="Arial"/>
                <w:color w:val="auto"/>
                <w:szCs w:val="21"/>
                <w:highlight w:val="none"/>
                <w:lang w:bidi="ar"/>
              </w:rPr>
              <w:t>智慧一张图</w:t>
            </w:r>
          </w:p>
        </w:tc>
        <w:tc>
          <w:tcPr>
            <w:tcW w:w="1275" w:type="dxa"/>
            <w:vAlign w:val="center"/>
          </w:tcPr>
          <w:p w14:paraId="3C7078E3">
            <w:pPr>
              <w:jc w:val="center"/>
              <w:rPr>
                <w:rFonts w:cs="Arial"/>
                <w:color w:val="auto"/>
                <w:szCs w:val="21"/>
                <w:highlight w:val="none"/>
                <w:lang w:bidi="ar"/>
              </w:rPr>
            </w:pPr>
            <w:r>
              <w:rPr>
                <w:rFonts w:cs="Arial"/>
                <w:color w:val="auto"/>
                <w:szCs w:val="21"/>
                <w:highlight w:val="none"/>
                <w:lang w:bidi="ar"/>
              </w:rPr>
              <w:t>基础设施展示</w:t>
            </w:r>
          </w:p>
        </w:tc>
        <w:tc>
          <w:tcPr>
            <w:tcW w:w="5461" w:type="dxa"/>
            <w:vAlign w:val="center"/>
          </w:tcPr>
          <w:p w14:paraId="30300364">
            <w:pPr>
              <w:rPr>
                <w:rFonts w:cs="Arial"/>
                <w:color w:val="auto"/>
                <w:szCs w:val="21"/>
                <w:highlight w:val="none"/>
                <w:lang w:bidi="ar"/>
              </w:rPr>
            </w:pPr>
            <w:r>
              <w:rPr>
                <w:rFonts w:cs="Arial"/>
                <w:color w:val="auto"/>
                <w:szCs w:val="21"/>
                <w:highlight w:val="none"/>
                <w:lang w:bidi="ar"/>
              </w:rPr>
              <w:t>需在电子航道图底图上整合展示航段、水库、跨河桥梁、水上服务区等基础设施的全要素属性信息，实现基础设施空间分布与基本属性的可视化查询。</w:t>
            </w:r>
          </w:p>
        </w:tc>
      </w:tr>
      <w:tr w14:paraId="66D3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F8ABC44">
            <w:pPr>
              <w:jc w:val="center"/>
              <w:rPr>
                <w:rFonts w:cs="Arial"/>
                <w:color w:val="auto"/>
                <w:szCs w:val="21"/>
                <w:highlight w:val="none"/>
                <w:lang w:bidi="ar"/>
              </w:rPr>
            </w:pPr>
          </w:p>
        </w:tc>
        <w:tc>
          <w:tcPr>
            <w:tcW w:w="1275" w:type="dxa"/>
            <w:vAlign w:val="center"/>
          </w:tcPr>
          <w:p w14:paraId="2EAB41AA">
            <w:pPr>
              <w:jc w:val="center"/>
              <w:rPr>
                <w:rFonts w:cs="Arial"/>
                <w:color w:val="auto"/>
                <w:szCs w:val="21"/>
                <w:highlight w:val="none"/>
                <w:lang w:bidi="ar"/>
              </w:rPr>
            </w:pPr>
            <w:r>
              <w:rPr>
                <w:rFonts w:cs="Arial"/>
                <w:color w:val="auto"/>
                <w:szCs w:val="21"/>
                <w:highlight w:val="none"/>
                <w:lang w:bidi="ar"/>
              </w:rPr>
              <w:t>船舶运行监测信息展示</w:t>
            </w:r>
          </w:p>
        </w:tc>
        <w:tc>
          <w:tcPr>
            <w:tcW w:w="5461" w:type="dxa"/>
            <w:vAlign w:val="center"/>
          </w:tcPr>
          <w:p w14:paraId="33190600">
            <w:pPr>
              <w:rPr>
                <w:rFonts w:cs="Arial"/>
                <w:color w:val="auto"/>
                <w:szCs w:val="21"/>
                <w:highlight w:val="none"/>
                <w:lang w:bidi="ar"/>
              </w:rPr>
            </w:pPr>
            <w:r>
              <w:rPr>
                <w:rFonts w:cs="Arial"/>
                <w:color w:val="auto"/>
                <w:szCs w:val="21"/>
                <w:highlight w:val="none"/>
                <w:lang w:bidi="ar"/>
              </w:rPr>
              <w:t>需在电子航道图上集成展示船舶动态轨迹、通航要素、气象水文预警及交通流量统计等实时数据，实现船舶运行全流程的可视化监测与管理。</w:t>
            </w:r>
          </w:p>
        </w:tc>
      </w:tr>
      <w:tr w14:paraId="582D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3DB59EEC">
            <w:pPr>
              <w:jc w:val="center"/>
              <w:rPr>
                <w:rFonts w:cs="Arial"/>
                <w:color w:val="auto"/>
                <w:szCs w:val="21"/>
                <w:highlight w:val="none"/>
                <w:lang w:bidi="ar"/>
              </w:rPr>
            </w:pPr>
          </w:p>
        </w:tc>
        <w:tc>
          <w:tcPr>
            <w:tcW w:w="1275" w:type="dxa"/>
            <w:vAlign w:val="center"/>
          </w:tcPr>
          <w:p w14:paraId="40F84FBC">
            <w:pPr>
              <w:jc w:val="center"/>
              <w:rPr>
                <w:rFonts w:cs="Arial"/>
                <w:color w:val="auto"/>
                <w:szCs w:val="21"/>
                <w:highlight w:val="none"/>
                <w:lang w:bidi="ar"/>
              </w:rPr>
            </w:pPr>
            <w:r>
              <w:rPr>
                <w:rFonts w:cs="Arial"/>
                <w:color w:val="auto"/>
                <w:szCs w:val="21"/>
                <w:highlight w:val="none"/>
                <w:lang w:bidi="ar"/>
              </w:rPr>
              <w:t>航道运行监测信息展示</w:t>
            </w:r>
          </w:p>
        </w:tc>
        <w:tc>
          <w:tcPr>
            <w:tcW w:w="5461" w:type="dxa"/>
            <w:vAlign w:val="center"/>
          </w:tcPr>
          <w:p w14:paraId="53E97BCB">
            <w:pPr>
              <w:rPr>
                <w:rFonts w:cs="Arial"/>
                <w:color w:val="auto"/>
                <w:szCs w:val="21"/>
                <w:highlight w:val="none"/>
                <w:lang w:bidi="ar"/>
              </w:rPr>
            </w:pPr>
            <w:r>
              <w:rPr>
                <w:rFonts w:cs="Arial"/>
                <w:color w:val="auto"/>
                <w:szCs w:val="21"/>
                <w:highlight w:val="none"/>
                <w:lang w:bidi="ar"/>
              </w:rPr>
              <w:t>需在电子航道图上集中展示航道水深、航标状态、船闸调度等通航要素实时数据及应急资源分布情况，实现航道运行全要素的可视化监测。</w:t>
            </w:r>
          </w:p>
        </w:tc>
      </w:tr>
      <w:tr w14:paraId="2848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7C7DDA1">
            <w:pPr>
              <w:jc w:val="center"/>
              <w:rPr>
                <w:rFonts w:cs="Arial"/>
                <w:color w:val="auto"/>
                <w:szCs w:val="21"/>
                <w:highlight w:val="none"/>
                <w:lang w:bidi="ar"/>
              </w:rPr>
            </w:pPr>
          </w:p>
        </w:tc>
        <w:tc>
          <w:tcPr>
            <w:tcW w:w="1275" w:type="dxa"/>
            <w:vAlign w:val="center"/>
          </w:tcPr>
          <w:p w14:paraId="5982AD4C">
            <w:pPr>
              <w:jc w:val="center"/>
              <w:rPr>
                <w:rFonts w:cs="Arial"/>
                <w:color w:val="auto"/>
                <w:szCs w:val="21"/>
                <w:highlight w:val="none"/>
                <w:lang w:bidi="ar"/>
              </w:rPr>
            </w:pPr>
            <w:r>
              <w:rPr>
                <w:rFonts w:cs="Arial"/>
                <w:color w:val="auto"/>
                <w:szCs w:val="21"/>
                <w:highlight w:val="none"/>
                <w:lang w:bidi="ar"/>
              </w:rPr>
              <w:t>航道养护信息展示</w:t>
            </w:r>
          </w:p>
        </w:tc>
        <w:tc>
          <w:tcPr>
            <w:tcW w:w="5461" w:type="dxa"/>
            <w:vAlign w:val="center"/>
          </w:tcPr>
          <w:p w14:paraId="4D93D56F">
            <w:pPr>
              <w:rPr>
                <w:rFonts w:cs="Arial"/>
                <w:color w:val="auto"/>
                <w:szCs w:val="21"/>
                <w:highlight w:val="none"/>
                <w:lang w:bidi="ar"/>
              </w:rPr>
            </w:pPr>
            <w:r>
              <w:rPr>
                <w:rFonts w:cs="Arial"/>
                <w:color w:val="auto"/>
                <w:szCs w:val="21"/>
                <w:highlight w:val="none"/>
                <w:lang w:bidi="ar"/>
              </w:rPr>
              <w:t>需以电子地图为载体，集成展示养护工程进度、设备设施状态、水文监测数据、物资储备、历史养护记录及各类风险隐患信息，实现养护全流程可视化管理与决策支持。</w:t>
            </w:r>
          </w:p>
        </w:tc>
      </w:tr>
      <w:tr w14:paraId="53D7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2D4D767">
            <w:pPr>
              <w:jc w:val="center"/>
              <w:rPr>
                <w:rFonts w:cs="Arial"/>
                <w:color w:val="auto"/>
                <w:szCs w:val="21"/>
                <w:highlight w:val="none"/>
                <w:lang w:bidi="ar"/>
              </w:rPr>
            </w:pPr>
          </w:p>
        </w:tc>
        <w:tc>
          <w:tcPr>
            <w:tcW w:w="1275" w:type="dxa"/>
            <w:vAlign w:val="center"/>
          </w:tcPr>
          <w:p w14:paraId="4EE972A4">
            <w:pPr>
              <w:jc w:val="center"/>
              <w:rPr>
                <w:rFonts w:cs="Arial"/>
                <w:color w:val="auto"/>
                <w:szCs w:val="21"/>
                <w:highlight w:val="none"/>
                <w:lang w:bidi="ar"/>
              </w:rPr>
            </w:pPr>
            <w:r>
              <w:rPr>
                <w:rFonts w:cs="Arial"/>
                <w:color w:val="auto"/>
                <w:szCs w:val="21"/>
                <w:highlight w:val="none"/>
                <w:lang w:bidi="ar"/>
              </w:rPr>
              <w:t>巡航预警信息展示</w:t>
            </w:r>
          </w:p>
        </w:tc>
        <w:tc>
          <w:tcPr>
            <w:tcW w:w="5461" w:type="dxa"/>
            <w:vAlign w:val="center"/>
          </w:tcPr>
          <w:p w14:paraId="1F60B0C6">
            <w:pPr>
              <w:rPr>
                <w:rFonts w:cs="Arial"/>
                <w:color w:val="auto"/>
                <w:szCs w:val="21"/>
                <w:highlight w:val="none"/>
                <w:lang w:bidi="ar"/>
              </w:rPr>
            </w:pPr>
            <w:r>
              <w:rPr>
                <w:rFonts w:cs="Arial"/>
                <w:color w:val="auto"/>
                <w:szCs w:val="21"/>
                <w:highlight w:val="none"/>
                <w:lang w:bidi="ar"/>
              </w:rPr>
              <w:t>需整合航道实时视频、船舶异常行为、航标故障、水位超限、气象灾害等预警数据，在电子地图上实现风险点的智能标注、预警等级可视化及处置流程联动展示。</w:t>
            </w:r>
          </w:p>
        </w:tc>
      </w:tr>
      <w:tr w14:paraId="01B0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A113C21">
            <w:pPr>
              <w:jc w:val="center"/>
              <w:rPr>
                <w:rFonts w:cs="Arial"/>
                <w:color w:val="auto"/>
                <w:szCs w:val="21"/>
                <w:highlight w:val="none"/>
                <w:lang w:bidi="ar"/>
              </w:rPr>
            </w:pPr>
          </w:p>
        </w:tc>
        <w:tc>
          <w:tcPr>
            <w:tcW w:w="1275" w:type="dxa"/>
            <w:vAlign w:val="center"/>
          </w:tcPr>
          <w:p w14:paraId="65BFF989">
            <w:pPr>
              <w:jc w:val="center"/>
              <w:rPr>
                <w:rFonts w:cs="Arial"/>
                <w:color w:val="auto"/>
                <w:szCs w:val="21"/>
                <w:highlight w:val="none"/>
                <w:lang w:bidi="ar"/>
              </w:rPr>
            </w:pPr>
            <w:r>
              <w:rPr>
                <w:rFonts w:cs="Arial"/>
                <w:color w:val="auto"/>
                <w:szCs w:val="21"/>
                <w:highlight w:val="none"/>
                <w:lang w:bidi="ar"/>
              </w:rPr>
              <w:t>应急物资展示</w:t>
            </w:r>
          </w:p>
        </w:tc>
        <w:tc>
          <w:tcPr>
            <w:tcW w:w="5461" w:type="dxa"/>
            <w:vAlign w:val="center"/>
          </w:tcPr>
          <w:p w14:paraId="4179B32B">
            <w:pPr>
              <w:rPr>
                <w:rFonts w:cs="Arial"/>
                <w:color w:val="auto"/>
                <w:szCs w:val="21"/>
                <w:highlight w:val="none"/>
                <w:lang w:bidi="ar"/>
              </w:rPr>
            </w:pPr>
            <w:r>
              <w:rPr>
                <w:rFonts w:cs="Arial"/>
                <w:color w:val="auto"/>
                <w:szCs w:val="21"/>
                <w:highlight w:val="none"/>
                <w:lang w:bidi="ar"/>
              </w:rPr>
              <w:t>需以地理信息系统为载体，集成展示应急物资储备点位置、类型、库存量、调拨路线、责任人及联动应急装备实时状态等信息，实现应急资源的可视化管理与快速调度。</w:t>
            </w:r>
          </w:p>
        </w:tc>
      </w:tr>
    </w:tbl>
    <w:p w14:paraId="00F8840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br w:type="page"/>
      </w:r>
    </w:p>
    <w:p w14:paraId="51A683BE">
      <w:pPr>
        <w:keepNext/>
        <w:keepLines/>
        <w:spacing w:line="416" w:lineRule="auto"/>
        <w:outlineLvl w:val="3"/>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（二）与本项目其他包之间的关系</w:t>
      </w:r>
    </w:p>
    <w:p w14:paraId="023FEDCD">
      <w:pPr>
        <w:adjustRightInd w:val="0"/>
        <w:snapToGrid w:val="0"/>
        <w:spacing w:after="120" w:afterLines="50"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本包与项目其他包之间的关系包括但不限于以下内容：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561"/>
        <w:gridCol w:w="2037"/>
        <w:gridCol w:w="3370"/>
      </w:tblGrid>
      <w:tr w14:paraId="17F1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6" w:type="dxa"/>
            <w:vAlign w:val="center"/>
          </w:tcPr>
          <w:p w14:paraId="2D4D4F78">
            <w:pPr>
              <w:jc w:val="center"/>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序号</w:t>
            </w:r>
          </w:p>
        </w:tc>
        <w:tc>
          <w:tcPr>
            <w:tcW w:w="2750" w:type="dxa"/>
            <w:vAlign w:val="center"/>
          </w:tcPr>
          <w:p w14:paraId="7437AA99">
            <w:pPr>
              <w:jc w:val="center"/>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其他包名称</w:t>
            </w:r>
          </w:p>
        </w:tc>
        <w:tc>
          <w:tcPr>
            <w:tcW w:w="2194" w:type="dxa"/>
            <w:vAlign w:val="center"/>
          </w:tcPr>
          <w:p w14:paraId="5EF20BAC">
            <w:pPr>
              <w:jc w:val="center"/>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其他包具体内容</w:t>
            </w:r>
          </w:p>
        </w:tc>
        <w:tc>
          <w:tcPr>
            <w:tcW w:w="3639" w:type="dxa"/>
            <w:vAlign w:val="center"/>
          </w:tcPr>
          <w:p w14:paraId="4E3852E3">
            <w:pPr>
              <w:jc w:val="center"/>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关系</w:t>
            </w:r>
          </w:p>
        </w:tc>
      </w:tr>
      <w:tr w14:paraId="48BB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1419DD4A">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1</w:t>
            </w:r>
          </w:p>
        </w:tc>
        <w:tc>
          <w:tcPr>
            <w:tcW w:w="2750" w:type="dxa"/>
            <w:vAlign w:val="center"/>
          </w:tcPr>
          <w:p w14:paraId="3CB141F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66E1A389">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业务中台</w:t>
            </w:r>
          </w:p>
        </w:tc>
        <w:tc>
          <w:tcPr>
            <w:tcW w:w="3639" w:type="dxa"/>
            <w:vAlign w:val="center"/>
          </w:tcPr>
          <w:p w14:paraId="2042FC01">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建设内容纳入业务中台统一门户管理范围，统一UI设计，统一授时，统一权限管理；调用业务中台可视化工具；调用业务中台工作流引擎进行工作量配置；纳入业务中台搜索引擎搜索范围，并可调用搜索引擎；软件开发符合业务中台代码通用管理系统要求；可调用业务中台无人机管理平台无人机航拍航测数据；调用电子航道图数据。调用业务中台算法管理平台功能；调用业务中台专用算法支撑能力；为业务中台视频整合平台提供水运相关视频数据，调用视频整合平台视频资源；调用业务中台融合通信平台功能；调用业务中台设备管理平台和通用支撑能力实现硬件设备协议对接。</w:t>
            </w:r>
          </w:p>
        </w:tc>
      </w:tr>
      <w:tr w14:paraId="420F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179AF9DD">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2</w:t>
            </w:r>
          </w:p>
        </w:tc>
        <w:tc>
          <w:tcPr>
            <w:tcW w:w="2750" w:type="dxa"/>
            <w:vAlign w:val="center"/>
          </w:tcPr>
          <w:p w14:paraId="1EBD9D7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70341E4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云平台软件</w:t>
            </w:r>
          </w:p>
        </w:tc>
        <w:tc>
          <w:tcPr>
            <w:tcW w:w="3639" w:type="dxa"/>
            <w:vAlign w:val="center"/>
          </w:tcPr>
          <w:p w14:paraId="7F90F8ED">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本包定制化开发的应用系统部署于云平台软件管理下的云服务器。</w:t>
            </w:r>
          </w:p>
        </w:tc>
      </w:tr>
      <w:tr w14:paraId="7A04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B781900">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w:t>
            </w:r>
          </w:p>
        </w:tc>
        <w:tc>
          <w:tcPr>
            <w:tcW w:w="2750" w:type="dxa"/>
            <w:vAlign w:val="center"/>
          </w:tcPr>
          <w:p w14:paraId="31A1E23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0F5E9CE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云平台硬件</w:t>
            </w:r>
          </w:p>
        </w:tc>
        <w:tc>
          <w:tcPr>
            <w:tcW w:w="3639" w:type="dxa"/>
            <w:vAlign w:val="center"/>
          </w:tcPr>
          <w:p w14:paraId="6459D6E0">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本包定制化开发的应用系统部署于云平台硬件构成的政务云交通专有域。</w:t>
            </w:r>
          </w:p>
        </w:tc>
      </w:tr>
      <w:tr w14:paraId="2A2D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929D5BE">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4</w:t>
            </w:r>
          </w:p>
        </w:tc>
        <w:tc>
          <w:tcPr>
            <w:tcW w:w="2750" w:type="dxa"/>
            <w:vAlign w:val="center"/>
          </w:tcPr>
          <w:p w14:paraId="1E67680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320FD62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安全和密码设备</w:t>
            </w:r>
          </w:p>
        </w:tc>
        <w:tc>
          <w:tcPr>
            <w:tcW w:w="3639" w:type="dxa"/>
            <w:vAlign w:val="center"/>
          </w:tcPr>
          <w:p w14:paraId="15D9604F">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本包定制化开发的应用系统部署环境受安全和密码设备保护，本包按照3级等保和密码保护要求进行开发</w:t>
            </w:r>
          </w:p>
        </w:tc>
      </w:tr>
      <w:tr w14:paraId="7E86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5A2A7C52">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5</w:t>
            </w:r>
          </w:p>
        </w:tc>
        <w:tc>
          <w:tcPr>
            <w:tcW w:w="2750" w:type="dxa"/>
            <w:vAlign w:val="center"/>
          </w:tcPr>
          <w:p w14:paraId="04EE2632">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00285589">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国产化操作系统</w:t>
            </w:r>
          </w:p>
        </w:tc>
        <w:tc>
          <w:tcPr>
            <w:tcW w:w="3639" w:type="dxa"/>
            <w:vAlign w:val="center"/>
          </w:tcPr>
          <w:p w14:paraId="4F8948A2">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本包定制化开发的应用系统适配国产化操作系统</w:t>
            </w:r>
          </w:p>
        </w:tc>
      </w:tr>
      <w:tr w14:paraId="1507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B75A764">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6</w:t>
            </w:r>
          </w:p>
        </w:tc>
        <w:tc>
          <w:tcPr>
            <w:tcW w:w="2750" w:type="dxa"/>
            <w:vAlign w:val="center"/>
          </w:tcPr>
          <w:p w14:paraId="0DA921F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60C9828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机房及通信链路租赁</w:t>
            </w:r>
          </w:p>
        </w:tc>
        <w:tc>
          <w:tcPr>
            <w:tcW w:w="3639" w:type="dxa"/>
            <w:vAlign w:val="center"/>
          </w:tcPr>
          <w:p w14:paraId="139EA38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本包定制化开发的应用系统部署于政务云交通专有域，使用物理环境和通信链路。</w:t>
            </w:r>
          </w:p>
        </w:tc>
      </w:tr>
      <w:tr w14:paraId="6D47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66" w:type="dxa"/>
            <w:vAlign w:val="center"/>
          </w:tcPr>
          <w:p w14:paraId="42AAE895">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7</w:t>
            </w:r>
          </w:p>
        </w:tc>
        <w:tc>
          <w:tcPr>
            <w:tcW w:w="2750" w:type="dxa"/>
            <w:vAlign w:val="center"/>
          </w:tcPr>
          <w:p w14:paraId="3F2D59C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5EE69A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数据资源规划</w:t>
            </w:r>
          </w:p>
        </w:tc>
        <w:tc>
          <w:tcPr>
            <w:tcW w:w="3639" w:type="dxa"/>
            <w:vAlign w:val="center"/>
          </w:tcPr>
          <w:p w14:paraId="7D3A0719">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本包建设内容纳入数据加工处理和中台建设包的数据资源规划</w:t>
            </w:r>
          </w:p>
        </w:tc>
      </w:tr>
      <w:tr w14:paraId="6F58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C2965C7">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8</w:t>
            </w:r>
          </w:p>
        </w:tc>
        <w:tc>
          <w:tcPr>
            <w:tcW w:w="2750" w:type="dxa"/>
            <w:vAlign w:val="center"/>
          </w:tcPr>
          <w:p w14:paraId="0053B819">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186AD27F">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数据采集</w:t>
            </w:r>
          </w:p>
        </w:tc>
        <w:tc>
          <w:tcPr>
            <w:tcW w:w="3639" w:type="dxa"/>
            <w:vAlign w:val="center"/>
          </w:tcPr>
          <w:p w14:paraId="6C6844B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本包应用系统获取外部数据通过数据加工处理和中台建设包的数据采集接口。</w:t>
            </w:r>
          </w:p>
        </w:tc>
      </w:tr>
      <w:tr w14:paraId="3317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17D4B49">
            <w:pPr>
              <w:jc w:val="center"/>
              <w:rPr>
                <w:rFonts w:ascii="Calibri" w:hAnsi="Calibri" w:cs="Times New Roman"/>
                <w:color w:val="auto"/>
                <w:highlight w:val="none"/>
              </w:rPr>
            </w:pPr>
            <w:r>
              <w:rPr>
                <w:rFonts w:hint="eastAsia" w:ascii="Times New Roman" w:hAnsi="Times New Roman" w:cs="Times New Roman"/>
                <w:color w:val="auto"/>
                <w:szCs w:val="22"/>
                <w:highlight w:val="none"/>
              </w:rPr>
              <w:t>9</w:t>
            </w:r>
          </w:p>
        </w:tc>
        <w:tc>
          <w:tcPr>
            <w:tcW w:w="2750" w:type="dxa"/>
            <w:vAlign w:val="center"/>
          </w:tcPr>
          <w:p w14:paraId="1D6BF823">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2FD01DC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数据仓库建设</w:t>
            </w:r>
          </w:p>
        </w:tc>
        <w:tc>
          <w:tcPr>
            <w:tcW w:w="3639" w:type="dxa"/>
            <w:vAlign w:val="center"/>
          </w:tcPr>
          <w:p w14:paraId="4E0FB44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本包产生的数据存储于数据加工处理和中台建设包的云平台数据仓库</w:t>
            </w:r>
          </w:p>
        </w:tc>
      </w:tr>
      <w:tr w14:paraId="3CD4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3C7F24B6">
            <w:pPr>
              <w:jc w:val="center"/>
              <w:rPr>
                <w:rFonts w:ascii="Calibri" w:hAnsi="Calibri" w:cs="Times New Roman"/>
                <w:color w:val="auto"/>
                <w:highlight w:val="none"/>
              </w:rPr>
            </w:pPr>
            <w:r>
              <w:rPr>
                <w:rFonts w:hint="eastAsia" w:ascii="Times New Roman" w:hAnsi="Times New Roman" w:cs="Times New Roman"/>
                <w:color w:val="auto"/>
                <w:szCs w:val="22"/>
                <w:highlight w:val="none"/>
              </w:rPr>
              <w:t>10</w:t>
            </w:r>
          </w:p>
        </w:tc>
        <w:tc>
          <w:tcPr>
            <w:tcW w:w="2750" w:type="dxa"/>
            <w:vAlign w:val="center"/>
          </w:tcPr>
          <w:p w14:paraId="2B42B460">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0062A83D">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数据治理</w:t>
            </w:r>
          </w:p>
        </w:tc>
        <w:tc>
          <w:tcPr>
            <w:tcW w:w="3639" w:type="dxa"/>
            <w:vAlign w:val="center"/>
          </w:tcPr>
          <w:p w14:paraId="7708F30D">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本包产生的数据纳入数据加工处理和中台建设包的数据治理范围</w:t>
            </w:r>
          </w:p>
        </w:tc>
      </w:tr>
      <w:tr w14:paraId="47C7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46CA4C32">
            <w:pPr>
              <w:jc w:val="center"/>
              <w:rPr>
                <w:rFonts w:ascii="Calibri" w:hAnsi="Calibri" w:cs="Times New Roman"/>
                <w:color w:val="auto"/>
                <w:highlight w:val="none"/>
              </w:rPr>
            </w:pPr>
            <w:r>
              <w:rPr>
                <w:rFonts w:hint="eastAsia" w:ascii="Times New Roman" w:hAnsi="Times New Roman" w:cs="Times New Roman"/>
                <w:color w:val="auto"/>
                <w:szCs w:val="22"/>
                <w:highlight w:val="none"/>
              </w:rPr>
              <w:t>11</w:t>
            </w:r>
          </w:p>
        </w:tc>
        <w:tc>
          <w:tcPr>
            <w:tcW w:w="2750" w:type="dxa"/>
            <w:vAlign w:val="center"/>
          </w:tcPr>
          <w:p w14:paraId="2BFA1871">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00C4D0D6">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数据资产构建</w:t>
            </w:r>
          </w:p>
        </w:tc>
        <w:tc>
          <w:tcPr>
            <w:tcW w:w="3639" w:type="dxa"/>
            <w:vAlign w:val="center"/>
          </w:tcPr>
          <w:p w14:paraId="7618305D">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本包产生的数据资源由数据加工处理和中台建设包的完成数据资源编目、指标体系构建、图谱-矩阵绘制。</w:t>
            </w:r>
          </w:p>
        </w:tc>
      </w:tr>
      <w:tr w14:paraId="1B82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8565128">
            <w:pPr>
              <w:jc w:val="center"/>
              <w:rPr>
                <w:rFonts w:ascii="Calibri" w:hAnsi="Calibri" w:cs="Times New Roman"/>
                <w:color w:val="auto"/>
                <w:highlight w:val="none"/>
              </w:rPr>
            </w:pPr>
            <w:r>
              <w:rPr>
                <w:rFonts w:hint="eastAsia" w:ascii="Times New Roman" w:hAnsi="Times New Roman" w:cs="Times New Roman"/>
                <w:color w:val="auto"/>
                <w:szCs w:val="22"/>
                <w:highlight w:val="none"/>
              </w:rPr>
              <w:t>12</w:t>
            </w:r>
          </w:p>
        </w:tc>
        <w:tc>
          <w:tcPr>
            <w:tcW w:w="2750" w:type="dxa"/>
            <w:vAlign w:val="center"/>
          </w:tcPr>
          <w:p w14:paraId="53CE989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2CC8631">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数据建模分析</w:t>
            </w:r>
          </w:p>
        </w:tc>
        <w:tc>
          <w:tcPr>
            <w:tcW w:w="3639" w:type="dxa"/>
            <w:vAlign w:val="center"/>
          </w:tcPr>
          <w:p w14:paraId="4193137D">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本包调用数据加工处理和中台建设包的数据建模分析功能</w:t>
            </w:r>
          </w:p>
        </w:tc>
      </w:tr>
      <w:tr w14:paraId="4CE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3CF7B78">
            <w:pPr>
              <w:jc w:val="center"/>
              <w:rPr>
                <w:rFonts w:ascii="Calibri" w:hAnsi="Calibri" w:cs="Times New Roman"/>
                <w:color w:val="auto"/>
                <w:highlight w:val="none"/>
              </w:rPr>
            </w:pPr>
            <w:r>
              <w:rPr>
                <w:rFonts w:hint="eastAsia" w:ascii="Times New Roman" w:hAnsi="Times New Roman" w:cs="Times New Roman"/>
                <w:color w:val="auto"/>
                <w:szCs w:val="22"/>
                <w:highlight w:val="none"/>
              </w:rPr>
              <w:t>13</w:t>
            </w:r>
          </w:p>
        </w:tc>
        <w:tc>
          <w:tcPr>
            <w:tcW w:w="2750" w:type="dxa"/>
            <w:vAlign w:val="center"/>
          </w:tcPr>
          <w:p w14:paraId="0CD613AB">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4CAD300B">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快搜快查数据准备</w:t>
            </w:r>
          </w:p>
        </w:tc>
        <w:tc>
          <w:tcPr>
            <w:tcW w:w="3639" w:type="dxa"/>
            <w:vAlign w:val="center"/>
          </w:tcPr>
          <w:p w14:paraId="6AA6A07A">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本包调用数据加工处理和中台建设包的快搜快查功能，本包产生的数据供数据内容归纳与管理和纸质报表报告电子化入库使用</w:t>
            </w:r>
          </w:p>
        </w:tc>
      </w:tr>
      <w:tr w14:paraId="4B7F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32AE8036">
            <w:pPr>
              <w:jc w:val="center"/>
              <w:rPr>
                <w:rFonts w:ascii="Calibri" w:hAnsi="Calibri" w:cs="Times New Roman"/>
                <w:color w:val="auto"/>
                <w:highlight w:val="none"/>
              </w:rPr>
            </w:pPr>
            <w:r>
              <w:rPr>
                <w:rFonts w:hint="eastAsia" w:ascii="Times New Roman" w:hAnsi="Times New Roman" w:cs="Times New Roman"/>
                <w:color w:val="auto"/>
                <w:szCs w:val="22"/>
                <w:highlight w:val="none"/>
              </w:rPr>
              <w:t>14</w:t>
            </w:r>
          </w:p>
        </w:tc>
        <w:tc>
          <w:tcPr>
            <w:tcW w:w="2750" w:type="dxa"/>
            <w:vAlign w:val="center"/>
          </w:tcPr>
          <w:p w14:paraId="49DF289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0EFBFA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数据共享</w:t>
            </w:r>
          </w:p>
        </w:tc>
        <w:tc>
          <w:tcPr>
            <w:tcW w:w="3639" w:type="dxa"/>
            <w:vAlign w:val="center"/>
          </w:tcPr>
          <w:p w14:paraId="5BC56C0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本包产生的数据由数据加工处理和中台建设包的数据共享功能向外共享。</w:t>
            </w:r>
          </w:p>
        </w:tc>
      </w:tr>
      <w:tr w14:paraId="35F2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F3E7A64">
            <w:pPr>
              <w:jc w:val="center"/>
              <w:rPr>
                <w:rFonts w:ascii="Calibri" w:hAnsi="Calibri" w:cs="Times New Roman"/>
                <w:color w:val="auto"/>
                <w:highlight w:val="none"/>
              </w:rPr>
            </w:pPr>
            <w:r>
              <w:rPr>
                <w:rFonts w:hint="eastAsia" w:ascii="Times New Roman" w:hAnsi="Times New Roman" w:cs="Times New Roman"/>
                <w:color w:val="auto"/>
                <w:szCs w:val="22"/>
                <w:highlight w:val="none"/>
              </w:rPr>
              <w:t>15</w:t>
            </w:r>
          </w:p>
        </w:tc>
        <w:tc>
          <w:tcPr>
            <w:tcW w:w="2750" w:type="dxa"/>
            <w:vAlign w:val="center"/>
          </w:tcPr>
          <w:p w14:paraId="71EC3D0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931E8C0">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w:t>
            </w:r>
          </w:p>
        </w:tc>
        <w:tc>
          <w:tcPr>
            <w:tcW w:w="3639" w:type="dxa"/>
            <w:vAlign w:val="center"/>
          </w:tcPr>
          <w:p w14:paraId="61B35DC1">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本包产生的数据供数据加工处理和中台建设包的数据加工使用，调用数据加工处理和中台建设包的数据加工功能。</w:t>
            </w:r>
          </w:p>
        </w:tc>
      </w:tr>
      <w:tr w14:paraId="33A4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0CC41897">
            <w:pPr>
              <w:jc w:val="center"/>
              <w:rPr>
                <w:rFonts w:ascii="Calibri" w:hAnsi="Calibri" w:cs="Times New Roman"/>
                <w:color w:val="auto"/>
                <w:highlight w:val="none"/>
              </w:rPr>
            </w:pPr>
            <w:r>
              <w:rPr>
                <w:rFonts w:hint="eastAsia" w:ascii="Times New Roman" w:hAnsi="Times New Roman" w:cs="Times New Roman"/>
                <w:color w:val="auto"/>
                <w:szCs w:val="22"/>
                <w:highlight w:val="none"/>
              </w:rPr>
              <w:t>16</w:t>
            </w:r>
          </w:p>
        </w:tc>
        <w:tc>
          <w:tcPr>
            <w:tcW w:w="2750" w:type="dxa"/>
            <w:vAlign w:val="center"/>
          </w:tcPr>
          <w:p w14:paraId="63C9A7C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4DF36E3B">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数据中台</w:t>
            </w:r>
          </w:p>
        </w:tc>
        <w:tc>
          <w:tcPr>
            <w:tcW w:w="3639" w:type="dxa"/>
            <w:vAlign w:val="center"/>
          </w:tcPr>
          <w:p w14:paraId="739879AB">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本包产生的数据供数据中台调用，调用数据加工处理和中台建设包的数据中台功能</w:t>
            </w:r>
          </w:p>
        </w:tc>
      </w:tr>
      <w:tr w14:paraId="5A5E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326E1F83">
            <w:pPr>
              <w:jc w:val="center"/>
              <w:rPr>
                <w:rFonts w:ascii="Calibri" w:hAnsi="Calibri" w:cs="Times New Roman"/>
                <w:color w:val="auto"/>
                <w:highlight w:val="none"/>
              </w:rPr>
            </w:pPr>
            <w:r>
              <w:rPr>
                <w:rFonts w:hint="eastAsia" w:ascii="Times New Roman" w:hAnsi="Times New Roman" w:cs="Times New Roman"/>
                <w:color w:val="auto"/>
                <w:szCs w:val="22"/>
                <w:highlight w:val="none"/>
              </w:rPr>
              <w:t>17</w:t>
            </w:r>
          </w:p>
        </w:tc>
        <w:tc>
          <w:tcPr>
            <w:tcW w:w="2750" w:type="dxa"/>
            <w:vAlign w:val="center"/>
          </w:tcPr>
          <w:p w14:paraId="55B23C2A">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0ABD943">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业务中台</w:t>
            </w:r>
          </w:p>
        </w:tc>
        <w:tc>
          <w:tcPr>
            <w:tcW w:w="3639" w:type="dxa"/>
            <w:vAlign w:val="center"/>
          </w:tcPr>
          <w:p w14:paraId="432388A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本包调用数据加工处理和中台建设包的业务中台服务池资源。</w:t>
            </w:r>
          </w:p>
        </w:tc>
      </w:tr>
      <w:tr w14:paraId="64D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6B0B8E0C">
            <w:pPr>
              <w:jc w:val="center"/>
              <w:rPr>
                <w:rFonts w:ascii="Calibri" w:hAnsi="Calibri" w:cs="Times New Roman"/>
                <w:color w:val="auto"/>
                <w:highlight w:val="none"/>
              </w:rPr>
            </w:pPr>
            <w:r>
              <w:rPr>
                <w:rFonts w:hint="eastAsia" w:ascii="Times New Roman" w:hAnsi="Times New Roman" w:cs="Times New Roman"/>
                <w:color w:val="auto"/>
                <w:szCs w:val="22"/>
                <w:highlight w:val="none"/>
              </w:rPr>
              <w:t>18</w:t>
            </w:r>
          </w:p>
        </w:tc>
        <w:tc>
          <w:tcPr>
            <w:tcW w:w="2750" w:type="dxa"/>
            <w:vAlign w:val="center"/>
          </w:tcPr>
          <w:p w14:paraId="0DE2027F">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288F4AD6">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AI中台</w:t>
            </w:r>
          </w:p>
        </w:tc>
        <w:tc>
          <w:tcPr>
            <w:tcW w:w="3639" w:type="dxa"/>
            <w:vAlign w:val="center"/>
          </w:tcPr>
          <w:p w14:paraId="6F016D1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本包调用数据加工处理和中台建设包的AI中台功能。</w:t>
            </w:r>
          </w:p>
        </w:tc>
      </w:tr>
      <w:tr w14:paraId="40A0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7EAF741">
            <w:pPr>
              <w:jc w:val="center"/>
              <w:rPr>
                <w:rFonts w:ascii="Calibri" w:hAnsi="Calibri" w:cs="Times New Roman"/>
                <w:color w:val="auto"/>
                <w:highlight w:val="none"/>
              </w:rPr>
            </w:pPr>
            <w:r>
              <w:rPr>
                <w:rFonts w:hint="eastAsia" w:ascii="Times New Roman" w:hAnsi="Times New Roman" w:cs="Times New Roman"/>
                <w:color w:val="auto"/>
                <w:szCs w:val="22"/>
                <w:highlight w:val="none"/>
              </w:rPr>
              <w:t>19</w:t>
            </w:r>
          </w:p>
        </w:tc>
        <w:tc>
          <w:tcPr>
            <w:tcW w:w="2750" w:type="dxa"/>
            <w:vAlign w:val="center"/>
          </w:tcPr>
          <w:p w14:paraId="68CF8580">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21227F7F">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AI大模型适配</w:t>
            </w:r>
          </w:p>
        </w:tc>
        <w:tc>
          <w:tcPr>
            <w:tcW w:w="3639" w:type="dxa"/>
            <w:vAlign w:val="center"/>
          </w:tcPr>
          <w:p w14:paraId="7E447E21">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本包调用数据加工处理和中台建设包的AI中台大模型，本包应用开发的模型受数据加工处理和中台建设包的AI大模型适配功能管理</w:t>
            </w:r>
          </w:p>
        </w:tc>
      </w:tr>
      <w:tr w14:paraId="6116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7967D41">
            <w:pPr>
              <w:jc w:val="center"/>
              <w:rPr>
                <w:rFonts w:ascii="Calibri" w:hAnsi="Calibri" w:cs="Times New Roman"/>
                <w:color w:val="auto"/>
                <w:highlight w:val="none"/>
              </w:rPr>
            </w:pPr>
            <w:r>
              <w:rPr>
                <w:rFonts w:hint="eastAsia" w:ascii="Times New Roman" w:hAnsi="Times New Roman" w:cs="Times New Roman"/>
                <w:color w:val="auto"/>
                <w:szCs w:val="22"/>
                <w:highlight w:val="none"/>
              </w:rPr>
              <w:t>20</w:t>
            </w:r>
          </w:p>
        </w:tc>
        <w:tc>
          <w:tcPr>
            <w:tcW w:w="2750" w:type="dxa"/>
            <w:vAlign w:val="center"/>
          </w:tcPr>
          <w:p w14:paraId="7A8A899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37C1323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AI数据需求调研对接和调优测试</w:t>
            </w:r>
          </w:p>
        </w:tc>
        <w:tc>
          <w:tcPr>
            <w:tcW w:w="3639" w:type="dxa"/>
            <w:vAlign w:val="center"/>
          </w:tcPr>
          <w:p w14:paraId="1B1435C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本包接受数据加工处理和中台建设包的AI数据需求调研，并配合调优</w:t>
            </w:r>
          </w:p>
        </w:tc>
      </w:tr>
      <w:tr w14:paraId="01EB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28B991BF">
            <w:pPr>
              <w:jc w:val="center"/>
              <w:rPr>
                <w:rFonts w:ascii="Calibri" w:hAnsi="Calibri" w:cs="Times New Roman"/>
                <w:color w:val="auto"/>
                <w:highlight w:val="none"/>
              </w:rPr>
            </w:pPr>
            <w:r>
              <w:rPr>
                <w:rFonts w:hint="eastAsia" w:ascii="Times New Roman" w:hAnsi="Times New Roman" w:cs="Times New Roman"/>
                <w:color w:val="auto"/>
                <w:szCs w:val="22"/>
                <w:highlight w:val="none"/>
              </w:rPr>
              <w:t>21</w:t>
            </w:r>
          </w:p>
        </w:tc>
        <w:tc>
          <w:tcPr>
            <w:tcW w:w="2750" w:type="dxa"/>
            <w:vAlign w:val="center"/>
          </w:tcPr>
          <w:p w14:paraId="43E9276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483EE0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数据综合管理</w:t>
            </w:r>
          </w:p>
        </w:tc>
        <w:tc>
          <w:tcPr>
            <w:tcW w:w="3639" w:type="dxa"/>
            <w:vAlign w:val="center"/>
          </w:tcPr>
          <w:p w14:paraId="5D65F6EA">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本包产生的数据受数据加工处理和中台建设包的数据综合管理</w:t>
            </w:r>
          </w:p>
        </w:tc>
      </w:tr>
      <w:tr w14:paraId="39C6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122AC559">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22</w:t>
            </w:r>
          </w:p>
        </w:tc>
        <w:tc>
          <w:tcPr>
            <w:tcW w:w="2750" w:type="dxa"/>
            <w:vAlign w:val="center"/>
          </w:tcPr>
          <w:p w14:paraId="4EE9B22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运行监测预警服务</w:t>
            </w:r>
          </w:p>
        </w:tc>
        <w:tc>
          <w:tcPr>
            <w:tcW w:w="2194" w:type="dxa"/>
            <w:vAlign w:val="center"/>
          </w:tcPr>
          <w:p w14:paraId="5D6D4AB6">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应急指挥调度服务</w:t>
            </w:r>
          </w:p>
        </w:tc>
        <w:tc>
          <w:tcPr>
            <w:tcW w:w="3639" w:type="dxa"/>
            <w:vAlign w:val="center"/>
          </w:tcPr>
          <w:p w14:paraId="210BA8C7">
            <w:pPr>
              <w:rPr>
                <w:rFonts w:ascii="Times New Roman" w:hAnsi="Times New Roman" w:cs="Times New Roman"/>
                <w:b/>
                <w:bCs/>
                <w:color w:val="auto"/>
                <w:szCs w:val="22"/>
                <w:highlight w:val="none"/>
              </w:rPr>
            </w:pPr>
            <w:r>
              <w:rPr>
                <w:rFonts w:hint="eastAsia" w:ascii="Times New Roman" w:hAnsi="Times New Roman" w:cs="Times New Roman"/>
                <w:color w:val="auto"/>
                <w:szCs w:val="22"/>
                <w:highlight w:val="none"/>
              </w:rPr>
              <w:t>调用运行监测预警服务应急指挥智能调度服务，提供统一的调度流程，执行统一的指挥调度管理。</w:t>
            </w:r>
          </w:p>
        </w:tc>
      </w:tr>
      <w:tr w14:paraId="0F41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00437847">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23</w:t>
            </w:r>
          </w:p>
        </w:tc>
        <w:tc>
          <w:tcPr>
            <w:tcW w:w="2750" w:type="dxa"/>
            <w:vAlign w:val="center"/>
          </w:tcPr>
          <w:p w14:paraId="12C56346">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地理信息平台</w:t>
            </w:r>
          </w:p>
        </w:tc>
        <w:tc>
          <w:tcPr>
            <w:tcW w:w="2194" w:type="dxa"/>
            <w:vAlign w:val="center"/>
          </w:tcPr>
          <w:p w14:paraId="6A54A33F">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地理信息平台</w:t>
            </w:r>
          </w:p>
        </w:tc>
        <w:tc>
          <w:tcPr>
            <w:tcW w:w="3639" w:type="dxa"/>
            <w:vAlign w:val="center"/>
          </w:tcPr>
          <w:p w14:paraId="36DDA8E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调用地理信息平台提供的引擎能力，实现电子航道图与其他信息的融合与加载。</w:t>
            </w:r>
          </w:p>
        </w:tc>
      </w:tr>
      <w:tr w14:paraId="390E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66" w:type="dxa"/>
            <w:vAlign w:val="center"/>
          </w:tcPr>
          <w:p w14:paraId="5EBC5D95">
            <w:pPr>
              <w:jc w:val="center"/>
              <w:rPr>
                <w:rFonts w:ascii="Calibri" w:hAnsi="Calibri" w:cs="Times New Roman"/>
                <w:color w:val="auto"/>
                <w:highlight w:val="none"/>
              </w:rPr>
            </w:pPr>
            <w:r>
              <w:rPr>
                <w:rFonts w:hint="eastAsia" w:ascii="Times New Roman" w:hAnsi="Times New Roman" w:cs="Times New Roman"/>
                <w:color w:val="auto"/>
                <w:szCs w:val="22"/>
                <w:highlight w:val="none"/>
              </w:rPr>
              <w:t>24</w:t>
            </w:r>
          </w:p>
        </w:tc>
        <w:tc>
          <w:tcPr>
            <w:tcW w:w="2750" w:type="dxa"/>
            <w:vAlign w:val="center"/>
          </w:tcPr>
          <w:p w14:paraId="049DE2C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工程监理</w:t>
            </w:r>
          </w:p>
        </w:tc>
        <w:tc>
          <w:tcPr>
            <w:tcW w:w="2194" w:type="dxa"/>
            <w:vAlign w:val="center"/>
          </w:tcPr>
          <w:p w14:paraId="2167FBE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工程监理</w:t>
            </w:r>
          </w:p>
        </w:tc>
        <w:tc>
          <w:tcPr>
            <w:tcW w:w="3639" w:type="dxa"/>
            <w:vAlign w:val="center"/>
          </w:tcPr>
          <w:p w14:paraId="5FF18402">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本包建设监理由工程监理包执行</w:t>
            </w:r>
          </w:p>
        </w:tc>
      </w:tr>
      <w:tr w14:paraId="2E1D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3745B05F">
            <w:pPr>
              <w:jc w:val="center"/>
              <w:rPr>
                <w:rFonts w:ascii="Calibri" w:hAnsi="Calibri" w:cs="Times New Roman"/>
                <w:color w:val="auto"/>
                <w:highlight w:val="none"/>
              </w:rPr>
            </w:pPr>
            <w:r>
              <w:rPr>
                <w:rFonts w:hint="eastAsia" w:ascii="Times New Roman" w:hAnsi="Times New Roman" w:cs="Times New Roman"/>
                <w:color w:val="auto"/>
                <w:szCs w:val="22"/>
                <w:highlight w:val="none"/>
              </w:rPr>
              <w:t>25</w:t>
            </w:r>
          </w:p>
        </w:tc>
        <w:tc>
          <w:tcPr>
            <w:tcW w:w="2750" w:type="dxa"/>
            <w:vAlign w:val="center"/>
          </w:tcPr>
          <w:p w14:paraId="6F0C5E25">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安全等级保护测评</w:t>
            </w:r>
          </w:p>
        </w:tc>
        <w:tc>
          <w:tcPr>
            <w:tcW w:w="2194" w:type="dxa"/>
            <w:vAlign w:val="center"/>
          </w:tcPr>
          <w:p w14:paraId="3F2603E5">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安全等级保护测评费用</w:t>
            </w:r>
          </w:p>
        </w:tc>
        <w:tc>
          <w:tcPr>
            <w:tcW w:w="3639" w:type="dxa"/>
            <w:vAlign w:val="center"/>
          </w:tcPr>
          <w:p w14:paraId="4AA28636">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本包安全等级保护测评由安全等级保护测评包执行</w:t>
            </w:r>
          </w:p>
        </w:tc>
      </w:tr>
      <w:tr w14:paraId="6E73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66" w:type="dxa"/>
            <w:vAlign w:val="center"/>
          </w:tcPr>
          <w:p w14:paraId="7FEEE21C">
            <w:pPr>
              <w:jc w:val="center"/>
              <w:rPr>
                <w:rFonts w:ascii="Calibri" w:hAnsi="Calibri" w:cs="Times New Roman"/>
                <w:color w:val="auto"/>
                <w:highlight w:val="none"/>
              </w:rPr>
            </w:pPr>
            <w:r>
              <w:rPr>
                <w:rFonts w:hint="eastAsia" w:ascii="Times New Roman" w:hAnsi="Times New Roman" w:cs="Times New Roman"/>
                <w:color w:val="auto"/>
                <w:szCs w:val="22"/>
                <w:highlight w:val="none"/>
              </w:rPr>
              <w:t>26</w:t>
            </w:r>
          </w:p>
        </w:tc>
        <w:tc>
          <w:tcPr>
            <w:tcW w:w="2750" w:type="dxa"/>
            <w:vAlign w:val="center"/>
          </w:tcPr>
          <w:p w14:paraId="75626F73">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商用密码应用安全评估</w:t>
            </w:r>
          </w:p>
        </w:tc>
        <w:tc>
          <w:tcPr>
            <w:tcW w:w="2194" w:type="dxa"/>
            <w:vAlign w:val="center"/>
          </w:tcPr>
          <w:p w14:paraId="7D8051C5">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商用密码应用安全评估</w:t>
            </w:r>
          </w:p>
        </w:tc>
        <w:tc>
          <w:tcPr>
            <w:tcW w:w="3639" w:type="dxa"/>
            <w:vAlign w:val="center"/>
          </w:tcPr>
          <w:p w14:paraId="13C0F2F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本包商用密码应用安全评估由商用密码应用安全评估包执行</w:t>
            </w:r>
          </w:p>
        </w:tc>
      </w:tr>
      <w:tr w14:paraId="7989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66" w:type="dxa"/>
            <w:vAlign w:val="center"/>
          </w:tcPr>
          <w:p w14:paraId="4F4DCCD0">
            <w:pPr>
              <w:jc w:val="center"/>
              <w:rPr>
                <w:rFonts w:ascii="Calibri" w:hAnsi="Calibri" w:cs="Times New Roman"/>
                <w:color w:val="auto"/>
                <w:highlight w:val="none"/>
              </w:rPr>
            </w:pPr>
            <w:r>
              <w:rPr>
                <w:rFonts w:hint="eastAsia" w:ascii="Times New Roman" w:hAnsi="Times New Roman" w:cs="Times New Roman"/>
                <w:color w:val="auto"/>
                <w:szCs w:val="22"/>
                <w:highlight w:val="none"/>
              </w:rPr>
              <w:t>27</w:t>
            </w:r>
          </w:p>
        </w:tc>
        <w:tc>
          <w:tcPr>
            <w:tcW w:w="2750" w:type="dxa"/>
            <w:vAlign w:val="center"/>
          </w:tcPr>
          <w:p w14:paraId="6B1E9D35">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第三方软件测试</w:t>
            </w:r>
          </w:p>
        </w:tc>
        <w:tc>
          <w:tcPr>
            <w:tcW w:w="2194" w:type="dxa"/>
            <w:vAlign w:val="center"/>
          </w:tcPr>
          <w:p w14:paraId="5EB3932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第三方软件测试</w:t>
            </w:r>
          </w:p>
        </w:tc>
        <w:tc>
          <w:tcPr>
            <w:tcW w:w="3639" w:type="dxa"/>
            <w:vAlign w:val="center"/>
          </w:tcPr>
          <w:p w14:paraId="522166DB">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本包第三方软件测试由第三方软件测试包执行</w:t>
            </w:r>
          </w:p>
        </w:tc>
      </w:tr>
    </w:tbl>
    <w:p w14:paraId="066E11A0">
      <w:pPr>
        <w:keepNext/>
        <w:keepLines/>
        <w:spacing w:line="416" w:lineRule="auto"/>
        <w:outlineLvl w:val="3"/>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（三）详细技术要求</w:t>
      </w:r>
    </w:p>
    <w:p w14:paraId="7F637349">
      <w:pPr>
        <w:spacing w:line="460" w:lineRule="exact"/>
        <w:ind w:firstLine="420" w:firstLineChars="200"/>
        <w:rPr>
          <w:color w:val="auto"/>
          <w:szCs w:val="21"/>
          <w:highlight w:val="none"/>
          <w:lang w:val="zh-CN"/>
        </w:rPr>
      </w:pPr>
      <w:r>
        <w:rPr>
          <w:rFonts w:hint="eastAsia"/>
          <w:color w:val="auto"/>
          <w:szCs w:val="21"/>
          <w:highlight w:val="none"/>
          <w:lang w:val="zh-CN"/>
        </w:rPr>
        <w:t>具体要求详见本采购需求附件。</w:t>
      </w:r>
    </w:p>
    <w:p w14:paraId="42945BCF">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四、系统集成要求</w:t>
      </w:r>
    </w:p>
    <w:p w14:paraId="221D2371">
      <w:pPr>
        <w:spacing w:line="460" w:lineRule="exact"/>
        <w:ind w:firstLine="420" w:firstLineChars="200"/>
        <w:rPr>
          <w:rFonts w:cs="Arial"/>
          <w:color w:val="auto"/>
          <w:szCs w:val="21"/>
          <w:highlight w:val="none"/>
        </w:rPr>
      </w:pPr>
      <w:r>
        <w:rPr>
          <w:rFonts w:hint="eastAsia" w:cs="Arial"/>
          <w:color w:val="auto"/>
          <w:szCs w:val="21"/>
          <w:highlight w:val="none"/>
        </w:rPr>
        <w:t>为确保本项目与河南省公路交通基础设施数字化转型升级工程数据中心以外的其他项目以及河南省交通运通厅其他业务系统之间的集成，系统集成需满足以下要求：</w:t>
      </w:r>
    </w:p>
    <w:p w14:paraId="165290C7">
      <w:pPr>
        <w:spacing w:line="460" w:lineRule="exact"/>
        <w:ind w:firstLine="420" w:firstLineChars="200"/>
        <w:rPr>
          <w:rFonts w:cs="Arial"/>
          <w:color w:val="auto"/>
          <w:szCs w:val="21"/>
          <w:highlight w:val="none"/>
        </w:rPr>
      </w:pPr>
      <w:r>
        <w:rPr>
          <w:rFonts w:hint="eastAsia" w:cs="Arial"/>
          <w:color w:val="auto"/>
          <w:szCs w:val="21"/>
          <w:highlight w:val="none"/>
        </w:rPr>
        <w:t>包括但不限于以下内容：</w:t>
      </w:r>
    </w:p>
    <w:p w14:paraId="1FDCD0D6">
      <w:pPr>
        <w:spacing w:line="460" w:lineRule="exact"/>
        <w:ind w:firstLine="420" w:firstLineChars="200"/>
        <w:rPr>
          <w:rFonts w:cs="Arial"/>
          <w:color w:val="auto"/>
          <w:szCs w:val="21"/>
          <w:highlight w:val="none"/>
        </w:rPr>
      </w:pPr>
      <w:r>
        <w:rPr>
          <w:rFonts w:hint="eastAsia" w:cs="Arial"/>
          <w:color w:val="auto"/>
          <w:szCs w:val="21"/>
          <w:highlight w:val="none"/>
        </w:rPr>
        <w:t>1.实现与已建或在建系统平台的软件集成、数据对接。</w:t>
      </w:r>
    </w:p>
    <w:p w14:paraId="72090AD6">
      <w:pPr>
        <w:spacing w:line="460" w:lineRule="exact"/>
        <w:ind w:firstLine="420" w:firstLineChars="200"/>
        <w:rPr>
          <w:rFonts w:cs="Arial"/>
          <w:color w:val="auto"/>
          <w:szCs w:val="21"/>
          <w:highlight w:val="none"/>
        </w:rPr>
      </w:pPr>
      <w:r>
        <w:rPr>
          <w:rFonts w:hint="eastAsia" w:cs="Arial"/>
          <w:color w:val="auto"/>
          <w:szCs w:val="21"/>
          <w:highlight w:val="none"/>
        </w:rPr>
        <w:t>2.实现与河南省公路水路基础设施数字化转型其他建设任务的软硬件集成、数据对接。</w:t>
      </w:r>
    </w:p>
    <w:p w14:paraId="2C145EC4">
      <w:pPr>
        <w:spacing w:line="460" w:lineRule="exact"/>
        <w:ind w:firstLine="420" w:firstLineChars="200"/>
        <w:rPr>
          <w:rFonts w:cs="Arial"/>
          <w:color w:val="auto"/>
          <w:szCs w:val="21"/>
          <w:highlight w:val="none"/>
        </w:rPr>
      </w:pPr>
      <w:r>
        <w:rPr>
          <w:rFonts w:hint="eastAsia" w:cs="Arial"/>
          <w:color w:val="auto"/>
          <w:szCs w:val="21"/>
          <w:highlight w:val="none"/>
        </w:rPr>
        <w:t>3.按照运行监测预警服务包建立的智慧交通服务门户完成功能集成，确保系统间的一致性与协同性。</w:t>
      </w:r>
    </w:p>
    <w:p w14:paraId="52F34060">
      <w:pPr>
        <w:spacing w:line="460" w:lineRule="exact"/>
        <w:ind w:firstLine="420" w:firstLineChars="200"/>
        <w:rPr>
          <w:rFonts w:ascii="Calibri" w:hAnsi="Calibri" w:cs="Times New Roman"/>
          <w:color w:val="auto"/>
          <w:szCs w:val="22"/>
          <w:highlight w:val="none"/>
        </w:rPr>
      </w:pPr>
      <w:r>
        <w:rPr>
          <w:rFonts w:hint="eastAsia" w:cs="Arial"/>
          <w:color w:val="auto"/>
          <w:szCs w:val="21"/>
          <w:highlight w:val="none"/>
        </w:rPr>
        <w:t>4.按照运行监测预警服务包的要求，完成移动应用APP功能集成。</w:t>
      </w:r>
    </w:p>
    <w:p w14:paraId="44DC75A6">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五、系统部署要求</w:t>
      </w:r>
    </w:p>
    <w:p w14:paraId="29B62633">
      <w:pPr>
        <w:adjustRightInd w:val="0"/>
        <w:snapToGrid w:val="0"/>
        <w:spacing w:after="120" w:afterLines="50" w:line="460" w:lineRule="exact"/>
        <w:ind w:firstLine="420" w:firstLineChars="200"/>
        <w:rPr>
          <w:rFonts w:cs="Arial"/>
          <w:color w:val="auto"/>
          <w:szCs w:val="21"/>
          <w:highlight w:val="none"/>
        </w:rPr>
      </w:pPr>
      <w:r>
        <w:rPr>
          <w:rFonts w:hint="eastAsia" w:cs="Arial"/>
          <w:color w:val="auto"/>
          <w:szCs w:val="21"/>
          <w:highlight w:val="none"/>
        </w:rPr>
        <w:t>为确保本项目所建设系统的顺利运行，需满足以下要求：</w:t>
      </w:r>
    </w:p>
    <w:p w14:paraId="52945EC6">
      <w:pPr>
        <w:adjustRightInd w:val="0"/>
        <w:snapToGrid w:val="0"/>
        <w:spacing w:after="120" w:afterLines="50" w:line="460" w:lineRule="exact"/>
        <w:ind w:firstLine="420" w:firstLineChars="200"/>
        <w:rPr>
          <w:rFonts w:cs="Arial"/>
          <w:color w:val="auto"/>
          <w:szCs w:val="21"/>
          <w:highlight w:val="none"/>
        </w:rPr>
      </w:pPr>
      <w:r>
        <w:rPr>
          <w:rFonts w:hint="eastAsia" w:cs="Arial"/>
          <w:color w:val="auto"/>
          <w:szCs w:val="21"/>
          <w:highlight w:val="none"/>
        </w:rPr>
        <w:t>1.在系统开发和测试阶段，中标人自行搭建能完全满足本项目需求的软硬件环境。</w:t>
      </w:r>
    </w:p>
    <w:p w14:paraId="7496FD0C">
      <w:pPr>
        <w:adjustRightInd w:val="0"/>
        <w:snapToGrid w:val="0"/>
        <w:spacing w:after="120" w:afterLines="50" w:line="460" w:lineRule="exact"/>
        <w:ind w:firstLine="420" w:firstLineChars="200"/>
        <w:rPr>
          <w:rFonts w:cs="Arial"/>
          <w:color w:val="auto"/>
          <w:szCs w:val="21"/>
          <w:highlight w:val="none"/>
        </w:rPr>
      </w:pPr>
      <w:r>
        <w:rPr>
          <w:rFonts w:hint="eastAsia" w:cs="Arial"/>
          <w:color w:val="auto"/>
          <w:szCs w:val="21"/>
          <w:highlight w:val="none"/>
        </w:rPr>
        <w:t>2.部署要求：中标人应利用数字底座的代码通用管理系统对所有定制开发的软件源代码和系统运行必要的第三方插件包进行统一管理，实现源代码及文档托管、源代码自动编译、统一部署集成，并接受代码通用管理系统的权限控制、代码审计和部署监控。中标人在交工验收前应按照采购人要求编制系统部署方案，并在后续迭代过程中持续完善。</w:t>
      </w:r>
    </w:p>
    <w:p w14:paraId="53F120D3">
      <w:pPr>
        <w:adjustRightInd w:val="0"/>
        <w:snapToGrid w:val="0"/>
        <w:spacing w:after="120" w:afterLines="50" w:line="460" w:lineRule="exact"/>
        <w:ind w:firstLine="420" w:firstLineChars="200"/>
        <w:rPr>
          <w:rFonts w:cs="Arial"/>
          <w:color w:val="auto"/>
          <w:szCs w:val="21"/>
          <w:highlight w:val="none"/>
        </w:rPr>
      </w:pPr>
      <w:r>
        <w:rPr>
          <w:rFonts w:hint="eastAsia" w:cs="Arial"/>
          <w:color w:val="auto"/>
          <w:szCs w:val="21"/>
          <w:highlight w:val="none"/>
        </w:rPr>
        <w:t>3.应用系统集成要求：中标人应利用本项目智慧交通服务门户、统一权限管理、统一部署集成，按照智慧交通服务门户统一权限管理、统一门户集成要求，开发对接统一门户的接口、页面等工作，须最终实现按照专题划分集成各应用系统。</w:t>
      </w:r>
    </w:p>
    <w:p w14:paraId="1F47B546">
      <w:pPr>
        <w:adjustRightInd w:val="0"/>
        <w:snapToGrid w:val="0"/>
        <w:spacing w:after="120" w:afterLines="50" w:line="360" w:lineRule="auto"/>
        <w:ind w:firstLine="420" w:firstLineChars="200"/>
        <w:rPr>
          <w:rFonts w:ascii="黑体" w:hAnsi="黑体" w:eastAsia="黑体" w:cs="Times New Roman"/>
          <w:color w:val="auto"/>
          <w:sz w:val="24"/>
          <w:highlight w:val="none"/>
        </w:rPr>
      </w:pPr>
      <w:r>
        <w:rPr>
          <w:rFonts w:hint="eastAsia" w:cs="Arial"/>
          <w:color w:val="auto"/>
          <w:szCs w:val="21"/>
          <w:highlight w:val="none"/>
        </w:rPr>
        <w:t>4.应用系统部署要求：中标人应利用本项目数据中台、业务中台、AI中台、云平台开展应用系统的部署、调试工作。中标人应将需要纳入中台的软件模块、算法等部署至中台，由中台统一管理。</w:t>
      </w:r>
    </w:p>
    <w:p w14:paraId="5A88C865">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六、培训要求</w:t>
      </w:r>
    </w:p>
    <w:p w14:paraId="2FFDE633">
      <w:pPr>
        <w:spacing w:line="360" w:lineRule="auto"/>
        <w:ind w:firstLine="422" w:firstLineChars="200"/>
        <w:rPr>
          <w:rFonts w:ascii="Times New Roman" w:hAnsi="Times New Roman" w:cs="Times New Roman"/>
          <w:color w:val="auto"/>
          <w:szCs w:val="21"/>
          <w:highlight w:val="none"/>
        </w:rPr>
      </w:pPr>
      <w:r>
        <w:rPr>
          <w:rFonts w:hint="eastAsia" w:ascii="Times New Roman" w:hAnsi="Times New Roman" w:cs="Times New Roman"/>
          <w:b/>
          <w:color w:val="auto"/>
          <w:szCs w:val="21"/>
          <w:highlight w:val="none"/>
        </w:rPr>
        <w:t>1.培训要求</w:t>
      </w:r>
      <w:r>
        <w:rPr>
          <w:rFonts w:hint="eastAsia" w:ascii="Times New Roman" w:hAnsi="Times New Roman" w:cs="Times New Roman"/>
          <w:color w:val="auto"/>
          <w:szCs w:val="21"/>
          <w:highlight w:val="none"/>
        </w:rPr>
        <w:t>：中标人应组建专门的培训团队，并明确分工职责。中标人应及时对采购人（含相关用户单位）的相关人员开展多批次、多层次、多种形式的培训和应用指导。具体要求如下：</w:t>
      </w:r>
    </w:p>
    <w:p w14:paraId="0BB49ABE">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（1）中标人应保证提供有经验且熟悉并全程跟踪本项目的培训人员。</w:t>
      </w:r>
    </w:p>
    <w:p w14:paraId="7C385171">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（2）培训包括但不限于使用培训、系统维护管理培训等。</w:t>
      </w:r>
    </w:p>
    <w:p w14:paraId="7A4AE6BA">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（3）中标人应根据采购人要求提供灵活多样的培训。</w:t>
      </w:r>
    </w:p>
    <w:p w14:paraId="5DC59972">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（4）中标人应提供培训方案、培训计划、培训教材等，经监理单位审核后报采购人批准方可执行。</w:t>
      </w:r>
    </w:p>
    <w:p w14:paraId="59774331">
      <w:pPr>
        <w:spacing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2.培训目标</w:t>
      </w:r>
    </w:p>
    <w:p w14:paraId="4F26C66E">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经过培训，</w:t>
      </w:r>
      <w:r>
        <w:rPr>
          <w:rFonts w:hint="eastAsia" w:ascii="Times New Roman" w:hAnsi="Times New Roman" w:cs="Times New Roman"/>
          <w:b/>
          <w:color w:val="auto"/>
          <w:szCs w:val="21"/>
          <w:highlight w:val="none"/>
        </w:rPr>
        <w:t>采购人及相关用户单位人员</w:t>
      </w:r>
      <w:r>
        <w:rPr>
          <w:rFonts w:hint="eastAsia" w:ascii="Times New Roman" w:hAnsi="Times New Roman" w:cs="Times New Roman"/>
          <w:color w:val="auto"/>
          <w:szCs w:val="21"/>
          <w:highlight w:val="none"/>
        </w:rPr>
        <w:t>掌握软件系统原理和安装、调试、操作、使用、维护等有关知识；</w:t>
      </w:r>
      <w:r>
        <w:rPr>
          <w:rFonts w:hint="eastAsia" w:ascii="Times New Roman" w:hAnsi="Times New Roman" w:cs="Times New Roman"/>
          <w:b/>
          <w:color w:val="auto"/>
          <w:szCs w:val="21"/>
          <w:highlight w:val="none"/>
        </w:rPr>
        <w:t>系统管理员</w:t>
      </w:r>
      <w:r>
        <w:rPr>
          <w:rFonts w:hint="eastAsia" w:ascii="Times New Roman" w:hAnsi="Times New Roman" w:cs="Times New Roman"/>
          <w:color w:val="auto"/>
          <w:szCs w:val="21"/>
          <w:highlight w:val="none"/>
        </w:rPr>
        <w:t>能够独立完成软件的管理、故障恢复、应急处理等，能够在软件崩溃后完成恢复操作，能够进行数据库备份及恢复操作，能够独立处理常见突发事件及操作员提出的常见操作问题；</w:t>
      </w:r>
      <w:r>
        <w:rPr>
          <w:rFonts w:hint="eastAsia" w:ascii="Times New Roman" w:hAnsi="Times New Roman" w:cs="Times New Roman"/>
          <w:b/>
          <w:color w:val="auto"/>
          <w:szCs w:val="21"/>
          <w:highlight w:val="none"/>
        </w:rPr>
        <w:t>操作人员</w:t>
      </w:r>
      <w:r>
        <w:rPr>
          <w:rFonts w:hint="eastAsia" w:ascii="Times New Roman" w:hAnsi="Times New Roman" w:cs="Times New Roman"/>
          <w:color w:val="auto"/>
          <w:szCs w:val="21"/>
          <w:highlight w:val="none"/>
        </w:rPr>
        <w:t>能掌握计算机基本知识，熟悉软件流程，独立使用软件处理日常业务。</w:t>
      </w:r>
    </w:p>
    <w:p w14:paraId="3CCBD913">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七、应用推广要求</w:t>
      </w:r>
    </w:p>
    <w:p w14:paraId="6FA67D99">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为了使本项目具有良好的应用推广效果，实现应用系统的建设目标，中标人需：</w:t>
      </w:r>
    </w:p>
    <w:p w14:paraId="48681A9A">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1.按照采购人及相关用户单位要求编制系统推广应用相关的配套制度，配合采购人及相关用户单位开展应用效果考核等工作。</w:t>
      </w:r>
    </w:p>
    <w:p w14:paraId="59C56631">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2.按照采购人及相关用户单位要求做好充分的培训，并根据需要到相关系统应用现场进行指导。</w:t>
      </w:r>
    </w:p>
    <w:p w14:paraId="1D9E7DFD">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3.系统质保期（免费维护期）内，中标人应在相关系统应用范围内深入推广应用，并采取多种方式指导各级各类用户操作使用，及时解决系统应用过程中出现的各种问题。</w:t>
      </w:r>
    </w:p>
    <w:bookmarkEnd w:id="89"/>
    <w:p w14:paraId="387048D1">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八、项目进度要求</w:t>
      </w:r>
    </w:p>
    <w:p w14:paraId="2D896888">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合同签订之日起6个月内中标人应当完成电子航道图生产及系统部署，14个月内中标人应当完成其他系统开发，完成软件系统及接口开发、完成软硬件设备的到货验收、数据资源相关建设，完成系统测试、软硬件部署。由中标人组织交工验收，由采购人同意后，相关系统进入系统联调。</w:t>
      </w:r>
    </w:p>
    <w:p w14:paraId="0D87CA8F">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2.系统联调满3个月，由采购人组织项目初步验收。初步验收通过后进入试运行，试运行不少于3个月，试运行后采购人组织竣工验收。</w:t>
      </w:r>
    </w:p>
    <w:p w14:paraId="47A2A118">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3.实施总时间：不超过22个月（从合同生效之日起至竣工验收合格）。</w:t>
      </w:r>
    </w:p>
    <w:p w14:paraId="093005B6">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硬件质保期：自项目竣工验收合格之日起开始计算，本项目硬件设备三年免费原厂质保。针对本项目提供7*24免费售后技术支持服务（包括但不限于设备更换、部件更换、固件版本升级、规则库升级、病毒库升级、特征库升级、漏洞库升级、故障排除、性能调优、技术咨询等）。</w:t>
      </w:r>
    </w:p>
    <w:p w14:paraId="670ABC2C">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软件运维期：自项目竣工验收合格之日起开始计算，成品软件免费运维三年；其他免费运维一年。针对本项目提供7*24免费售后技术支持服务（包括但不限于版本升级、漏洞修复、故障排除、性能调优、技术咨询等）。</w:t>
      </w:r>
    </w:p>
    <w:p w14:paraId="3280E2F2">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九、组织机构要求</w:t>
      </w:r>
    </w:p>
    <w:p w14:paraId="1CE1B2F3">
      <w:pPr>
        <w:adjustRightInd w:val="0"/>
        <w:snapToGrid w:val="0"/>
        <w:spacing w:after="120" w:afterLines="50" w:line="360" w:lineRule="auto"/>
        <w:ind w:firstLine="422" w:firstLineChars="200"/>
        <w:rPr>
          <w:rFonts w:cs="Times New Roman"/>
          <w:b/>
          <w:color w:val="auto"/>
          <w:szCs w:val="21"/>
          <w:highlight w:val="none"/>
        </w:rPr>
      </w:pPr>
      <w:r>
        <w:rPr>
          <w:rFonts w:hint="eastAsia" w:cs="Times New Roman"/>
          <w:b/>
          <w:color w:val="auto"/>
          <w:szCs w:val="21"/>
          <w:highlight w:val="none"/>
        </w:rPr>
        <w:t>1.项目实施团队人员</w:t>
      </w:r>
    </w:p>
    <w:p w14:paraId="5A7CC791">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（1）投标人应指派项目负责人1名，负责整体项目实施全过程管理和控制各项工作。</w:t>
      </w:r>
    </w:p>
    <w:p w14:paraId="0F791749">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（2）投标人应指派技术负责人1名，负责项目整体项目实施全过程技术把关。</w:t>
      </w:r>
    </w:p>
    <w:p w14:paraId="79ED45D1">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（3）投标人应指派不少于</w:t>
      </w:r>
      <w:r>
        <w:rPr>
          <w:rFonts w:cs="Times New Roman"/>
          <w:color w:val="auto"/>
          <w:szCs w:val="21"/>
          <w:highlight w:val="none"/>
        </w:rPr>
        <w:t>30</w:t>
      </w:r>
      <w:r>
        <w:rPr>
          <w:rFonts w:hint="eastAsia" w:cs="Times New Roman"/>
          <w:color w:val="auto"/>
          <w:szCs w:val="21"/>
          <w:highlight w:val="none"/>
        </w:rPr>
        <w:t>人的项目团队，其中测绘外业数据采集不少于</w:t>
      </w:r>
      <w:r>
        <w:rPr>
          <w:rFonts w:cs="Times New Roman"/>
          <w:color w:val="auto"/>
          <w:szCs w:val="21"/>
          <w:highlight w:val="none"/>
        </w:rPr>
        <w:t>6人、测绘内业数据处理和电子航道图制图</w:t>
      </w:r>
      <w:r>
        <w:rPr>
          <w:rFonts w:hint="eastAsia" w:cs="Times New Roman"/>
          <w:color w:val="auto"/>
          <w:szCs w:val="21"/>
          <w:highlight w:val="none"/>
        </w:rPr>
        <w:t>不少于</w:t>
      </w:r>
      <w:r>
        <w:rPr>
          <w:rFonts w:cs="Times New Roman"/>
          <w:color w:val="auto"/>
          <w:szCs w:val="21"/>
          <w:highlight w:val="none"/>
        </w:rPr>
        <w:t>8人，软件开发</w:t>
      </w:r>
      <w:r>
        <w:rPr>
          <w:rFonts w:hint="eastAsia" w:cs="Times New Roman"/>
          <w:color w:val="auto"/>
          <w:szCs w:val="21"/>
          <w:highlight w:val="none"/>
        </w:rPr>
        <w:t>不少于</w:t>
      </w:r>
      <w:r>
        <w:rPr>
          <w:rFonts w:cs="Times New Roman"/>
          <w:color w:val="auto"/>
          <w:szCs w:val="21"/>
          <w:highlight w:val="none"/>
        </w:rPr>
        <w:t>16人</w:t>
      </w:r>
      <w:r>
        <w:rPr>
          <w:rFonts w:hint="eastAsia" w:cs="Times New Roman"/>
          <w:color w:val="auto"/>
          <w:szCs w:val="21"/>
          <w:highlight w:val="none"/>
        </w:rPr>
        <w:t>。</w:t>
      </w:r>
    </w:p>
    <w:p w14:paraId="04CE7219">
      <w:pPr>
        <w:adjustRightInd w:val="0"/>
        <w:snapToGrid w:val="0"/>
        <w:spacing w:after="120" w:afterLines="50" w:line="360" w:lineRule="auto"/>
        <w:ind w:firstLine="422" w:firstLineChars="200"/>
        <w:rPr>
          <w:rFonts w:cs="Times New Roman"/>
          <w:b/>
          <w:color w:val="auto"/>
          <w:szCs w:val="21"/>
          <w:highlight w:val="none"/>
        </w:rPr>
      </w:pPr>
      <w:r>
        <w:rPr>
          <w:rFonts w:hint="eastAsia" w:cs="Times New Roman"/>
          <w:b/>
          <w:color w:val="auto"/>
          <w:szCs w:val="21"/>
          <w:highlight w:val="none"/>
        </w:rPr>
        <w:t>2.项目实施团队人员要求</w:t>
      </w:r>
    </w:p>
    <w:p w14:paraId="71CF1871">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投标人应提供</w:t>
      </w:r>
      <w:r>
        <w:rPr>
          <w:rFonts w:hint="eastAsia" w:cs="Times New Roman"/>
          <w:b/>
          <w:color w:val="auto"/>
          <w:szCs w:val="21"/>
          <w:highlight w:val="none"/>
        </w:rPr>
        <w:t>项目核心人员一览表</w:t>
      </w:r>
      <w:r>
        <w:rPr>
          <w:rFonts w:hint="eastAsia" w:cs="Times New Roman"/>
          <w:color w:val="auto"/>
          <w:szCs w:val="21"/>
          <w:highlight w:val="none"/>
        </w:rPr>
        <w:t>（至少包括姓名、学历、职称及执业资格、拟任职务、是否驻场）。</w:t>
      </w:r>
    </w:p>
    <w:p w14:paraId="192D63D0">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注：项目团队中的项目负责人、技术负责人、各团队负责人、团队内各分组负责人</w:t>
      </w:r>
      <w:r>
        <w:rPr>
          <w:rFonts w:hint="eastAsia" w:cs="Times New Roman"/>
          <w:b/>
          <w:color w:val="auto"/>
          <w:szCs w:val="21"/>
          <w:highlight w:val="none"/>
        </w:rPr>
        <w:t>均应列为核心人员</w:t>
      </w:r>
      <w:r>
        <w:rPr>
          <w:rFonts w:hint="eastAsia" w:cs="Times New Roman"/>
          <w:color w:val="auto"/>
          <w:szCs w:val="21"/>
          <w:highlight w:val="none"/>
        </w:rPr>
        <w:t>。</w:t>
      </w:r>
    </w:p>
    <w:p w14:paraId="79F2CE95">
      <w:pPr>
        <w:adjustRightInd w:val="0"/>
        <w:snapToGrid w:val="0"/>
        <w:spacing w:after="120" w:afterLines="50" w:line="360" w:lineRule="auto"/>
        <w:ind w:firstLine="422" w:firstLineChars="200"/>
        <w:rPr>
          <w:rFonts w:cs="Times New Roman"/>
          <w:b/>
          <w:color w:val="auto"/>
          <w:szCs w:val="21"/>
          <w:highlight w:val="none"/>
        </w:rPr>
      </w:pPr>
      <w:r>
        <w:rPr>
          <w:rFonts w:hint="eastAsia" w:cs="Times New Roman"/>
          <w:b/>
          <w:color w:val="auto"/>
          <w:szCs w:val="21"/>
          <w:highlight w:val="none"/>
        </w:rPr>
        <w:t>3.项目驻场要求</w:t>
      </w:r>
    </w:p>
    <w:p w14:paraId="7F78F21E">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为保障项目建设实施过程的高效沟通与衔接，确保项目建设任务高质量如期完成，项目上线试运行前需提供现场服务（地点应在省交通运输厅10公里以内，由中标人自行选择并承担相关费用），现场服务人员不少于</w:t>
      </w:r>
      <w:r>
        <w:rPr>
          <w:rFonts w:cs="Times New Roman"/>
          <w:color w:val="auto"/>
          <w:szCs w:val="21"/>
          <w:highlight w:val="none"/>
        </w:rPr>
        <w:t>15</w:t>
      </w:r>
      <w:r>
        <w:rPr>
          <w:rFonts w:hint="eastAsia" w:cs="Times New Roman"/>
          <w:color w:val="auto"/>
          <w:szCs w:val="21"/>
          <w:highlight w:val="none"/>
        </w:rPr>
        <w:t>人（除测绘外业数据采集人员外，核心人员均应驻场），且该驻地包括至少可容纳30人办公的办公场所或1间不少于30人位的会议场所，用于召开例会、调度会、关键节点审查会及各类协调会议等，项目负责人、项目技术负责人、各分组负责人在项目交工验收合格前应全程在项目驻地办公（国家法定节假日除外），其他人员在项目驻地办公要求由采购人根据项目进展及项目建设实际需要确定。</w:t>
      </w:r>
    </w:p>
    <w:p w14:paraId="67AF40BA">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项目初步验收合格后，质保期（免费维护期）结束前，中标人应根据采购人要求至少安排</w:t>
      </w:r>
      <w:r>
        <w:rPr>
          <w:rFonts w:cs="Times New Roman"/>
          <w:color w:val="auto"/>
          <w:szCs w:val="21"/>
          <w:highlight w:val="none"/>
        </w:rPr>
        <w:t>3</w:t>
      </w:r>
      <w:r>
        <w:rPr>
          <w:rFonts w:hint="eastAsia" w:cs="Times New Roman"/>
          <w:color w:val="auto"/>
          <w:szCs w:val="21"/>
          <w:highlight w:val="none"/>
        </w:rPr>
        <w:t>人提供驻场服务（驻场人员须为项目核心人员，驻场场地由中标人自行提供并承担一切费用，不少于</w:t>
      </w:r>
      <w:r>
        <w:rPr>
          <w:rFonts w:cs="Times New Roman"/>
          <w:color w:val="auto"/>
          <w:szCs w:val="21"/>
          <w:highlight w:val="none"/>
        </w:rPr>
        <w:t>3</w:t>
      </w:r>
      <w:r>
        <w:rPr>
          <w:rFonts w:hint="eastAsia" w:cs="Times New Roman"/>
          <w:color w:val="auto"/>
          <w:szCs w:val="21"/>
          <w:highlight w:val="none"/>
        </w:rPr>
        <w:t>个工位，提供系统运行和使用技术支持，确保系统稳定运行及项目建设目标有效实现。同时，采购人应根据项目运维工作实际需要，安排部分运维人员在相关用户单位提供的其他场地驻场运维。</w:t>
      </w:r>
    </w:p>
    <w:p w14:paraId="61408995">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驻场人员工作时间与采购人一致。</w:t>
      </w:r>
    </w:p>
    <w:p w14:paraId="49FAA425">
      <w:pPr>
        <w:adjustRightInd w:val="0"/>
        <w:snapToGrid w:val="0"/>
        <w:spacing w:after="120" w:afterLines="50" w:line="360" w:lineRule="auto"/>
        <w:ind w:firstLine="422" w:firstLineChars="200"/>
        <w:rPr>
          <w:rFonts w:cs="Times New Roman"/>
          <w:b/>
          <w:color w:val="auto"/>
          <w:szCs w:val="21"/>
          <w:highlight w:val="none"/>
        </w:rPr>
      </w:pPr>
      <w:r>
        <w:rPr>
          <w:rFonts w:hint="eastAsia" w:cs="Times New Roman"/>
          <w:b/>
          <w:color w:val="auto"/>
          <w:szCs w:val="21"/>
          <w:highlight w:val="none"/>
        </w:rPr>
        <w:t>4.团队管理要求</w:t>
      </w:r>
    </w:p>
    <w:p w14:paraId="378665CA">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（1）中标人为本项目组成的团队人员及资质应与投标文件保持一致。如果在合同履行过程中采购人发现有团队成员不符合招标文件规定的，中标人应无条件更换为符合招标文件规定的人员。</w:t>
      </w:r>
    </w:p>
    <w:p w14:paraId="1FAB8808">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（2）本项目交工验收前，中标人原则上不得变更项目团队人员。中标人更换项目团队成员的，采购人将按照如下方式处理：</w:t>
      </w:r>
    </w:p>
    <w:p w14:paraId="62128ABA">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①中标人非因意外情况及不可抗力事件导致而变更项目核心人员的，须经采购人书面同意，采购人从合同总金额中扣除人民币拾万元（100000元）/人次的违约金；中标人未经采购人书面同意擅自更换核心人员的，采购人从合同总金额中扣除人民币贰拾万元（200000元）/人次的违约金，给采购人造成损失的，中标人还须全额赔偿采购人损失。</w:t>
      </w:r>
    </w:p>
    <w:p w14:paraId="184E347A">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②中标人变更项目团队其它人员的，须经采购人书面同意；中标人未经采购人书面同意擅自更换的，采购人从合同总金额中扣除人民币捌万元（80000元）/人次的违约金，给采购人造成损失的，中标人还须全额赔偿采购人损失。</w:t>
      </w:r>
    </w:p>
    <w:p w14:paraId="6395B1D8">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（3）中标人项目组应建立项目调度制度，定期举行工地例会，汇报项目计划执行情况和解决项目执行过程中存在的困难和问题。</w:t>
      </w:r>
    </w:p>
    <w:p w14:paraId="39EB6B77">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（4）日常考勤及处理：</w:t>
      </w:r>
    </w:p>
    <w:p w14:paraId="0D1AEBFD">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①采购人委托监理单位负责对中标人驻场项目组成员进行日常考勤，及时向采购人项目联系人报告，考勤情况须写入监理周报。</w:t>
      </w:r>
    </w:p>
    <w:p w14:paraId="240FB2A8">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②中标人驻场项目组成员请假半天及半天以上须履行请假手续，否则以旷工论处。</w:t>
      </w:r>
    </w:p>
    <w:p w14:paraId="5C82F71E">
      <w:pPr>
        <w:spacing w:line="360" w:lineRule="auto"/>
        <w:ind w:firstLine="420" w:firstLineChars="200"/>
        <w:rPr>
          <w:rFonts w:cs="Times New Roman"/>
          <w:color w:val="auto"/>
          <w:szCs w:val="21"/>
          <w:highlight w:val="none"/>
        </w:rPr>
      </w:pPr>
      <w:r>
        <w:rPr>
          <w:rFonts w:hint="eastAsia" w:cs="Times New Roman"/>
          <w:color w:val="auto"/>
          <w:szCs w:val="21"/>
          <w:highlight w:val="none"/>
        </w:rPr>
        <w:t>③中标人驻场项目组成员旷工的，采购人从合同总金额中扣除人民币壹仟元（1000元）/人次的违约金。同一人累计旷工超过3次的（含3次），采购人要求中标人以同等或更高资历条件的人员替换该旷工人员。</w:t>
      </w:r>
    </w:p>
    <w:p w14:paraId="395C7883">
      <w:pPr>
        <w:adjustRightInd w:val="0"/>
        <w:snapToGrid w:val="0"/>
        <w:spacing w:after="120" w:afterLines="50" w:line="360" w:lineRule="auto"/>
        <w:ind w:firstLine="422" w:firstLineChars="200"/>
        <w:rPr>
          <w:rFonts w:cs="Times New Roman"/>
          <w:b/>
          <w:color w:val="auto"/>
          <w:szCs w:val="21"/>
          <w:highlight w:val="none"/>
        </w:rPr>
      </w:pPr>
      <w:r>
        <w:rPr>
          <w:rFonts w:hint="eastAsia" w:cs="Times New Roman"/>
          <w:b/>
          <w:color w:val="auto"/>
          <w:szCs w:val="21"/>
          <w:highlight w:val="none"/>
        </w:rPr>
        <w:t>5.数据采集要求</w:t>
      </w:r>
    </w:p>
    <w:p w14:paraId="5C2EBADF">
      <w:pPr>
        <w:adjustRightInd w:val="0"/>
        <w:snapToGrid w:val="0"/>
        <w:spacing w:after="120" w:afterLines="50" w:line="360" w:lineRule="auto"/>
        <w:ind w:firstLine="420" w:firstLineChars="200"/>
        <w:rPr>
          <w:rFonts w:cs="Times New Roman"/>
          <w:bCs/>
          <w:color w:val="auto"/>
          <w:szCs w:val="21"/>
          <w:highlight w:val="none"/>
        </w:rPr>
      </w:pPr>
      <w:r>
        <w:rPr>
          <w:rFonts w:hint="eastAsia" w:cs="Times New Roman"/>
          <w:bCs/>
          <w:color w:val="auto"/>
          <w:szCs w:val="21"/>
          <w:highlight w:val="none"/>
        </w:rPr>
        <w:t>（1）作业人员必须持测绘作业证上岗，全程穿戴救生衣等防护装备，严禁酒后或疲劳作业。</w:t>
      </w:r>
    </w:p>
    <w:p w14:paraId="0DF84878">
      <w:pPr>
        <w:adjustRightInd w:val="0"/>
        <w:snapToGrid w:val="0"/>
        <w:spacing w:after="120" w:afterLines="50" w:line="360" w:lineRule="auto"/>
        <w:ind w:firstLine="420" w:firstLineChars="200"/>
        <w:rPr>
          <w:rFonts w:cs="Times New Roman"/>
          <w:bCs/>
          <w:color w:val="auto"/>
          <w:szCs w:val="21"/>
          <w:highlight w:val="none"/>
        </w:rPr>
      </w:pPr>
      <w:r>
        <w:rPr>
          <w:rFonts w:hint="eastAsia" w:cs="Times New Roman"/>
          <w:bCs/>
          <w:color w:val="auto"/>
          <w:szCs w:val="21"/>
          <w:highlight w:val="none"/>
        </w:rPr>
        <w:t>（2）严格遵守水上作业相关法规，作业中做好安全记录，杜绝违规操作，保障人员与设备安全。</w:t>
      </w:r>
    </w:p>
    <w:p w14:paraId="4D17D100">
      <w:pPr>
        <w:adjustRightInd w:val="0"/>
        <w:snapToGrid w:val="0"/>
        <w:spacing w:after="120" w:afterLines="50" w:line="360" w:lineRule="auto"/>
        <w:ind w:firstLine="420" w:firstLineChars="200"/>
        <w:rPr>
          <w:rFonts w:cs="Times New Roman"/>
          <w:bCs/>
          <w:color w:val="auto"/>
          <w:szCs w:val="21"/>
          <w:highlight w:val="none"/>
        </w:rPr>
      </w:pPr>
      <w:r>
        <w:rPr>
          <w:rFonts w:hint="eastAsia" w:cs="Times New Roman"/>
          <w:bCs/>
          <w:color w:val="auto"/>
          <w:szCs w:val="21"/>
          <w:highlight w:val="none"/>
        </w:rPr>
        <w:t>（3）实行多人协同作业，避免单人单独出工，明确应急联络机制。</w:t>
      </w:r>
    </w:p>
    <w:p w14:paraId="60EB6284">
      <w:pPr>
        <w:adjustRightInd w:val="0"/>
        <w:snapToGrid w:val="0"/>
        <w:spacing w:after="120" w:afterLines="50" w:line="360" w:lineRule="auto"/>
        <w:ind w:firstLine="420" w:firstLineChars="200"/>
        <w:rPr>
          <w:rFonts w:cs="Times New Roman"/>
          <w:bCs/>
          <w:color w:val="auto"/>
          <w:szCs w:val="21"/>
          <w:highlight w:val="none"/>
        </w:rPr>
      </w:pPr>
      <w:r>
        <w:rPr>
          <w:rFonts w:hint="eastAsia" w:cs="Times New Roman"/>
          <w:bCs/>
          <w:color w:val="auto"/>
          <w:szCs w:val="21"/>
          <w:highlight w:val="none"/>
        </w:rPr>
        <w:t>（4）提前核查船只、测量仪器等设备性能，确保通讯设备畅通。</w:t>
      </w:r>
    </w:p>
    <w:p w14:paraId="1606D19E">
      <w:pPr>
        <w:adjustRightInd w:val="0"/>
        <w:snapToGrid w:val="0"/>
        <w:spacing w:after="120" w:afterLines="50" w:line="360" w:lineRule="auto"/>
        <w:ind w:firstLine="420" w:firstLineChars="200"/>
        <w:rPr>
          <w:rFonts w:cs="Times New Roman"/>
          <w:bCs/>
          <w:color w:val="auto"/>
          <w:szCs w:val="21"/>
          <w:highlight w:val="none"/>
        </w:rPr>
      </w:pPr>
      <w:r>
        <w:rPr>
          <w:rFonts w:hint="eastAsia" w:cs="Times New Roman"/>
          <w:bCs/>
          <w:color w:val="auto"/>
          <w:szCs w:val="21"/>
          <w:highlight w:val="none"/>
        </w:rPr>
        <w:t>（5）作业前密切关注天气与水文预报，遇暴雨、大风等恶劣天气立即停工避险。</w:t>
      </w:r>
    </w:p>
    <w:p w14:paraId="7038F9F8">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十、质量保证及运维要求</w:t>
      </w:r>
    </w:p>
    <w:p w14:paraId="1424EED6">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1.中标人应保证系统的开发、实施及维护满足采购人需求，完全符合合同规定质量、技术和性能的要求。所有第三方技术或产品必须得到合法的使用授权。</w:t>
      </w:r>
    </w:p>
    <w:p w14:paraId="463ECDE5">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质保期（免费维护期）：质保期（免费维护期）从竣工验收合格之日起计算。质保期（免费维护期）内，中标人应当保证接到通知后10分钟内响应，30分钟内赶到现场提供服务。以上质保期（免费维护期）如涉及费用均包含在合同价中。在质保期（免费维护期）内，中标人应当免费为采购人提供上门系统维护服务，如有质量问题，中标人应予以免费更换、修改、维修。质保期（免费维护期）内中标人有义务向采购人免费提供软件系统的最新技术和软件升级版本，满足新的业务需求。</w:t>
      </w:r>
    </w:p>
    <w:p w14:paraId="6F3A510A">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3.在质保期（免费维护期）内，如发现系统有潜在设计缺陷或维护服务措施不当，采购人有权退货或向中标人索赔，或者要求中标人限期整改。</w:t>
      </w:r>
    </w:p>
    <w:p w14:paraId="141C8043">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4.中标人应保证按照招标文件要求实现采购人所有开发、实施、测试、培训、验收和维护工作。</w:t>
      </w:r>
    </w:p>
    <w:p w14:paraId="5AE3E36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5.中标人必须严格遵守《中华人民共和国产品质量法》，并完整地履行质保期（免费维护期）内的免费现场维修服务承诺。</w:t>
      </w:r>
    </w:p>
    <w:p w14:paraId="5E0FCDBD">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6.由于产品技术性能或服务响应不及时到位给采购人造成损失或不良影响的，中标人应赔偿采购人损失。</w:t>
      </w:r>
    </w:p>
    <w:p w14:paraId="05F2452B">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7.在质保期结束之后，采购人可要求中标人继续提供日常维护支持服务，并支付相应的维护服务费，中标人应提供优惠收费，具体由双方另行商定。</w:t>
      </w:r>
    </w:p>
    <w:p w14:paraId="4F470F4A">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十一、违约与赔偿责任</w:t>
      </w:r>
    </w:p>
    <w:p w14:paraId="19D662D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在本合同履行中，因出现在现有技术水平和条件下难以克服的技术困难，导致中标人开发失败或部分失败的，采购人有权单方解除合同，中标人应当赔偿由此给采购人造成的全部损失，中标人损失赔偿额不超过本合同的总金额。</w:t>
      </w:r>
    </w:p>
    <w:p w14:paraId="701194B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在本合同履行过程中，中标人若出现或凭其判断可能出现无法克服的技术困难，并可能致使开发失败或者部分失败的情形时，应当及时通知采购人并采取适当措施减少损失。没有及时通知并采取适当措施，采购人有权单方解除合同，给采购人造成损失的，中标人应当赔偿采购人的全部损失，中标人赔偿额不超过本合同的总金额。</w:t>
      </w:r>
    </w:p>
    <w:p w14:paraId="4126811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中标人未能履行本合同约定，安装未经双方确认的应用软件，必须主动迅速停用或更换软件，并承担停用及更换的费用，赔偿相关损失。如果中标人在采购人指定的日期前仍不更换软件，采购人有权单方解除合同，停止向中标人付款，中标人还应赔偿由此给采购人造成的全部损失。</w:t>
      </w:r>
    </w:p>
    <w:p w14:paraId="6F55A34A">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4.质保期（免费维护期）内，中标人未能履行本合同约定，不能按时完成软件的升级工作或未能按约提供维修或维护服务，中标人每次需按照合同总额的千分之三（3‰）支付违约金。</w:t>
      </w:r>
    </w:p>
    <w:p w14:paraId="712BB09F">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5.因中标人原因造成采购人数据丢失、泄露的，中标人应承担相应的赔偿及法律责任。</w:t>
      </w:r>
    </w:p>
    <w:p w14:paraId="76CEC372">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因中标人原因（包括但不限于系统功能未实现、性能不达标、数据错误、交付延迟等）导致河南省智慧交通服务云平台项目在2025年度、2026年度交通运输部组织的数字化转型升级绩效评价考核中扣分，造成河南省未获得全额中央财政资金补助的，按以下方式处理：</w:t>
      </w:r>
    </w:p>
    <w:p w14:paraId="3659677B">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中标人按“中标人原因扣分值/厅本级总扣分值×厅本级未获取资金金额”承担损失，中标人损失赔偿额不超过合同总金额，该金额直接从合同应付款项中扣除。中标人有异议的，可在采购人明确损失赔偿额后10个工作日内提出申辩，由采购人复核并出具最终认定意见。</w:t>
      </w:r>
    </w:p>
    <w:p w14:paraId="650C21E3">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7.中标人需遵守项目监理有关规范，如有违约，将按照该办法的相关要求进行处理。</w:t>
      </w:r>
    </w:p>
    <w:p w14:paraId="2A450E13">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8.合同履行过程中，如中标人出现违约行为，中标人同意采购人在应付款项中直接扣除相应违约金。中标人违约金的承担方式不影响发票开具，中标人向采购人开票金额仍以合同约定的应付款为准。</w:t>
      </w:r>
    </w:p>
    <w:p w14:paraId="37B83D9C">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9.本项目所称采购人的损失既包括直接损失，也包括期待利益等间接损失及可能发生的诉讼费、保全费、律师费等实现债权的费用。</w:t>
      </w:r>
    </w:p>
    <w:p w14:paraId="06FA75F9">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十二、保密要求</w:t>
      </w:r>
    </w:p>
    <w:p w14:paraId="7552973A">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中标人应按规定严格做好保密工作，未经采购人许可，在本合同有效期间及有效期结束后，中标人不得将合同执行过程中获悉的任何资料及数据擅自复印、修改，或向第三方透露、转让、提供版权或所有权，不得向任何第三方提供本项目信息系统的源程序，否则中标人应承担由此引起的法律后果及经济赔偿责任。</w:t>
      </w:r>
    </w:p>
    <w:p w14:paraId="3E4FFFDE">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十三、知识产权归属</w:t>
      </w:r>
    </w:p>
    <w:p w14:paraId="7514F34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中标人向采购人提交的河南省智慧交通服务云平台项目应用软件开发成果的知识产权，以及中标人为河南省智慧交通服务云平台项目应用软件开发之目的在开发过程中新形成的专利、计算机软件、技术诀窍、秘密信息、技术资料和文件的知识产权均归采购人单独所有（中标人在本合同签署之前已经拥有的知识产权和中标人按照本合同约定使用的第三方的知识产权除外）。</w:t>
      </w:r>
    </w:p>
    <w:p w14:paraId="2659F23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2.除非采购人书面同意，中标人不得以任何方式向第三方披露、转让和许可有关的技术成果、计算机软件、技术诀窍、秘密信息、技术资料、文件等。</w:t>
      </w:r>
    </w:p>
    <w:p w14:paraId="1A7F48AF">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3.除本项目开发工作需要之外，未得到采购人的书面许可，中标人不得以任何方式商业性地利用上述资料和技术。</w:t>
      </w:r>
    </w:p>
    <w:p w14:paraId="47C5A53A">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4.采购人委托中标人开发的本单位本项目产品升级后新产生的知识产权仍归采购人所有。</w:t>
      </w:r>
    </w:p>
    <w:p w14:paraId="12AF4F92">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5.双方确定，采购人有权使用中标人按照本合同约定提供的研究开发成果进行后续改进。由此产生的具有实质性或创造性技术进步特征的新的技术成果及其权利归属，由采购人享有。</w:t>
      </w:r>
    </w:p>
    <w:p w14:paraId="5EAFE6E2">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6.中标人利用研究开发经费所购置与研究开发工作有关的设备、器材、资料等财产，归采购人所有。</w:t>
      </w:r>
    </w:p>
    <w:p w14:paraId="483022D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中标人有权在完成本合同约定的研究开发工作后，利用该项研究开发成果（不包括软件系统中的用户信息和各类数据）进行后续改进。由此产生的具有实质性或创造性技术进步特征的新的技术成果，归中标人所有。</w:t>
      </w:r>
    </w:p>
    <w:p w14:paraId="541D0404">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8.双方完成本合同项目的主要研究人员享有在有关技术成果文件上写明技术成果完成者的权利和取得有关荣誉证书、奖励的权利。</w:t>
      </w:r>
    </w:p>
    <w:p w14:paraId="16AD8F03">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十四、验收要求</w:t>
      </w:r>
    </w:p>
    <w:p w14:paraId="13100FB8">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1.验收依据</w:t>
      </w:r>
    </w:p>
    <w:p w14:paraId="7662F4B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（1）国家、省有关法律、法规，以及国家、省关于信息系统建设的有关标准、规范、办法及文件等。</w:t>
      </w:r>
    </w:p>
    <w:p w14:paraId="17A43149">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（2）报交通运输部备案的《河南省“一轴一廊”交通基础设施数字化转型升级示范通道及网络实施方案》。</w:t>
      </w:r>
    </w:p>
    <w:p w14:paraId="11805ED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（3）经批准的项目可行性报告及其批复文件。</w:t>
      </w:r>
    </w:p>
    <w:p w14:paraId="2682BB7A">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（4）经批准的一阶段设计和投资概预算报告及批复文件。</w:t>
      </w:r>
    </w:p>
    <w:p w14:paraId="1E9CFB4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（5）项目招投标文件、合同文件、设计文件、施工图纸、设备和软件技术说明书以及项目结、决算有关资料。</w:t>
      </w:r>
    </w:p>
    <w:p w14:paraId="3D70322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（6）监理单位提供的有关验收规范。</w:t>
      </w:r>
    </w:p>
    <w:p w14:paraId="53936150">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2.验收组织</w:t>
      </w:r>
    </w:p>
    <w:p w14:paraId="538AA7A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中标人应配合监理单位做好验收收尾、资料准备等工作。项目验收工作由包括采购人上级主管部门、采购人、监理单位、用户单位、测评单位、专家和中标人等在内的项目验收组来完成。</w:t>
      </w:r>
    </w:p>
    <w:p w14:paraId="5F992FC5">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（1）验收分为交工验收、初步验收和竣工验收。</w:t>
      </w:r>
    </w:p>
    <w:p w14:paraId="664BC9E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（2）交工验收由中标人组织，并出具交工验收报告。</w:t>
      </w:r>
    </w:p>
    <w:p w14:paraId="292056B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（3）初步验收由采购人组织，并出具初步验收报告。</w:t>
      </w:r>
    </w:p>
    <w:p w14:paraId="38C2E1EC">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（4）竣工验收由采购人上级有关部门组织。</w:t>
      </w:r>
    </w:p>
    <w:p w14:paraId="20FFC769">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3.交工验收</w:t>
      </w:r>
    </w:p>
    <w:p w14:paraId="07806C8D">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（1）中标人自检合格后向监理单位提交交工验收申请。</w:t>
      </w:r>
    </w:p>
    <w:p w14:paraId="6E5DE368">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（2）监理单位组织审查中标人提出的交工验收申请和交工验收方案。</w:t>
      </w:r>
    </w:p>
    <w:p w14:paraId="6B995B9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（3）中标人组织采购人、监理单位等对项目的工程、技术、功能、财务和档案等进行验收，合格后形成交工验收报告。</w:t>
      </w:r>
    </w:p>
    <w:p w14:paraId="1DD9E6D7">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4.初步验收</w:t>
      </w:r>
    </w:p>
    <w:p w14:paraId="1E14A52D">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（1）交工验收后，系统试运行满3个月后，中标人向采购人提交初步验收申请。</w:t>
      </w:r>
    </w:p>
    <w:p w14:paraId="655D8885">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（2）采购人组织审查中标人提出的初步验收申请和初步验收方案。</w:t>
      </w:r>
    </w:p>
    <w:p w14:paraId="290CE3D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（3）采购人根据需要组织单项验收，形成单项验收报告。</w:t>
      </w:r>
    </w:p>
    <w:p w14:paraId="4234D3A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（4）采购人组织第三方功能、性能、安全测评并出具测评报告。</w:t>
      </w:r>
    </w:p>
    <w:p w14:paraId="3F8A285C">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（5）采购人组织等级保护测评及备案。</w:t>
      </w:r>
    </w:p>
    <w:p w14:paraId="78101132">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（6）经采购人审核确认后出具《数据接入认定书》《部署交付确认书》。</w:t>
      </w:r>
    </w:p>
    <w:p w14:paraId="581718A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（7）采购人组织对项目的工程、技术和档案等进行验收，合格后形成初步验收报告。</w:t>
      </w:r>
    </w:p>
    <w:p w14:paraId="1024AF8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（8）第三方测试（测评）合格，不免除中标人因产品质量问题而应承担的赔偿责任。</w:t>
      </w:r>
    </w:p>
    <w:p w14:paraId="760C6E8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（9）若第三方测试（测评）不合格，中标人应在采购人要求的时间内完成整改并重新申请验收，整改费用由中标人承担，逾期未通过验收的，中标人应承担逾期违约责任。</w:t>
      </w:r>
    </w:p>
    <w:p w14:paraId="40F81E55">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5.档案验收</w:t>
      </w:r>
    </w:p>
    <w:p w14:paraId="5B19FC6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为规范本项目档案管理工作，确保项目档案的完整性、准确性、系统性和安全性，为系统的长期运维和审计追溯提供可靠依据，本项目档案的整理及验收需满足如下要求：</w:t>
      </w:r>
    </w:p>
    <w:p w14:paraId="4799F63D">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归档范围与质量要求：中标人负责从合同签订、项目调研、设计、开发、测试、培训、试运行、推广应用、验收到运维移交全过程中产生的，具有保存价值的各类文件材料（包括但不限于纸质、电子、声像等不同载体）的收集、整理与编制工作。归档文件材料必须齐全、完整、签章完备，其质量应符合国家及河南省关于档案案卷构成的相关要求。</w:t>
      </w:r>
    </w:p>
    <w:p w14:paraId="5950F9ED">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（2）整理标准与规范性要求：项目档案管理必须严格遵循《政务信息化项目档案管理规范》（DB43/T 1889-2020）以及河南省档案行政主管部门发布的现行相关法规、标准与文件要求。</w:t>
      </w:r>
    </w:p>
    <w:p w14:paraId="6CDC224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（3）专项验收要求：中标人须全程配合档案专项验收各项工作，直至本项目档案通过采购人上级有关档案主管部门组织的正式验收，并取得验收通过的正式意见或批复文件。</w:t>
      </w:r>
    </w:p>
    <w:p w14:paraId="602D5AF7">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6.竣工验收</w:t>
      </w:r>
    </w:p>
    <w:p w14:paraId="0FC94819">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（1）竣工验收条件</w:t>
      </w:r>
    </w:p>
    <w:p w14:paraId="5BA4DCAB">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①项目建设已全部完成，交工验收合格后系统正常运行6个月内；</w:t>
      </w:r>
    </w:p>
    <w:p w14:paraId="7A4ABDC6">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②完成结算审核和财务决算审计；</w:t>
      </w:r>
    </w:p>
    <w:p w14:paraId="1A88C18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③档案文件整理齐全，通过档案验收；</w:t>
      </w:r>
    </w:p>
    <w:p w14:paraId="01BC885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④中标人对工程质量自检合格，并出具自检报告；</w:t>
      </w:r>
    </w:p>
    <w:p w14:paraId="5A1F12B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⑤经第三方软件测评、等级保护测评、密码安全评估合格，并出具测评/评估报告。</w:t>
      </w:r>
    </w:p>
    <w:p w14:paraId="29BC7802">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⑥系统能完全满足相关用户使用需求，并由用户出具意见为合格（或满意）的书面用户使用报告。</w:t>
      </w:r>
    </w:p>
    <w:p w14:paraId="2B3AF08E">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项目竣工验收具体条件根据采购人上级有关部门文件要求及竣工验收组织部门的相关要求确定。</w:t>
      </w:r>
    </w:p>
    <w:p w14:paraId="5746515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（2）项目满足上述竣工验收条件后，中标人提交竣工验收申请。</w:t>
      </w:r>
    </w:p>
    <w:p w14:paraId="28926DD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（3）由采购人上级有关部门组建竣工验收委员会。</w:t>
      </w:r>
    </w:p>
    <w:p w14:paraId="3E98D17C">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（4）竣工验收委员会须对竣工验收的先期基础性工作进行检查，重点检查项目建设、设计、监理、施工、招标采购、档案资料、预算执行和财务决算等情况，提出评价意见和建议。</w:t>
      </w:r>
    </w:p>
    <w:p w14:paraId="4A16DE73">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（5）竣工验收委员会基于评价意见出具竣工验收报告。</w:t>
      </w:r>
    </w:p>
    <w:p w14:paraId="1AA40E57">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7.中标人成果交付</w:t>
      </w:r>
    </w:p>
    <w:p w14:paraId="4260CD2C">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中标人在双方组织的各项阶段性验收过程中，应当根据本合同要求免费向验收组提供完整的验收资料。中标人所有提交的文档必须符合采购人要求的文档规范。</w:t>
      </w:r>
    </w:p>
    <w:p w14:paraId="0F22A79B">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十五、费用支付</w:t>
      </w:r>
    </w:p>
    <w:p w14:paraId="622CC9AD">
      <w:pPr>
        <w:adjustRightInd w:val="0"/>
        <w:snapToGrid w:val="0"/>
        <w:spacing w:after="120" w:afterLines="50" w:line="360" w:lineRule="auto"/>
        <w:ind w:firstLine="422" w:firstLineChars="200"/>
        <w:jc w:val="left"/>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1.银行保函</w:t>
      </w:r>
    </w:p>
    <w:p w14:paraId="1DA18DE0">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合同签订后</w:t>
      </w:r>
      <w:r>
        <w:rPr>
          <w:rFonts w:hint="eastAsia" w:ascii="Times New Roman" w:hAnsi="Times New Roman" w:cs="Times New Roman"/>
          <w:color w:val="auto"/>
          <w:szCs w:val="21"/>
          <w:highlight w:val="none"/>
          <w:lang w:val="en-US" w:eastAsia="zh-CN"/>
        </w:rPr>
        <w:t>2</w:t>
      </w:r>
      <w:r>
        <w:rPr>
          <w:rFonts w:hint="eastAsia" w:ascii="Times New Roman" w:hAnsi="Times New Roman" w:cs="Times New Roman"/>
          <w:color w:val="auto"/>
          <w:szCs w:val="21"/>
          <w:highlight w:val="none"/>
        </w:rPr>
        <w:t>个工作日之内，中标人向采购人提供合同金额的全额银行保函，保函时效不低于6个月。若中标人无法在限定时间内开具银行保函，资金被财政收回导致无法支付，后果由中标人自行承担。采购人在收到银行保函后支付等额项目资金。</w:t>
      </w:r>
    </w:p>
    <w:p w14:paraId="6C3183FD">
      <w:pPr>
        <w:adjustRightInd w:val="0"/>
        <w:snapToGrid w:val="0"/>
        <w:spacing w:after="120" w:afterLines="50" w:line="360" w:lineRule="auto"/>
        <w:ind w:firstLine="422" w:firstLineChars="200"/>
        <w:jc w:val="left"/>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2.支付条件及支付额度</w:t>
      </w:r>
    </w:p>
    <w:p w14:paraId="628C165A">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其他条款以合同签订为准。</w:t>
      </w:r>
    </w:p>
    <w:p w14:paraId="5D94F114">
      <w:pPr>
        <w:adjustRightInd w:val="0"/>
        <w:snapToGrid w:val="0"/>
        <w:spacing w:after="120" w:afterLines="50" w:line="360" w:lineRule="auto"/>
        <w:ind w:firstLine="422" w:firstLineChars="200"/>
        <w:jc w:val="left"/>
        <w:rPr>
          <w:rFonts w:ascii="Times New Roman" w:hAnsi="Times New Roman" w:cs="Times New Roman"/>
          <w:color w:val="auto"/>
          <w:szCs w:val="21"/>
          <w:highlight w:val="none"/>
        </w:rPr>
      </w:pPr>
      <w:r>
        <w:rPr>
          <w:rFonts w:hint="eastAsia" w:ascii="Times New Roman" w:hAnsi="Times New Roman" w:cs="Times New Roman"/>
          <w:b/>
          <w:color w:val="auto"/>
          <w:szCs w:val="21"/>
          <w:highlight w:val="none"/>
        </w:rPr>
        <w:t>3.支付单位</w:t>
      </w:r>
      <w:r>
        <w:rPr>
          <w:rFonts w:hint="eastAsia" w:ascii="Times New Roman" w:hAnsi="Times New Roman" w:cs="Times New Roman"/>
          <w:color w:val="auto"/>
          <w:szCs w:val="21"/>
          <w:highlight w:val="none"/>
        </w:rPr>
        <w:t>：河南省交通运输调度指挥中心。</w:t>
      </w:r>
    </w:p>
    <w:p w14:paraId="527F908E">
      <w:pPr>
        <w:adjustRightInd w:val="0"/>
        <w:snapToGrid w:val="0"/>
        <w:spacing w:after="120" w:afterLines="50" w:line="360" w:lineRule="auto"/>
        <w:ind w:firstLine="422" w:firstLineChars="200"/>
        <w:jc w:val="left"/>
        <w:rPr>
          <w:rFonts w:ascii="Times New Roman" w:hAnsi="Times New Roman" w:cs="Times New Roman"/>
          <w:color w:val="auto"/>
          <w:szCs w:val="21"/>
          <w:highlight w:val="none"/>
        </w:rPr>
      </w:pPr>
      <w:r>
        <w:rPr>
          <w:rFonts w:hint="eastAsia" w:ascii="Times New Roman" w:hAnsi="Times New Roman" w:cs="Times New Roman"/>
          <w:b/>
          <w:color w:val="auto"/>
          <w:szCs w:val="21"/>
          <w:highlight w:val="none"/>
        </w:rPr>
        <w:t>4.支付程序：</w:t>
      </w:r>
      <w:r>
        <w:rPr>
          <w:rFonts w:hint="eastAsia" w:ascii="Times New Roman" w:hAnsi="Times New Roman" w:cs="Times New Roman"/>
          <w:color w:val="auto"/>
          <w:szCs w:val="21"/>
          <w:highlight w:val="none"/>
        </w:rPr>
        <w:t>合同签订后，中标人应配合采购人办理备案。每次付款前，中标人应将发票和相关支付材料交采购人，采购人通过国库集中支付网支付合同款。</w:t>
      </w:r>
    </w:p>
    <w:p w14:paraId="46BE75FB">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5.采购人不向项目合同约定的收款账户外的任何其他账户办理付款手续，中标人确需变更收款账户信息的，应当提交其法定代表人签字并加盖财务专用章的证明材料，并征得采购人书面同意。</w:t>
      </w:r>
    </w:p>
    <w:p w14:paraId="08C06395">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6.采购人付款前，中标人应当向采购人出具符合要求的相应正式发票。如中标人未按时出具发票或出具发票不符合要求的，采购人可相应顺延付款时间，且不视为违约，无需承担任何违约责任。</w:t>
      </w:r>
    </w:p>
    <w:p w14:paraId="0D04A756">
      <w:pPr>
        <w:spacing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7.本合同款项的支付均使用财政资金，因财政资金未到位或财政支付流程等原因导致付款延迟的，不视为采购人违约，采购人无需承担任何违约责任。</w:t>
      </w:r>
    </w:p>
    <w:p w14:paraId="7CA33978">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十六、转包和分包</w:t>
      </w:r>
    </w:p>
    <w:p w14:paraId="405F2526">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1.中标人不得以任何形式将合同转包、转让。</w:t>
      </w:r>
    </w:p>
    <w:p w14:paraId="4D58055D">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2.除本招标文件中明确同意分包且中标人在其投标文件中明确响应分包的本项目非主体、非关键性工作外，中标人不得将合同的其他任何工作内容分包给他人。</w:t>
      </w:r>
    </w:p>
    <w:p w14:paraId="718BB7DC">
      <w:pPr>
        <w:spacing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3.中标人违反本条规定的，采购人有权单方解除合同，并要求中标人支付本合同总价款百分之二十（20%）的违约金，给采购人造成损失的，中标人还应赔偿采购人全部损失。</w:t>
      </w:r>
    </w:p>
    <w:p w14:paraId="3566D384">
      <w:pPr>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十七、其他要求及相关约定</w:t>
      </w:r>
    </w:p>
    <w:p w14:paraId="115EF9E4">
      <w:pPr>
        <w:adjustRightInd w:val="0"/>
        <w:snapToGrid w:val="0"/>
        <w:spacing w:before="120" w:beforeLines="50" w:line="360" w:lineRule="auto"/>
        <w:rPr>
          <w:color w:val="auto"/>
          <w:kern w:val="0"/>
          <w:szCs w:val="21"/>
          <w:highlight w:val="none"/>
        </w:rPr>
      </w:pPr>
      <w:r>
        <w:rPr>
          <w:rFonts w:hint="eastAsia" w:ascii="Times New Roman" w:hAnsi="Times New Roman" w:cs="Times New Roman"/>
          <w:color w:val="auto"/>
          <w:szCs w:val="21"/>
          <w:highlight w:val="none"/>
        </w:rPr>
        <w:t>见本招标文件《政府采购合同》</w:t>
      </w:r>
    </w:p>
    <w:bookmarkEnd w:id="90"/>
    <w:p w14:paraId="2800BC8B">
      <w:pPr>
        <w:bidi w:val="0"/>
        <w:rPr>
          <w:rFonts w:hint="eastAsia"/>
          <w:color w:val="auto"/>
          <w:highlight w:val="none"/>
          <w:lang w:val="en-US" w:eastAsia="zh-CN"/>
        </w:rPr>
      </w:pPr>
      <w:r>
        <w:rPr>
          <w:rFonts w:hint="eastAsia"/>
          <w:color w:val="auto"/>
          <w:highlight w:val="none"/>
          <w:lang w:val="en-US" w:eastAsia="zh-CN"/>
        </w:rPr>
        <w:t>招标文件附件（如有）,本附件如果与第六章正文不一致的，以正文为准。</w:t>
      </w:r>
    </w:p>
    <w:p w14:paraId="3D0EABC6">
      <w:pPr>
        <w:jc w:val="both"/>
        <w:rPr>
          <w:rFonts w:hint="default"/>
          <w:b/>
          <w:bCs/>
          <w:sz w:val="28"/>
          <w:szCs w:val="28"/>
          <w:lang w:val="en-US" w:eastAsia="zh-CN"/>
        </w:rPr>
      </w:pPr>
      <w:bookmarkStart w:id="91" w:name="_GoBack"/>
      <w:bookmarkEnd w:id="9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DD4E">
    <w:pPr>
      <w:pStyle w:val="3"/>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7A7A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87A7A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D7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7"/>
    <w:qFormat/>
    <w:uiPriority w:val="0"/>
    <w:pPr>
      <w:keepNext/>
      <w:keepLines/>
      <w:spacing w:line="480" w:lineRule="auto"/>
      <w:jc w:val="center"/>
      <w:outlineLvl w:val="0"/>
    </w:pPr>
    <w:rPr>
      <w:rFonts w:ascii="Times New Roman" w:hAnsi="Times New Roman" w:eastAsia="宋体"/>
      <w:b/>
      <w:kern w:val="44"/>
      <w:sz w:val="32"/>
      <w:szCs w:val="20"/>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Char"/>
    <w:link w:val="2"/>
    <w:autoRedefine/>
    <w:qFormat/>
    <w:locked/>
    <w:uiPriority w:val="0"/>
    <w:rPr>
      <w:rFonts w:ascii="Times New Roman" w:hAnsi="Times New Roman" w:eastAsia="宋体"/>
      <w:b/>
      <w:kern w:val="44"/>
      <w:sz w:val="32"/>
      <w:szCs w:val="20"/>
    </w:rPr>
  </w:style>
  <w:style w:type="paragraph" w:customStyle="1" w:styleId="8">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2025-12-04T13:56:25Z</dcterms:created>
  <dc:creator>cd</dc:creator>
  <cp:lastModifiedBy>崔丹</cp:lastModifiedBy>
  <dcterms:modified xsi:type="dcterms:W3CDTF">2025-12-04T13:57:54Z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eyJoZGlkIjoiM2M2OTAxOTQyOWZkODM1NmRjMzI4OWU1NjNlODRhMTIiLCJ1c2VySWQiOiI0NTk1MjU5MTMifQ==</vt:lpwstr>
  </property>
  <property fmtid="{D5CDD505-2E9C-101B-9397-08002B2CF9AE}" pid="4" name="ICV">
    <vt:lpwstr>681B448365D44714BF77B7AD154B724C_12</vt:lpwstr>
  </property>
</Properties>
</file>