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97CE51">
      <w:pPr>
        <w:spacing w:line="408" w:lineRule="auto"/>
        <w:jc w:val="center"/>
        <w:rPr>
          <w:rFonts w:hint="eastAsia" w:ascii="宋体" w:hAnsi="宋体" w:cs="宋体"/>
          <w:b/>
          <w:sz w:val="32"/>
          <w:szCs w:val="32"/>
          <w:highlight w:val="none"/>
        </w:rPr>
      </w:pPr>
      <w:r>
        <w:rPr>
          <w:rFonts w:hint="eastAsia" w:ascii="宋体" w:hAnsi="宋体" w:eastAsia="宋体"/>
          <w:sz w:val="24"/>
          <w:szCs w:val="24"/>
          <w:highlight w:val="none"/>
          <w:lang w:eastAsia="zh-CN"/>
        </w:rPr>
        <w:drawing>
          <wp:anchor distT="0" distB="0" distL="114300" distR="114300" simplePos="0" relativeHeight="251659264" behindDoc="0" locked="0" layoutInCell="1" allowOverlap="1">
            <wp:simplePos x="0" y="0"/>
            <wp:positionH relativeFrom="column">
              <wp:posOffset>-2710815</wp:posOffset>
            </wp:positionH>
            <wp:positionV relativeFrom="paragraph">
              <wp:posOffset>672465</wp:posOffset>
            </wp:positionV>
            <wp:extent cx="10680700" cy="7550150"/>
            <wp:effectExtent l="0" t="0" r="12700" b="6350"/>
            <wp:wrapNone/>
            <wp:docPr id="11" name="图片 11" descr="2025032811194817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50328111948171_0001"/>
                    <pic:cNvPicPr>
                      <a:picLocks noChangeAspect="1"/>
                    </pic:cNvPicPr>
                  </pic:nvPicPr>
                  <pic:blipFill>
                    <a:blip r:embed="rId5"/>
                    <a:stretch>
                      <a:fillRect/>
                    </a:stretch>
                  </pic:blipFill>
                  <pic:spPr>
                    <a:xfrm rot="16200000">
                      <a:off x="0" y="0"/>
                      <a:ext cx="10680700" cy="7550150"/>
                    </a:xfrm>
                    <a:prstGeom prst="rect">
                      <a:avLst/>
                    </a:prstGeom>
                  </pic:spPr>
                </pic:pic>
              </a:graphicData>
            </a:graphic>
          </wp:anchor>
        </w:drawing>
      </w:r>
      <w:r>
        <w:rPr>
          <w:rFonts w:hint="eastAsia" w:ascii="宋体" w:hAnsi="宋体" w:cs="宋体"/>
          <w:b/>
          <w:sz w:val="32"/>
          <w:szCs w:val="32"/>
          <w:highlight w:val="none"/>
        </w:rPr>
        <w:t>货  物  采  购  合  同</w:t>
      </w:r>
    </w:p>
    <w:p w14:paraId="00D94233">
      <w:pPr>
        <w:rPr>
          <w:rFonts w:hint="eastAsia" w:ascii="宋体" w:hAnsi="宋体" w:eastAsia="宋体"/>
          <w:sz w:val="24"/>
          <w:szCs w:val="24"/>
          <w:highlight w:val="none"/>
          <w:lang w:eastAsia="zh-CN"/>
        </w:rPr>
      </w:pPr>
    </w:p>
    <w:p w14:paraId="65292BB8">
      <w:pPr>
        <w:spacing w:line="440" w:lineRule="exact"/>
        <w:rPr>
          <w:rFonts w:hint="eastAsia" w:ascii="宋体" w:hAnsi="宋体" w:cs="宋体"/>
          <w:szCs w:val="21"/>
          <w:highlight w:val="none"/>
        </w:rPr>
      </w:pPr>
      <w:r>
        <w:rPr>
          <w:rFonts w:hint="eastAsia" w:ascii="宋体" w:hAnsi="宋体" w:cs="宋体"/>
          <w:szCs w:val="21"/>
          <w:highlight w:val="none"/>
        </w:rPr>
        <w:t>合同编号：豫财招标采购-2024-1538</w:t>
      </w:r>
      <w:r>
        <w:rPr>
          <w:rFonts w:hint="eastAsia" w:ascii="宋体" w:hAnsi="宋体" w:cs="宋体"/>
          <w:szCs w:val="21"/>
          <w:highlight w:val="none"/>
          <w:lang w:val="en-US" w:eastAsia="zh-CN"/>
        </w:rPr>
        <w:t>包3</w:t>
      </w:r>
      <w:r>
        <w:rPr>
          <w:rFonts w:hint="eastAsia" w:ascii="宋体" w:hAnsi="宋体" w:cs="宋体"/>
          <w:szCs w:val="21"/>
          <w:highlight w:val="none"/>
        </w:rPr>
        <w:t>（采购项目编号）</w:t>
      </w:r>
    </w:p>
    <w:p w14:paraId="2B32D876">
      <w:pPr>
        <w:spacing w:line="440" w:lineRule="exact"/>
        <w:rPr>
          <w:rFonts w:hint="eastAsia" w:ascii="宋体" w:hAnsi="宋体" w:cs="宋体"/>
          <w:szCs w:val="21"/>
          <w:highlight w:val="none"/>
        </w:rPr>
      </w:pPr>
      <w:r>
        <w:rPr>
          <w:rFonts w:hint="eastAsia" w:ascii="宋体" w:hAnsi="宋体" w:cs="宋体"/>
          <w:szCs w:val="21"/>
          <w:highlight w:val="none"/>
        </w:rPr>
        <w:t>签订地点：河南郑州</w:t>
      </w:r>
    </w:p>
    <w:p w14:paraId="3905EB79">
      <w:pPr>
        <w:spacing w:line="440" w:lineRule="exact"/>
        <w:rPr>
          <w:rFonts w:hint="eastAsia" w:ascii="宋体" w:hAnsi="宋体" w:cs="宋体"/>
          <w:szCs w:val="21"/>
          <w:highlight w:val="none"/>
        </w:rPr>
      </w:pPr>
      <w:r>
        <w:rPr>
          <w:rFonts w:hint="eastAsia" w:ascii="宋体" w:hAnsi="宋体" w:cs="宋体"/>
          <w:szCs w:val="21"/>
          <w:highlight w:val="none"/>
        </w:rPr>
        <w:t>签订时间：</w:t>
      </w:r>
      <w:r>
        <w:rPr>
          <w:rFonts w:hint="eastAsia" w:ascii="宋体" w:hAnsi="宋体" w:cs="宋体"/>
          <w:szCs w:val="21"/>
          <w:highlight w:val="none"/>
          <w:lang w:val="en-US" w:eastAsia="zh-CN"/>
        </w:rPr>
        <w:t>2025</w:t>
      </w:r>
      <w:r>
        <w:rPr>
          <w:rFonts w:hint="eastAsia" w:ascii="宋体" w:hAnsi="宋体" w:cs="宋体"/>
          <w:szCs w:val="21"/>
          <w:highlight w:val="none"/>
        </w:rPr>
        <w:t>年</w:t>
      </w:r>
      <w:r>
        <w:rPr>
          <w:rFonts w:hint="eastAsia" w:ascii="宋体" w:hAnsi="宋体" w:cs="宋体"/>
          <w:szCs w:val="21"/>
          <w:highlight w:val="none"/>
          <w:lang w:val="en-US" w:eastAsia="zh-CN"/>
        </w:rPr>
        <w:t xml:space="preserve">     </w:t>
      </w:r>
      <w:r>
        <w:rPr>
          <w:rFonts w:hint="eastAsia" w:ascii="宋体" w:hAnsi="宋体" w:cs="宋体"/>
          <w:szCs w:val="21"/>
          <w:highlight w:val="none"/>
        </w:rPr>
        <w:t>月</w:t>
      </w:r>
      <w:r>
        <w:rPr>
          <w:rFonts w:hint="eastAsia" w:ascii="宋体" w:hAnsi="宋体" w:cs="宋体"/>
          <w:szCs w:val="21"/>
          <w:highlight w:val="none"/>
          <w:lang w:val="en-US" w:eastAsia="zh-CN"/>
        </w:rPr>
        <w:t xml:space="preserve">     </w:t>
      </w:r>
      <w:r>
        <w:rPr>
          <w:rFonts w:hint="eastAsia" w:ascii="宋体" w:hAnsi="宋体" w:cs="宋体"/>
          <w:szCs w:val="21"/>
          <w:highlight w:val="none"/>
        </w:rPr>
        <w:t>日</w:t>
      </w:r>
    </w:p>
    <w:p w14:paraId="0EE02371">
      <w:pPr>
        <w:spacing w:line="440" w:lineRule="exact"/>
        <w:rPr>
          <w:rFonts w:hint="eastAsia" w:ascii="宋体" w:hAnsi="宋体" w:cs="宋体"/>
          <w:b/>
          <w:szCs w:val="21"/>
          <w:highlight w:val="none"/>
        </w:rPr>
      </w:pPr>
      <w:r>
        <w:rPr>
          <w:rFonts w:hint="eastAsia" w:ascii="宋体" w:hAnsi="宋体" w:cs="宋体"/>
          <w:b/>
          <w:szCs w:val="21"/>
          <w:highlight w:val="none"/>
        </w:rPr>
        <w:t>甲方（盖章）：河南中医药大学</w:t>
      </w:r>
    </w:p>
    <w:p w14:paraId="3EBD5A89">
      <w:pPr>
        <w:spacing w:line="440" w:lineRule="exact"/>
        <w:rPr>
          <w:rFonts w:hint="eastAsia" w:ascii="宋体" w:hAnsi="宋体" w:cs="宋体"/>
          <w:b/>
          <w:szCs w:val="21"/>
          <w:highlight w:val="none"/>
        </w:rPr>
      </w:pPr>
      <w:r>
        <w:rPr>
          <w:rFonts w:hint="eastAsia" w:ascii="宋体" w:hAnsi="宋体" w:cs="宋体"/>
          <w:b/>
          <w:szCs w:val="21"/>
          <w:highlight w:val="none"/>
        </w:rPr>
        <w:t>乙方</w:t>
      </w:r>
      <w:r>
        <w:rPr>
          <w:rFonts w:hint="eastAsia" w:ascii="宋体" w:hAnsi="宋体" w:cs="宋体"/>
          <w:b/>
          <w:szCs w:val="21"/>
          <w:highlight w:val="none"/>
          <w:lang w:eastAsia="zh-CN"/>
        </w:rPr>
        <w:t>（</w:t>
      </w:r>
      <w:r>
        <w:rPr>
          <w:rFonts w:hint="eastAsia" w:ascii="宋体" w:hAnsi="宋体" w:cs="宋体"/>
          <w:b/>
          <w:szCs w:val="21"/>
          <w:highlight w:val="none"/>
        </w:rPr>
        <w:t>盖章</w:t>
      </w:r>
      <w:r>
        <w:rPr>
          <w:rFonts w:hint="eastAsia" w:ascii="宋体" w:hAnsi="宋体" w:cs="宋体"/>
          <w:b/>
          <w:szCs w:val="21"/>
          <w:highlight w:val="none"/>
          <w:lang w:eastAsia="zh-CN"/>
        </w:rPr>
        <w:t>）</w:t>
      </w:r>
      <w:r>
        <w:rPr>
          <w:rFonts w:hint="eastAsia" w:ascii="宋体" w:hAnsi="宋体" w:cs="宋体"/>
          <w:b/>
          <w:szCs w:val="21"/>
          <w:highlight w:val="none"/>
        </w:rPr>
        <w:t>：</w:t>
      </w:r>
      <w:r>
        <w:rPr>
          <w:rFonts w:hint="eastAsia" w:ascii="宋体" w:hAnsi="宋体" w:cs="宋体"/>
          <w:b/>
          <w:szCs w:val="21"/>
          <w:highlight w:val="none"/>
          <w:u w:val="single"/>
        </w:rPr>
        <w:t>河南赫航工程技术有限</w:t>
      </w:r>
      <w:r>
        <w:rPr>
          <w:rFonts w:hint="eastAsia" w:ascii="宋体" w:hAnsi="宋体" w:cs="宋体"/>
          <w:b/>
          <w:szCs w:val="21"/>
          <w:highlight w:val="none"/>
        </w:rPr>
        <w:t>公司</w:t>
      </w:r>
    </w:p>
    <w:p w14:paraId="0C3EA0C3">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根据《中华人民共和国政府采购法》、《中华人民共和国民法典》及招标代理机构：</w:t>
      </w:r>
      <w:r>
        <w:rPr>
          <w:rFonts w:hint="eastAsia" w:ascii="宋体" w:hAnsi="宋体" w:cs="宋体"/>
          <w:szCs w:val="21"/>
          <w:highlight w:val="none"/>
          <w:u w:val="single"/>
        </w:rPr>
        <w:t>智远工程管理有限公司（项目编号：豫财招标采购-2024-1538）</w:t>
      </w:r>
      <w:r>
        <w:rPr>
          <w:rFonts w:hint="eastAsia" w:ascii="宋体" w:hAnsi="宋体" w:cs="宋体"/>
          <w:szCs w:val="21"/>
          <w:highlight w:val="none"/>
        </w:rPr>
        <w:t>的《招标文件》、乙方的《投标文件》及《中标通知书》，经甲、乙双方协商，就甲方向乙方购买货物及相关服务事宜，同意签订本合同。详细技术说明及其他有关合同项目的特定信息由合同附件予以说明，合同附件及本项目的招标文件、投标文件、《中标通知书》等均为本合同不可分割的部分。双方同意共同遵守如下条款：</w:t>
      </w:r>
    </w:p>
    <w:p w14:paraId="37FD5F26">
      <w:pPr>
        <w:spacing w:line="440" w:lineRule="exact"/>
        <w:ind w:firstLine="422" w:firstLineChars="200"/>
        <w:rPr>
          <w:rFonts w:hint="eastAsia" w:ascii="宋体" w:hAnsi="宋体" w:cs="宋体"/>
          <w:b/>
          <w:bCs/>
          <w:szCs w:val="21"/>
          <w:highlight w:val="none"/>
        </w:rPr>
      </w:pPr>
      <w:r>
        <w:rPr>
          <w:rFonts w:hint="eastAsia" w:ascii="宋体" w:hAnsi="宋体" w:cs="宋体"/>
          <w:b/>
          <w:szCs w:val="21"/>
          <w:highlight w:val="none"/>
        </w:rPr>
        <w:t>一、合同货物</w:t>
      </w:r>
      <w:r>
        <w:rPr>
          <w:rFonts w:hint="eastAsia" w:ascii="宋体" w:hAnsi="宋体" w:cs="宋体"/>
          <w:b/>
          <w:bCs/>
          <w:szCs w:val="21"/>
          <w:highlight w:val="none"/>
        </w:rPr>
        <w:t>名称及价格</w:t>
      </w:r>
    </w:p>
    <w:p w14:paraId="2A888D0F">
      <w:pPr>
        <w:spacing w:line="440" w:lineRule="exact"/>
        <w:ind w:firstLine="420" w:firstLineChars="200"/>
        <w:rPr>
          <w:rFonts w:hint="eastAsia" w:ascii="宋体" w:hAnsi="宋体" w:cs="宋体"/>
          <w:szCs w:val="21"/>
          <w:highlight w:val="none"/>
        </w:rPr>
      </w:pPr>
      <w:r>
        <w:rPr>
          <w:rFonts w:hint="eastAsia" w:ascii="宋体" w:hAnsi="宋体" w:cs="宋体"/>
          <w:bCs/>
          <w:szCs w:val="21"/>
          <w:highlight w:val="none"/>
        </w:rPr>
        <w:t>1.</w:t>
      </w:r>
      <w:r>
        <w:rPr>
          <w:rFonts w:hint="eastAsia" w:ascii="宋体" w:hAnsi="宋体" w:cs="宋体"/>
          <w:szCs w:val="21"/>
          <w:highlight w:val="none"/>
        </w:rPr>
        <w:t xml:space="preserve"> 乙方负责向甲方提供下表中所列货物和相关的安装调试服务等（详细配置清单见附件）。</w:t>
      </w:r>
    </w:p>
    <w:p w14:paraId="15029E25">
      <w:pPr>
        <w:spacing w:line="440" w:lineRule="exact"/>
        <w:rPr>
          <w:rFonts w:hint="eastAsia" w:ascii="宋体" w:hAnsi="宋体" w:cs="宋体"/>
          <w:szCs w:val="21"/>
          <w:highlight w:val="none"/>
        </w:rPr>
      </w:pPr>
      <w:r>
        <w:rPr>
          <w:rFonts w:hint="eastAsia" w:ascii="宋体" w:hAnsi="宋体" w:cs="宋体"/>
          <w:b/>
          <w:szCs w:val="21"/>
          <w:highlight w:val="none"/>
        </w:rPr>
        <w:t>（1）清单1：</w:t>
      </w:r>
      <w:r>
        <w:rPr>
          <w:rFonts w:hint="eastAsia" w:ascii="宋体" w:hAnsi="宋体" w:cs="宋体"/>
          <w:b/>
          <w:szCs w:val="21"/>
          <w:highlight w:val="none"/>
          <w:lang w:val="en-US" w:eastAsia="zh-CN"/>
        </w:rPr>
        <w:t>无</w:t>
      </w:r>
    </w:p>
    <w:p w14:paraId="70D4C8DE">
      <w:pPr>
        <w:spacing w:line="440" w:lineRule="exact"/>
        <w:rPr>
          <w:rFonts w:hint="eastAsia" w:ascii="宋体" w:hAnsi="宋体" w:cs="宋体"/>
          <w:b/>
          <w:szCs w:val="21"/>
          <w:highlight w:val="none"/>
        </w:rPr>
      </w:pPr>
      <w:r>
        <w:rPr>
          <w:rFonts w:hint="eastAsia" w:ascii="宋体" w:hAnsi="宋体" w:cs="宋体"/>
          <w:b/>
          <w:szCs w:val="21"/>
          <w:highlight w:val="none"/>
        </w:rPr>
        <w:t>（2）清单2：非免税货物                                           单位：元</w:t>
      </w:r>
    </w:p>
    <w:tbl>
      <w:tblPr>
        <w:tblStyle w:val="14"/>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68"/>
        <w:gridCol w:w="1500"/>
        <w:gridCol w:w="1172"/>
        <w:gridCol w:w="776"/>
        <w:gridCol w:w="606"/>
        <w:gridCol w:w="606"/>
        <w:gridCol w:w="1011"/>
        <w:gridCol w:w="1012"/>
        <w:gridCol w:w="1131"/>
      </w:tblGrid>
      <w:tr w14:paraId="5367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F145896">
            <w:pPr>
              <w:spacing w:line="240" w:lineRule="auto"/>
              <w:jc w:val="center"/>
              <w:rPr>
                <w:rFonts w:hint="eastAsia" w:ascii="宋体" w:hAnsi="宋体" w:cs="宋体"/>
                <w:szCs w:val="21"/>
                <w:highlight w:val="none"/>
              </w:rPr>
            </w:pPr>
            <w:r>
              <w:rPr>
                <w:rFonts w:hint="eastAsia" w:ascii="宋体" w:hAnsi="宋体" w:cs="宋体"/>
                <w:szCs w:val="21"/>
                <w:highlight w:val="none"/>
              </w:rPr>
              <w:t>序号</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855DF61">
            <w:pPr>
              <w:spacing w:line="240" w:lineRule="auto"/>
              <w:jc w:val="center"/>
              <w:rPr>
                <w:rFonts w:hint="eastAsia" w:ascii="宋体" w:hAnsi="宋体" w:cs="宋体"/>
                <w:szCs w:val="21"/>
                <w:highlight w:val="none"/>
              </w:rPr>
            </w:pPr>
            <w:r>
              <w:rPr>
                <w:rFonts w:hint="eastAsia" w:ascii="宋体" w:hAnsi="宋体" w:cs="宋体"/>
                <w:szCs w:val="21"/>
                <w:highlight w:val="none"/>
              </w:rPr>
              <w:t>货物名称</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EEC7F82">
            <w:pPr>
              <w:widowControl/>
              <w:spacing w:line="240" w:lineRule="auto"/>
              <w:jc w:val="center"/>
              <w:rPr>
                <w:rFonts w:hint="eastAsia" w:ascii="宋体" w:hAnsi="宋体" w:cs="宋体"/>
                <w:kern w:val="0"/>
                <w:szCs w:val="21"/>
                <w:highlight w:val="none"/>
              </w:rPr>
            </w:pPr>
            <w:r>
              <w:rPr>
                <w:rFonts w:hint="eastAsia" w:ascii="宋体" w:hAnsi="宋体" w:cs="宋体"/>
                <w:kern w:val="0"/>
                <w:szCs w:val="21"/>
                <w:highlight w:val="none"/>
              </w:rPr>
              <w:t>品牌/制造商</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3FC42F5">
            <w:pPr>
              <w:widowControl/>
              <w:spacing w:line="240" w:lineRule="auto"/>
              <w:jc w:val="center"/>
              <w:rPr>
                <w:rFonts w:hint="eastAsia" w:ascii="宋体" w:hAnsi="宋体" w:cs="宋体"/>
                <w:kern w:val="0"/>
                <w:szCs w:val="21"/>
                <w:highlight w:val="none"/>
              </w:rPr>
            </w:pPr>
            <w:r>
              <w:rPr>
                <w:rFonts w:hint="eastAsia" w:ascii="宋体" w:hAnsi="宋体" w:cs="宋体"/>
                <w:szCs w:val="21"/>
                <w:highlight w:val="none"/>
              </w:rPr>
              <w:t>型号规格</w:t>
            </w:r>
          </w:p>
        </w:tc>
        <w:tc>
          <w:tcPr>
            <w:tcW w:w="776" w:type="dxa"/>
            <w:tcBorders>
              <w:top w:val="single" w:color="auto" w:sz="4" w:space="0"/>
              <w:left w:val="single" w:color="auto" w:sz="4" w:space="0"/>
              <w:bottom w:val="single" w:color="auto" w:sz="4" w:space="0"/>
              <w:right w:val="single" w:color="auto" w:sz="4" w:space="0"/>
            </w:tcBorders>
            <w:noWrap w:val="0"/>
            <w:vAlign w:val="center"/>
          </w:tcPr>
          <w:p w14:paraId="04707758">
            <w:pPr>
              <w:widowControl/>
              <w:spacing w:line="240" w:lineRule="auto"/>
              <w:jc w:val="center"/>
              <w:rPr>
                <w:rFonts w:hint="eastAsia" w:ascii="宋体" w:hAnsi="宋体" w:cs="宋体"/>
                <w:kern w:val="0"/>
                <w:szCs w:val="21"/>
                <w:highlight w:val="none"/>
              </w:rPr>
            </w:pPr>
            <w:r>
              <w:rPr>
                <w:rFonts w:hint="eastAsia" w:ascii="宋体" w:hAnsi="宋体" w:cs="宋体"/>
                <w:kern w:val="0"/>
                <w:szCs w:val="21"/>
                <w:highlight w:val="none"/>
              </w:rPr>
              <w:t>原产地</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67517B5B">
            <w:pPr>
              <w:spacing w:line="240" w:lineRule="auto"/>
              <w:jc w:val="center"/>
              <w:rPr>
                <w:rFonts w:hint="eastAsia" w:ascii="宋体" w:hAnsi="宋体" w:cs="宋体"/>
                <w:szCs w:val="21"/>
                <w:highlight w:val="none"/>
              </w:rPr>
            </w:pPr>
            <w:r>
              <w:rPr>
                <w:rFonts w:hint="eastAsia" w:ascii="宋体" w:hAnsi="宋体" w:cs="宋体"/>
                <w:szCs w:val="21"/>
                <w:highlight w:val="none"/>
              </w:rPr>
              <w:t>单</w:t>
            </w:r>
          </w:p>
          <w:p w14:paraId="2D1AD142">
            <w:pPr>
              <w:spacing w:line="240" w:lineRule="auto"/>
              <w:jc w:val="center"/>
              <w:rPr>
                <w:rFonts w:hint="eastAsia" w:ascii="宋体" w:hAnsi="宋体" w:cs="宋体"/>
                <w:szCs w:val="21"/>
                <w:highlight w:val="none"/>
              </w:rPr>
            </w:pPr>
            <w:r>
              <w:rPr>
                <w:rFonts w:hint="eastAsia" w:ascii="宋体" w:hAnsi="宋体" w:cs="宋体"/>
                <w:szCs w:val="21"/>
                <w:highlight w:val="none"/>
              </w:rPr>
              <w:t>位</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0C01ED0E">
            <w:pPr>
              <w:spacing w:line="240" w:lineRule="auto"/>
              <w:jc w:val="center"/>
              <w:rPr>
                <w:rFonts w:hint="eastAsia" w:ascii="宋体" w:hAnsi="宋体" w:cs="宋体"/>
                <w:szCs w:val="21"/>
                <w:highlight w:val="none"/>
              </w:rPr>
            </w:pPr>
            <w:r>
              <w:rPr>
                <w:rFonts w:hint="eastAsia" w:ascii="宋体" w:hAnsi="宋体" w:cs="宋体"/>
                <w:szCs w:val="21"/>
                <w:highlight w:val="none"/>
              </w:rPr>
              <w:t>数</w:t>
            </w:r>
          </w:p>
          <w:p w14:paraId="5817E24D">
            <w:pPr>
              <w:spacing w:line="240" w:lineRule="auto"/>
              <w:jc w:val="center"/>
              <w:rPr>
                <w:rFonts w:hint="eastAsia" w:ascii="宋体" w:hAnsi="宋体" w:cs="宋体"/>
                <w:szCs w:val="21"/>
                <w:highlight w:val="none"/>
              </w:rPr>
            </w:pPr>
            <w:r>
              <w:rPr>
                <w:rFonts w:hint="eastAsia" w:ascii="宋体" w:hAnsi="宋体" w:cs="宋体"/>
                <w:szCs w:val="21"/>
                <w:highlight w:val="none"/>
              </w:rPr>
              <w:t>量</w:t>
            </w:r>
          </w:p>
        </w:tc>
        <w:tc>
          <w:tcPr>
            <w:tcW w:w="1011" w:type="dxa"/>
            <w:tcBorders>
              <w:top w:val="single" w:color="auto" w:sz="4" w:space="0"/>
              <w:left w:val="single" w:color="auto" w:sz="4" w:space="0"/>
              <w:bottom w:val="single" w:color="auto" w:sz="4" w:space="0"/>
              <w:right w:val="single" w:color="auto" w:sz="4" w:space="0"/>
            </w:tcBorders>
            <w:noWrap w:val="0"/>
            <w:vAlign w:val="center"/>
          </w:tcPr>
          <w:p w14:paraId="3485386D">
            <w:pPr>
              <w:spacing w:line="240" w:lineRule="auto"/>
              <w:jc w:val="center"/>
              <w:rPr>
                <w:rFonts w:hint="eastAsia" w:ascii="宋体" w:hAnsi="宋体" w:cs="宋体"/>
                <w:szCs w:val="21"/>
                <w:highlight w:val="none"/>
              </w:rPr>
            </w:pPr>
            <w:r>
              <w:rPr>
                <w:rFonts w:hint="eastAsia" w:ascii="宋体" w:hAnsi="宋体" w:cs="宋体"/>
                <w:szCs w:val="21"/>
                <w:highlight w:val="none"/>
              </w:rPr>
              <w:t>单价</w:t>
            </w:r>
          </w:p>
          <w:p w14:paraId="203AA1BA">
            <w:pPr>
              <w:spacing w:line="240" w:lineRule="auto"/>
              <w:jc w:val="center"/>
              <w:rPr>
                <w:rFonts w:hint="eastAsia" w:ascii="宋体" w:hAnsi="宋体" w:cs="宋体"/>
                <w:szCs w:val="21"/>
                <w:highlight w:val="none"/>
              </w:rPr>
            </w:pPr>
            <w:r>
              <w:rPr>
                <w:rFonts w:hint="eastAsia" w:ascii="宋体" w:hAnsi="宋体" w:cs="宋体"/>
                <w:szCs w:val="21"/>
                <w:highlight w:val="none"/>
              </w:rPr>
              <w:t>（RMB）</w:t>
            </w:r>
          </w:p>
        </w:tc>
        <w:tc>
          <w:tcPr>
            <w:tcW w:w="1012" w:type="dxa"/>
            <w:tcBorders>
              <w:top w:val="single" w:color="auto" w:sz="4" w:space="0"/>
              <w:left w:val="single" w:color="auto" w:sz="4" w:space="0"/>
              <w:bottom w:val="single" w:color="auto" w:sz="4" w:space="0"/>
              <w:right w:val="single" w:color="auto" w:sz="4" w:space="0"/>
            </w:tcBorders>
            <w:noWrap w:val="0"/>
            <w:vAlign w:val="center"/>
          </w:tcPr>
          <w:p w14:paraId="0C41B1D1">
            <w:pPr>
              <w:spacing w:line="240" w:lineRule="auto"/>
              <w:jc w:val="center"/>
              <w:rPr>
                <w:rFonts w:hint="eastAsia" w:ascii="宋体" w:hAnsi="宋体" w:cs="宋体"/>
                <w:szCs w:val="21"/>
                <w:highlight w:val="none"/>
              </w:rPr>
            </w:pPr>
            <w:r>
              <w:rPr>
                <w:rFonts w:hint="eastAsia" w:ascii="宋体" w:hAnsi="宋体" w:cs="宋体"/>
                <w:szCs w:val="21"/>
                <w:highlight w:val="none"/>
              </w:rPr>
              <w:t>小计</w:t>
            </w:r>
          </w:p>
          <w:p w14:paraId="5F5410D9">
            <w:pPr>
              <w:spacing w:line="240" w:lineRule="auto"/>
              <w:jc w:val="center"/>
              <w:rPr>
                <w:rFonts w:hint="eastAsia" w:ascii="宋体" w:hAnsi="宋体" w:cs="宋体"/>
                <w:szCs w:val="21"/>
                <w:highlight w:val="none"/>
              </w:rPr>
            </w:pPr>
            <w:r>
              <w:rPr>
                <w:rFonts w:hint="eastAsia" w:ascii="宋体" w:hAnsi="宋体" w:cs="宋体"/>
                <w:szCs w:val="21"/>
                <w:highlight w:val="none"/>
              </w:rPr>
              <w:t>（RMB）</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3E6FAAED">
            <w:pPr>
              <w:spacing w:line="240" w:lineRule="auto"/>
              <w:jc w:val="center"/>
              <w:rPr>
                <w:rFonts w:hint="eastAsia" w:ascii="宋体" w:hAnsi="宋体" w:cs="宋体"/>
                <w:szCs w:val="21"/>
                <w:highlight w:val="none"/>
              </w:rPr>
            </w:pPr>
            <w:r>
              <w:rPr>
                <w:rFonts w:hint="eastAsia" w:ascii="宋体" w:hAnsi="宋体" w:cs="宋体"/>
                <w:bCs/>
                <w:szCs w:val="21"/>
                <w:highlight w:val="none"/>
              </w:rPr>
              <w:t>交货时间</w:t>
            </w:r>
          </w:p>
        </w:tc>
      </w:tr>
      <w:tr w14:paraId="73A7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E8A1BDF">
            <w:pPr>
              <w:spacing w:line="44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6317D77E">
            <w:pPr>
              <w:jc w:val="center"/>
              <w:rPr>
                <w:rFonts w:hint="eastAsia" w:ascii="宋体" w:hAnsi="宋体" w:eastAsia="宋体" w:cs="宋体"/>
                <w:sz w:val="21"/>
                <w:szCs w:val="21"/>
              </w:rPr>
            </w:pPr>
            <w:r>
              <w:rPr>
                <w:rFonts w:hint="eastAsia" w:ascii="宋体" w:hAnsi="宋体" w:eastAsia="宋体" w:cs="宋体"/>
                <w:sz w:val="21"/>
                <w:szCs w:val="21"/>
              </w:rPr>
              <w:t>高效液相色谱仪</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4E5AFC4">
            <w:pPr>
              <w:jc w:val="center"/>
              <w:rPr>
                <w:rFonts w:hint="eastAsia" w:ascii="宋体" w:hAnsi="宋体" w:eastAsia="宋体" w:cs="宋体"/>
                <w:sz w:val="21"/>
                <w:szCs w:val="21"/>
                <w:lang w:eastAsia="zh-CN"/>
              </w:rPr>
            </w:pPr>
            <w:r>
              <w:rPr>
                <w:rFonts w:hint="eastAsia" w:ascii="宋体" w:hAnsi="宋体" w:eastAsia="宋体" w:cs="宋体"/>
                <w:sz w:val="21"/>
                <w:szCs w:val="21"/>
              </w:rPr>
              <w:t>沃特世</w:t>
            </w:r>
            <w:r>
              <w:rPr>
                <w:rFonts w:hint="eastAsia" w:ascii="宋体" w:hAnsi="宋体" w:eastAsia="宋体" w:cs="宋体"/>
                <w:sz w:val="21"/>
                <w:szCs w:val="21"/>
                <w:lang w:eastAsia="zh-CN"/>
              </w:rPr>
              <w:t>、沃特世科技（上海）有限公司</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83C93B1">
            <w:pPr>
              <w:jc w:val="center"/>
              <w:rPr>
                <w:rFonts w:hint="eastAsia" w:ascii="宋体" w:hAnsi="宋体" w:eastAsia="宋体" w:cs="宋体"/>
                <w:sz w:val="21"/>
                <w:szCs w:val="21"/>
              </w:rPr>
            </w:pPr>
            <w:r>
              <w:rPr>
                <w:rFonts w:hint="eastAsia" w:ascii="宋体" w:hAnsi="宋体" w:eastAsia="宋体" w:cs="宋体"/>
                <w:sz w:val="21"/>
                <w:szCs w:val="21"/>
              </w:rPr>
              <w:t>Arc HPLC</w:t>
            </w:r>
          </w:p>
        </w:tc>
        <w:tc>
          <w:tcPr>
            <w:tcW w:w="776" w:type="dxa"/>
            <w:tcBorders>
              <w:top w:val="single" w:color="auto" w:sz="4" w:space="0"/>
              <w:left w:val="single" w:color="auto" w:sz="4" w:space="0"/>
              <w:bottom w:val="single" w:color="auto" w:sz="4" w:space="0"/>
              <w:right w:val="single" w:color="auto" w:sz="4" w:space="0"/>
            </w:tcBorders>
            <w:noWrap w:val="0"/>
            <w:vAlign w:val="center"/>
          </w:tcPr>
          <w:p w14:paraId="42E91CDA">
            <w:pPr>
              <w:jc w:val="center"/>
              <w:rPr>
                <w:rFonts w:hint="eastAsia" w:ascii="宋体" w:hAnsi="宋体" w:eastAsia="宋体" w:cs="宋体"/>
                <w:sz w:val="21"/>
                <w:szCs w:val="21"/>
              </w:rPr>
            </w:pPr>
            <w:r>
              <w:rPr>
                <w:rFonts w:hint="eastAsia" w:ascii="宋体" w:hAnsi="宋体" w:eastAsia="宋体" w:cs="宋体"/>
                <w:sz w:val="21"/>
                <w:szCs w:val="21"/>
                <w:vertAlign w:val="baseline"/>
              </w:rPr>
              <w:t>上海</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785F944B">
            <w:pPr>
              <w:jc w:val="center"/>
              <w:rPr>
                <w:rFonts w:hint="eastAsia" w:ascii="宋体" w:hAnsi="宋体" w:eastAsia="宋体" w:cs="宋体"/>
                <w:sz w:val="21"/>
                <w:szCs w:val="21"/>
              </w:rPr>
            </w:pPr>
            <w:r>
              <w:rPr>
                <w:rFonts w:hint="eastAsia" w:ascii="宋体" w:hAnsi="宋体" w:eastAsia="宋体" w:cs="宋体"/>
                <w:sz w:val="21"/>
                <w:szCs w:val="21"/>
                <w:vertAlign w:val="baseline"/>
              </w:rPr>
              <w:t>台</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104B63BF">
            <w:pPr>
              <w:jc w:val="center"/>
              <w:rPr>
                <w:rFonts w:hint="eastAsia" w:ascii="宋体" w:hAnsi="宋体" w:eastAsia="宋体" w:cs="宋体"/>
                <w:sz w:val="21"/>
                <w:szCs w:val="21"/>
              </w:rPr>
            </w:pPr>
            <w:r>
              <w:rPr>
                <w:rFonts w:hint="eastAsia" w:ascii="宋体" w:hAnsi="宋体" w:eastAsia="宋体" w:cs="宋体"/>
                <w:sz w:val="21"/>
                <w:szCs w:val="21"/>
                <w:vertAlign w:val="baseline"/>
              </w:rPr>
              <w:t>3</w:t>
            </w:r>
          </w:p>
        </w:tc>
        <w:tc>
          <w:tcPr>
            <w:tcW w:w="1011" w:type="dxa"/>
            <w:tcBorders>
              <w:top w:val="single" w:color="auto" w:sz="4" w:space="0"/>
              <w:left w:val="single" w:color="auto" w:sz="4" w:space="0"/>
              <w:bottom w:val="single" w:color="auto" w:sz="4" w:space="0"/>
              <w:right w:val="single" w:color="auto" w:sz="4" w:space="0"/>
            </w:tcBorders>
            <w:noWrap w:val="0"/>
            <w:vAlign w:val="center"/>
          </w:tcPr>
          <w:p w14:paraId="0C5852DF">
            <w:pPr>
              <w:jc w:val="center"/>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596200</w:t>
            </w:r>
          </w:p>
        </w:tc>
        <w:tc>
          <w:tcPr>
            <w:tcW w:w="1012" w:type="dxa"/>
            <w:tcBorders>
              <w:top w:val="single" w:color="auto" w:sz="4" w:space="0"/>
              <w:left w:val="single" w:color="auto" w:sz="4" w:space="0"/>
              <w:bottom w:val="single" w:color="auto" w:sz="4" w:space="0"/>
              <w:right w:val="single" w:color="auto" w:sz="4" w:space="0"/>
            </w:tcBorders>
            <w:noWrap w:val="0"/>
            <w:vAlign w:val="center"/>
          </w:tcPr>
          <w:p w14:paraId="45F620A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1788600</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7766DBBC">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签订合同后30天内</w:t>
            </w:r>
          </w:p>
        </w:tc>
      </w:tr>
      <w:tr w14:paraId="4B95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2" w:type="dxa"/>
            <w:gridSpan w:val="10"/>
            <w:tcBorders>
              <w:top w:val="single" w:color="auto" w:sz="4" w:space="0"/>
              <w:left w:val="single" w:color="auto" w:sz="4" w:space="0"/>
              <w:bottom w:val="single" w:color="auto" w:sz="4" w:space="0"/>
              <w:right w:val="single" w:color="auto" w:sz="4" w:space="0"/>
            </w:tcBorders>
            <w:noWrap w:val="0"/>
            <w:vAlign w:val="center"/>
          </w:tcPr>
          <w:p w14:paraId="4C89EE7D">
            <w:pPr>
              <w:spacing w:line="440" w:lineRule="exact"/>
              <w:jc w:val="center"/>
              <w:rPr>
                <w:rFonts w:hint="eastAsia" w:ascii="宋体" w:hAnsi="宋体" w:cs="宋体"/>
                <w:szCs w:val="21"/>
                <w:highlight w:val="none"/>
              </w:rPr>
            </w:pPr>
            <w:r>
              <w:rPr>
                <w:rFonts w:hint="eastAsia" w:ascii="宋体" w:hAnsi="宋体" w:cs="宋体"/>
                <w:szCs w:val="21"/>
                <w:highlight w:val="none"/>
              </w:rPr>
              <w:t>备件、专用工具、耗材等</w:t>
            </w:r>
          </w:p>
        </w:tc>
      </w:tr>
      <w:tr w14:paraId="6171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2" w:type="dxa"/>
            <w:gridSpan w:val="10"/>
            <w:tcBorders>
              <w:top w:val="single" w:color="auto" w:sz="4" w:space="0"/>
              <w:left w:val="single" w:color="auto" w:sz="4" w:space="0"/>
              <w:bottom w:val="single" w:color="auto" w:sz="4" w:space="0"/>
              <w:right w:val="single" w:color="auto" w:sz="4" w:space="0"/>
            </w:tcBorders>
            <w:noWrap w:val="0"/>
            <w:vAlign w:val="center"/>
          </w:tcPr>
          <w:p w14:paraId="5823CB76">
            <w:pPr>
              <w:spacing w:line="440" w:lineRule="exact"/>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无</w:t>
            </w:r>
          </w:p>
        </w:tc>
      </w:tr>
      <w:tr w14:paraId="64E2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8" w:type="dxa"/>
            <w:gridSpan w:val="2"/>
            <w:tcBorders>
              <w:top w:val="single" w:color="auto" w:sz="4" w:space="0"/>
              <w:left w:val="single" w:color="auto" w:sz="4" w:space="0"/>
              <w:bottom w:val="single" w:color="auto" w:sz="4" w:space="0"/>
              <w:right w:val="single" w:color="auto" w:sz="4" w:space="0"/>
            </w:tcBorders>
            <w:noWrap w:val="0"/>
            <w:vAlign w:val="center"/>
          </w:tcPr>
          <w:p w14:paraId="2C04BFB1">
            <w:pPr>
              <w:spacing w:line="440" w:lineRule="exact"/>
              <w:jc w:val="center"/>
              <w:rPr>
                <w:rFonts w:hint="eastAsia" w:ascii="宋体" w:hAnsi="宋体" w:cs="宋体"/>
                <w:szCs w:val="21"/>
                <w:highlight w:val="none"/>
              </w:rPr>
            </w:pPr>
            <w:r>
              <w:rPr>
                <w:rFonts w:hint="eastAsia" w:ascii="宋体" w:hAnsi="宋体" w:cs="宋体"/>
                <w:szCs w:val="21"/>
                <w:highlight w:val="none"/>
              </w:rPr>
              <w:t>合计</w:t>
            </w:r>
          </w:p>
        </w:tc>
        <w:tc>
          <w:tcPr>
            <w:tcW w:w="6683" w:type="dxa"/>
            <w:gridSpan w:val="7"/>
            <w:tcBorders>
              <w:top w:val="single" w:color="auto" w:sz="4" w:space="0"/>
              <w:left w:val="single" w:color="auto" w:sz="4" w:space="0"/>
              <w:bottom w:val="single" w:color="auto" w:sz="4" w:space="0"/>
              <w:right w:val="single" w:color="auto" w:sz="4" w:space="0"/>
            </w:tcBorders>
            <w:noWrap w:val="0"/>
            <w:vAlign w:val="center"/>
          </w:tcPr>
          <w:p w14:paraId="391C93F0">
            <w:pPr>
              <w:spacing w:line="440" w:lineRule="exact"/>
              <w:jc w:val="center"/>
              <w:rPr>
                <w:rFonts w:hint="eastAsia" w:ascii="宋体" w:hAnsi="宋体" w:cs="宋体"/>
                <w:bCs/>
                <w:szCs w:val="21"/>
                <w:highlight w:val="none"/>
              </w:rPr>
            </w:pPr>
            <w:r>
              <w:rPr>
                <w:rFonts w:hint="eastAsia" w:ascii="宋体" w:hAnsi="宋体" w:cs="宋体"/>
                <w:szCs w:val="21"/>
                <w:highlight w:val="none"/>
              </w:rPr>
              <w:t>人民币大写：壹佰柒拾捌万捌仟陆佰元整（￥：1788600.00元）</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7043FB48">
            <w:pPr>
              <w:spacing w:line="440" w:lineRule="exact"/>
              <w:jc w:val="center"/>
              <w:rPr>
                <w:rFonts w:hint="eastAsia" w:ascii="宋体" w:hAnsi="宋体" w:cs="宋体"/>
                <w:b/>
                <w:bCs/>
                <w:szCs w:val="21"/>
                <w:highlight w:val="none"/>
              </w:rPr>
            </w:pPr>
          </w:p>
        </w:tc>
      </w:tr>
      <w:tr w14:paraId="51DA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8" w:type="dxa"/>
            <w:gridSpan w:val="2"/>
            <w:tcBorders>
              <w:top w:val="single" w:color="auto" w:sz="4" w:space="0"/>
              <w:left w:val="single" w:color="auto" w:sz="4" w:space="0"/>
              <w:bottom w:val="single" w:color="auto" w:sz="4" w:space="0"/>
              <w:right w:val="single" w:color="auto" w:sz="4" w:space="0"/>
            </w:tcBorders>
            <w:noWrap w:val="0"/>
            <w:vAlign w:val="center"/>
          </w:tcPr>
          <w:p w14:paraId="108FBAA6">
            <w:pPr>
              <w:spacing w:line="440" w:lineRule="exact"/>
              <w:jc w:val="center"/>
              <w:rPr>
                <w:rFonts w:hint="eastAsia" w:ascii="宋体" w:hAnsi="宋体" w:cs="宋体"/>
                <w:szCs w:val="21"/>
                <w:highlight w:val="none"/>
              </w:rPr>
            </w:pPr>
            <w:r>
              <w:rPr>
                <w:rFonts w:hint="eastAsia" w:ascii="宋体" w:hAnsi="宋体" w:cs="宋体"/>
                <w:szCs w:val="21"/>
                <w:highlight w:val="none"/>
              </w:rPr>
              <w:t>备注</w:t>
            </w:r>
          </w:p>
        </w:tc>
        <w:tc>
          <w:tcPr>
            <w:tcW w:w="6683" w:type="dxa"/>
            <w:gridSpan w:val="7"/>
            <w:tcBorders>
              <w:top w:val="single" w:color="auto" w:sz="4" w:space="0"/>
              <w:left w:val="single" w:color="auto" w:sz="4" w:space="0"/>
              <w:bottom w:val="single" w:color="auto" w:sz="4" w:space="0"/>
              <w:right w:val="single" w:color="auto" w:sz="4" w:space="0"/>
            </w:tcBorders>
            <w:noWrap w:val="0"/>
            <w:vAlign w:val="center"/>
          </w:tcPr>
          <w:p w14:paraId="3AC89EF1">
            <w:pPr>
              <w:spacing w:line="440" w:lineRule="exact"/>
              <w:jc w:val="center"/>
              <w:rPr>
                <w:rFonts w:hint="eastAsia" w:ascii="宋体" w:hAnsi="宋体" w:cs="宋体"/>
                <w:szCs w:val="21"/>
                <w:highlight w:val="none"/>
              </w:rPr>
            </w:pPr>
            <w:r>
              <w:rPr>
                <w:rFonts w:hint="eastAsia" w:ascii="宋体" w:hAnsi="宋体" w:cs="宋体"/>
                <w:szCs w:val="21"/>
                <w:highlight w:val="none"/>
                <w:lang w:val="en-US" w:eastAsia="zh-CN"/>
              </w:rPr>
              <w:t>无</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413EFDBC">
            <w:pPr>
              <w:spacing w:line="440" w:lineRule="exact"/>
              <w:jc w:val="center"/>
              <w:rPr>
                <w:rFonts w:hint="eastAsia" w:ascii="宋体" w:hAnsi="宋体" w:cs="宋体"/>
                <w:b/>
                <w:bCs/>
                <w:szCs w:val="21"/>
                <w:highlight w:val="none"/>
              </w:rPr>
            </w:pPr>
          </w:p>
        </w:tc>
      </w:tr>
    </w:tbl>
    <w:p w14:paraId="24EFBF7E">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2. 本合同（清单1+清单2）总金额人民币大写：</w:t>
      </w:r>
      <w:r>
        <w:rPr>
          <w:rFonts w:hint="eastAsia" w:ascii="宋体" w:hAnsi="宋体" w:cs="宋体"/>
          <w:b/>
          <w:bCs/>
          <w:szCs w:val="21"/>
          <w:highlight w:val="none"/>
        </w:rPr>
        <w:t>壹佰柒拾捌万捌仟陆佰元整</w:t>
      </w:r>
      <w:r>
        <w:rPr>
          <w:rFonts w:hint="eastAsia" w:ascii="宋体" w:hAnsi="宋体" w:cs="宋体"/>
          <w:szCs w:val="21"/>
          <w:highlight w:val="none"/>
        </w:rPr>
        <w:t>（RMB：</w:t>
      </w:r>
      <w:r>
        <w:rPr>
          <w:rFonts w:hint="eastAsia" w:ascii="宋体" w:hAnsi="宋体" w:cs="宋体"/>
          <w:b/>
          <w:bCs/>
          <w:szCs w:val="21"/>
          <w:highlight w:val="none"/>
        </w:rPr>
        <w:t>1788600</w:t>
      </w:r>
      <w:r>
        <w:rPr>
          <w:rFonts w:hint="eastAsia" w:ascii="宋体" w:hAnsi="宋体" w:cs="宋体"/>
          <w:b/>
          <w:bCs/>
          <w:szCs w:val="21"/>
          <w:highlight w:val="none"/>
          <w:lang w:val="en-US" w:eastAsia="zh-CN"/>
        </w:rPr>
        <w:t>.00</w:t>
      </w:r>
      <w:r>
        <w:rPr>
          <w:rFonts w:hint="eastAsia" w:ascii="宋体" w:hAnsi="宋体" w:cs="宋体"/>
          <w:szCs w:val="21"/>
          <w:highlight w:val="none"/>
        </w:rPr>
        <w:t>元）。</w:t>
      </w:r>
    </w:p>
    <w:p w14:paraId="40AC1464">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129365D2">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4. 乙方负责办理合同所涉及的进口货物海关免税手续，甲方协助乙方办理进口免税相关事项，提供与其享受免关税待遇相关的证明文件资料，费用已包括在合同总金额内。</w:t>
      </w:r>
    </w:p>
    <w:p w14:paraId="51DFCF69">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5. 本合同执行期间合同总金额不变。甲方无须另向乙方支付本合同规定之外的其他任何费用。</w:t>
      </w:r>
    </w:p>
    <w:p w14:paraId="6145D121">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6. 乙方所供货物若与合同要求不相符时，甲方有权拒收，并拒付该部分货物的货款。</w:t>
      </w:r>
    </w:p>
    <w:p w14:paraId="76D8847B">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7. 履约保证金：</w:t>
      </w:r>
    </w:p>
    <w:p w14:paraId="0BFF2F83">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3E3146F6">
      <w:pPr>
        <w:spacing w:line="440" w:lineRule="exact"/>
        <w:ind w:left="479" w:leftChars="228"/>
        <w:rPr>
          <w:rFonts w:hint="eastAsia" w:ascii="宋体" w:hAnsi="宋体" w:cs="宋体"/>
          <w:szCs w:val="21"/>
          <w:highlight w:val="none"/>
        </w:rPr>
      </w:pPr>
      <w:r>
        <w:rPr>
          <w:rFonts w:hint="eastAsia" w:ascii="宋体" w:hAnsi="宋体" w:cs="宋体"/>
          <w:szCs w:val="21"/>
          <w:highlight w:val="none"/>
        </w:rPr>
        <w:t>交纳方式：中标人在领取中标通知书后签订合同前将履约保证金汇（存）入采购方指定银行帐户：</w:t>
      </w:r>
    </w:p>
    <w:p w14:paraId="510D2874">
      <w:pPr>
        <w:spacing w:line="440" w:lineRule="exact"/>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开户名称：河南中医药大学</w:t>
      </w:r>
    </w:p>
    <w:p w14:paraId="5D6290DD">
      <w:pPr>
        <w:spacing w:line="440" w:lineRule="exact"/>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账  号：1702020609200014257</w:t>
      </w:r>
    </w:p>
    <w:p w14:paraId="7DA99E23">
      <w:pPr>
        <w:spacing w:line="440" w:lineRule="exact"/>
        <w:ind w:firstLine="420" w:firstLineChars="200"/>
        <w:rPr>
          <w:rFonts w:hint="eastAsia" w:ascii="宋体" w:hAnsi="宋体" w:cs="宋体"/>
          <w:szCs w:val="21"/>
          <w:highlight w:val="none"/>
        </w:rPr>
      </w:pPr>
      <w:r>
        <w:rPr>
          <w:rFonts w:hint="eastAsia" w:ascii="宋体" w:hAnsi="宋体" w:cs="宋体"/>
          <w:color w:val="000000"/>
          <w:szCs w:val="21"/>
          <w:highlight w:val="none"/>
        </w:rPr>
        <w:t>开户行：工商银行花园路支行（请注明中标通知书中的合同编号）</w:t>
      </w:r>
    </w:p>
    <w:p w14:paraId="4EC4A8BC">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二、货物质量标准</w:t>
      </w:r>
    </w:p>
    <w:p w14:paraId="3709F4B6">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479E2A66">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2. 乙方提供的货物必须为全新的、未使用过的原厂原包装产品（含零部件、配件、随机工具、技术文件等），且进货渠道合法。</w:t>
      </w:r>
    </w:p>
    <w:p w14:paraId="383A7EA3">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3. 乙方提供的货物必须包装外观完好、无破损，货物洁净完好、无划痕、无凹陷、无退色、无锈迹。</w:t>
      </w:r>
    </w:p>
    <w:p w14:paraId="7B57B052">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4. 乙方提供的货物不符合合同规定的质量要求的，甲方有权拒绝接受该货物，乙方应更换被拒绝的货物，并达到合同规定的质量要求，所造成的损失由乙方承担。必要时甲方有权解除合同。</w:t>
      </w:r>
    </w:p>
    <w:p w14:paraId="09A3CD4A">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5. 因货物的质量问题发生争议，由河南省商检部门进行质量鉴定。货物符合质量标准的，鉴定费由甲方承担；货物不符合质量标准的，鉴定费由乙方承担。</w:t>
      </w:r>
    </w:p>
    <w:p w14:paraId="583C37E0">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三、货物包装、交货</w:t>
      </w:r>
    </w:p>
    <w:p w14:paraId="49A761FD">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1. 包装</w:t>
      </w:r>
    </w:p>
    <w:p w14:paraId="55D9DD94">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⑴ 合同货物的包装必须与运输方式相适应，应有良好的防湿、防锈、防潮、防雨、防腐及防碰撞的措施。凡由于不适当的包装而造成货物在运输过程中有任何损坏、丢失等由乙方负责。</w:t>
      </w:r>
    </w:p>
    <w:p w14:paraId="5506F899">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⑵ 包装应足以承受整个过程中的运输、转运、装卸、储存等，充分考虑到运输途中的各种情况（如暴露于恶劣气候等），以及露天存放的需要。</w:t>
      </w:r>
    </w:p>
    <w:p w14:paraId="083F331F">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2. 交货</w:t>
      </w:r>
    </w:p>
    <w:p w14:paraId="24BBB46B">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⑴ 乙方交货时间：</w:t>
      </w:r>
      <w:r>
        <w:rPr>
          <w:rFonts w:hint="eastAsia" w:ascii="宋体" w:hAnsi="宋体" w:cs="宋体"/>
          <w:color w:val="auto"/>
          <w:szCs w:val="21"/>
          <w:highlight w:val="none"/>
        </w:rPr>
        <w:t>自合签订合同之日起30日历天</w:t>
      </w:r>
      <w:r>
        <w:rPr>
          <w:rFonts w:hint="eastAsia" w:ascii="宋体" w:hAnsi="宋体" w:cs="宋体"/>
          <w:szCs w:val="21"/>
          <w:highlight w:val="none"/>
        </w:rPr>
        <w:t>。交货完毕后及时提交货物验收申请（货物经验收合格的，交货日期以甲方收到乙方验收申请函日期为准；验收不合格的，交货日期以实际验收合格日期为准）。即在</w:t>
      </w:r>
      <w:r>
        <w:rPr>
          <w:rFonts w:hint="eastAsia" w:ascii="宋体" w:hAnsi="宋体" w:cs="宋体"/>
          <w:b/>
          <w:szCs w:val="21"/>
          <w:highlight w:val="none"/>
          <w:u w:val="single"/>
          <w:lang w:val="en-US" w:eastAsia="zh-CN"/>
        </w:rPr>
        <w:t>2025</w:t>
      </w:r>
      <w:r>
        <w:rPr>
          <w:rFonts w:hint="eastAsia" w:ascii="宋体" w:hAnsi="宋体" w:cs="宋体"/>
          <w:szCs w:val="21"/>
          <w:highlight w:val="none"/>
        </w:rPr>
        <w:t>年</w:t>
      </w:r>
      <w:r>
        <w:rPr>
          <w:rFonts w:hint="eastAsia" w:ascii="宋体" w:hAnsi="宋体" w:cs="宋体"/>
          <w:b/>
          <w:szCs w:val="21"/>
          <w:highlight w:val="none"/>
          <w:u w:val="single"/>
          <w:lang w:val="en-US" w:eastAsia="zh-CN"/>
        </w:rPr>
        <w:t xml:space="preserve">    </w:t>
      </w:r>
      <w:r>
        <w:rPr>
          <w:rFonts w:hint="eastAsia" w:ascii="宋体" w:hAnsi="宋体" w:cs="宋体"/>
          <w:szCs w:val="21"/>
          <w:highlight w:val="none"/>
        </w:rPr>
        <w:t>月</w:t>
      </w:r>
      <w:r>
        <w:rPr>
          <w:rFonts w:hint="eastAsia" w:ascii="宋体" w:hAnsi="宋体" w:cs="宋体"/>
          <w:b/>
          <w:szCs w:val="21"/>
          <w:highlight w:val="none"/>
          <w:u w:val="single"/>
          <w:lang w:val="en-US" w:eastAsia="zh-CN"/>
        </w:rPr>
        <w:t xml:space="preserve">    </w:t>
      </w:r>
      <w:r>
        <w:rPr>
          <w:rFonts w:hint="eastAsia" w:ascii="宋体" w:hAnsi="宋体" w:cs="宋体"/>
          <w:szCs w:val="21"/>
          <w:highlight w:val="none"/>
        </w:rPr>
        <w:t>日前完成全部仪器设备的安装调试，并交付使用(如由于采购人的原因造成合同延迟签订或验收的，时间顺延)。乙方逾期交付物品，则每迟交一周货物应向甲方支付货款总额5%违约金，不足一周按一周计算。</w:t>
      </w:r>
    </w:p>
    <w:p w14:paraId="30F02A1B">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⑵ 根据所购货物情况，甲方确定是否在发货前对所供货物进行检查，以保证所发货物与合同一致。所需费用由乙方承担。</w:t>
      </w:r>
    </w:p>
    <w:p w14:paraId="0D6780BA">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⑶ 乙方交货地点：河南中医药大学指定地点。</w:t>
      </w:r>
    </w:p>
    <w:p w14:paraId="70DB3DBC">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⑷ 合同货物抵达甲方后，由甲乙双方一同清点货物数量，开箱检验表面状况，核对规格型号。并负责解决开箱检验清点发现的问题和赔偿。</w:t>
      </w:r>
    </w:p>
    <w:p w14:paraId="77B2A14B">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⑸ 乙方应将合同货物的产品序列号、用户手册、技术资料（包括详细装箱单、质量证书、设备说明书、使用手册和其它相关技术资料）及配件、随机工具等一并交付给甲方。</w:t>
      </w:r>
    </w:p>
    <w:p w14:paraId="3D07A5F4">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⑹ 专用工具及备品、备件应分别包装，并在包装箱外加以注明其用处。</w:t>
      </w:r>
    </w:p>
    <w:p w14:paraId="596ED751">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四、合同货物的安装、调试</w:t>
      </w:r>
    </w:p>
    <w:p w14:paraId="5DD3395E">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1. 乙方负责合同项下货物的安装调试至能够正常开机使用，且与合同要求的各项技术指标一致，符合各项安全标准，一切费用由乙方负责。</w:t>
      </w:r>
    </w:p>
    <w:p w14:paraId="5A21D57A">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2. 乙方安装时须对各安装场地内的其它设备、设施有良好保护措施。</w:t>
      </w:r>
    </w:p>
    <w:p w14:paraId="7E5C27E8">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五、安全责任</w:t>
      </w:r>
    </w:p>
    <w:p w14:paraId="2E196512">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乙方在安装、调试合同货物过程中要严格执行国家有关人身安全及防火安全的规定，做好各项防护措施，防止各类事故的发生，若造成人身伤害及货物损坏事故等，则由乙方负全部责任。</w:t>
      </w:r>
    </w:p>
    <w:p w14:paraId="51E0111E">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六、货物的验收</w:t>
      </w:r>
    </w:p>
    <w:p w14:paraId="73C2A262">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1. 在甲方验收前，乙方应提交合同货物验收报告、每台仪器设备制造厂商出具的明细装箱单、每台仪器设备制造厂商出具的出厂质量证书、每台仪器设备制造厂商出具的使用说明书。</w:t>
      </w:r>
    </w:p>
    <w:p w14:paraId="7091BB16">
      <w:pPr>
        <w:spacing w:line="440" w:lineRule="exact"/>
        <w:ind w:right="-82" w:rightChars="-39" w:firstLine="420" w:firstLineChars="200"/>
        <w:rPr>
          <w:rFonts w:hint="eastAsia" w:ascii="宋体" w:hAnsi="宋体" w:cs="宋体"/>
          <w:szCs w:val="21"/>
          <w:highlight w:val="none"/>
        </w:rPr>
      </w:pPr>
      <w:r>
        <w:rPr>
          <w:rFonts w:hint="eastAsia" w:ascii="宋体" w:hAnsi="宋体" w:cs="宋体"/>
          <w:szCs w:val="21"/>
          <w:highlight w:val="none"/>
        </w:rPr>
        <w:t>2. 乙方应在甲方验收前，向甲方提供按本合同的技术规格、技术规范要求进行的测试报告和验收报告，验收以招投标文件、合同技术规格、产品相应的技术说明为标准。</w:t>
      </w:r>
    </w:p>
    <w:p w14:paraId="421FBCAD">
      <w:pPr>
        <w:spacing w:line="440" w:lineRule="exact"/>
        <w:ind w:right="-82" w:rightChars="-39" w:firstLine="420" w:firstLineChars="200"/>
        <w:rPr>
          <w:rFonts w:hint="eastAsia" w:ascii="宋体" w:hAnsi="宋体" w:cs="宋体"/>
          <w:szCs w:val="21"/>
          <w:highlight w:val="none"/>
        </w:rPr>
      </w:pPr>
      <w:r>
        <w:rPr>
          <w:rFonts w:hint="eastAsia" w:ascii="宋体" w:hAnsi="宋体" w:cs="宋体"/>
          <w:szCs w:val="21"/>
          <w:highlight w:val="none"/>
        </w:rPr>
        <w:t>3. 合同货物（系统）交货（完工）并完成操作培训、粘贴条码，且正常运行30天后，甲方使用单位组织验收。验收应在甲乙双方共同参加下进行。</w:t>
      </w:r>
    </w:p>
    <w:p w14:paraId="34AE413E">
      <w:pPr>
        <w:spacing w:line="440" w:lineRule="exact"/>
        <w:ind w:right="-82" w:rightChars="-39" w:firstLine="420" w:firstLineChars="200"/>
        <w:rPr>
          <w:rFonts w:hint="eastAsia" w:ascii="宋体" w:hAnsi="宋体" w:cs="宋体"/>
          <w:szCs w:val="21"/>
          <w:highlight w:val="none"/>
        </w:rPr>
      </w:pPr>
      <w:r>
        <w:rPr>
          <w:rFonts w:hint="eastAsia" w:ascii="宋体" w:hAnsi="宋体" w:cs="宋体"/>
          <w:szCs w:val="21"/>
          <w:highlight w:val="none"/>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572282B4">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5. 如果合同货物运输和安装调试过程中因事故造成货物短缺、损坏，乙方应及时安排换装，以保证合同货物安装调试的成功完成。换货的相关费用由乙方承担。</w:t>
      </w:r>
    </w:p>
    <w:p w14:paraId="3EE2D6DF">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6. 国内产品或合资厂的产品必须具备出厂合格证。</w:t>
      </w:r>
    </w:p>
    <w:p w14:paraId="5080875A">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7. 进口产品必须具备省级（或相当于省级）商检部门的检验证明，进口免税设备需要同时准备免税证明、报关单、外贸合同。</w:t>
      </w:r>
    </w:p>
    <w:p w14:paraId="56316703">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8. 乙方保证合同项下提供的货物不侵犯任何第三方的专利、商标或版权。否则，乙方须承担对第三方的专利或版权的侵权责任并承担因此而发生的所有费用。</w:t>
      </w:r>
    </w:p>
    <w:p w14:paraId="2067DEF8">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9. 合同货物验收未能通过的，乙方负责及时整改。若整改后仍未能合格的，甲方依法追究其经济及法律责任。</w:t>
      </w:r>
    </w:p>
    <w:p w14:paraId="0982D7BC">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10. 验收合格后双方共同签署验收报告，验收合格日期以最后的签字日为准。</w:t>
      </w:r>
    </w:p>
    <w:p w14:paraId="45E2BD15">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七、培训</w:t>
      </w:r>
    </w:p>
    <w:p w14:paraId="07422DC6">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59864480">
      <w:pPr>
        <w:spacing w:line="440" w:lineRule="exact"/>
        <w:ind w:firstLine="422" w:firstLineChars="200"/>
        <w:rPr>
          <w:rFonts w:hint="eastAsia" w:ascii="宋体" w:hAnsi="宋体" w:cs="宋体"/>
          <w:szCs w:val="21"/>
          <w:highlight w:val="none"/>
        </w:rPr>
      </w:pPr>
      <w:r>
        <w:rPr>
          <w:rFonts w:hint="eastAsia" w:ascii="宋体" w:hAnsi="宋体" w:cs="宋体"/>
          <w:b/>
          <w:szCs w:val="21"/>
          <w:highlight w:val="none"/>
        </w:rPr>
        <w:t>八、付款方式</w:t>
      </w:r>
    </w:p>
    <w:p w14:paraId="6B0CAD6A">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中标的货物安装调试，正常运行30天后，采购方组织有关人员及使用单位联合验收，验收合格后采购方支付合同价的总额。</w:t>
      </w:r>
    </w:p>
    <w:p w14:paraId="466B77D7">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申请付款时必须提交以下文件和资料：1、由甲方签字的验收报告；2、教学、科研设备需开具增值税专用发票，其他货物、服务需开具增值税普通发票。</w:t>
      </w:r>
    </w:p>
    <w:p w14:paraId="5AB9669B">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具体步骤：乙方开具抬头为甲方的发票，并送交甲方；甲方填写《验收报告》，乙方凭《验收报告》由甲方支付货款。</w:t>
      </w:r>
    </w:p>
    <w:p w14:paraId="2732036F">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九、质保期限</w:t>
      </w:r>
    </w:p>
    <w:p w14:paraId="29D9A988">
      <w:pPr>
        <w:spacing w:line="44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国产仪器设备整机免费质保期三年【自验收合格并交付给甲方之日起计算】</w:t>
      </w:r>
      <w:r>
        <w:rPr>
          <w:rFonts w:hint="eastAsia" w:ascii="宋体" w:hAnsi="宋体" w:cs="宋体"/>
          <w:color w:val="auto"/>
          <w:szCs w:val="21"/>
          <w:highlight w:val="none"/>
          <w:lang w:eastAsia="zh-CN"/>
        </w:rPr>
        <w:t>。</w:t>
      </w:r>
    </w:p>
    <w:p w14:paraId="6259A08E">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十、售后服务</w:t>
      </w:r>
    </w:p>
    <w:p w14:paraId="0DF0D29C">
      <w:pPr>
        <w:spacing w:line="440" w:lineRule="exact"/>
        <w:ind w:firstLine="420" w:firstLineChars="200"/>
        <w:rPr>
          <w:rFonts w:hint="eastAsia" w:ascii="宋体" w:hAnsi="宋体" w:cs="宋体"/>
          <w:b w:val="0"/>
          <w:bCs w:val="0"/>
          <w:szCs w:val="21"/>
          <w:highlight w:val="none"/>
        </w:rPr>
      </w:pPr>
      <w:r>
        <w:rPr>
          <w:rFonts w:hint="eastAsia" w:ascii="宋体" w:hAnsi="宋体" w:cs="宋体"/>
          <w:szCs w:val="21"/>
          <w:highlight w:val="none"/>
        </w:rPr>
        <w:t>1. 乙方须指派专人负责与甲方联系售后服务事宜</w:t>
      </w:r>
      <w:r>
        <w:rPr>
          <w:rFonts w:hint="eastAsia" w:ascii="宋体" w:hAnsi="宋体" w:cs="宋体"/>
          <w:b w:val="0"/>
          <w:bCs w:val="0"/>
          <w:szCs w:val="21"/>
          <w:highlight w:val="none"/>
        </w:rPr>
        <w:t>（联系人：</w:t>
      </w:r>
      <w:r>
        <w:rPr>
          <w:rFonts w:hint="eastAsia" w:ascii="宋体" w:hAnsi="宋体" w:cs="宋体"/>
          <w:b w:val="0"/>
          <w:bCs w:val="0"/>
          <w:szCs w:val="21"/>
          <w:highlight w:val="none"/>
          <w:lang w:val="en-US" w:eastAsia="zh-CN"/>
        </w:rPr>
        <w:t>彭晶</w:t>
      </w:r>
      <w:r>
        <w:rPr>
          <w:rFonts w:hint="eastAsia" w:ascii="宋体" w:hAnsi="宋体" w:cs="宋体"/>
          <w:b w:val="0"/>
          <w:bCs w:val="0"/>
          <w:szCs w:val="21"/>
          <w:highlight w:val="none"/>
        </w:rPr>
        <w:t>，电话：</w:t>
      </w:r>
      <w:r>
        <w:rPr>
          <w:rFonts w:hint="eastAsia" w:ascii="宋体" w:hAnsi="宋体" w:cs="宋体"/>
          <w:b w:val="0"/>
          <w:bCs w:val="0"/>
          <w:szCs w:val="21"/>
          <w:highlight w:val="none"/>
          <w:lang w:val="en-US" w:eastAsia="zh-CN"/>
        </w:rPr>
        <w:t>15290883986</w:t>
      </w:r>
      <w:r>
        <w:rPr>
          <w:rFonts w:hint="eastAsia" w:ascii="宋体" w:hAnsi="宋体" w:cs="宋体"/>
          <w:b w:val="0"/>
          <w:bCs w:val="0"/>
          <w:szCs w:val="21"/>
          <w:highlight w:val="none"/>
        </w:rPr>
        <w:t>）。</w:t>
      </w:r>
    </w:p>
    <w:p w14:paraId="11131FB4">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2. 质保期内，乙方负责对其提供的货物上门进行硬件维修、软件维护和升级等免费服务，甲方不再支付任何费用，但人为因素或自然灾害造成的损坏除外。</w:t>
      </w:r>
    </w:p>
    <w:p w14:paraId="02424658">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3. 质保期内，乙方在接到甲方系统故障或问题告知后，8小时内做出回应，48小时内到达现场排除故障。</w:t>
      </w:r>
    </w:p>
    <w:p w14:paraId="21C92CBF">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609EC612">
      <w:pPr>
        <w:spacing w:line="440" w:lineRule="exact"/>
        <w:ind w:firstLine="422" w:firstLineChars="200"/>
        <w:rPr>
          <w:rFonts w:hint="eastAsia" w:ascii="宋体" w:hAnsi="宋体" w:cs="宋体"/>
          <w:b/>
          <w:bCs/>
          <w:szCs w:val="21"/>
          <w:highlight w:val="none"/>
        </w:rPr>
      </w:pPr>
      <w:r>
        <w:rPr>
          <w:rFonts w:hint="eastAsia" w:ascii="宋体" w:hAnsi="宋体" w:cs="宋体"/>
          <w:b/>
          <w:bCs/>
          <w:szCs w:val="21"/>
          <w:highlight w:val="none"/>
        </w:rPr>
        <w:t>十一、索赔</w:t>
      </w:r>
    </w:p>
    <w:p w14:paraId="46B0A801">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1. 甲方如对乙方所提供的货物有异议，甲方有权根据有关检验结果向乙方提出索赔。</w:t>
      </w:r>
    </w:p>
    <w:p w14:paraId="08BEA276">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2. 在合同执行期间，如果乙方对甲方提出的索赔和差异负有责任，乙方应按照甲方同意的下列一种或多种方式解决索赔事宜：</w:t>
      </w:r>
    </w:p>
    <w:p w14:paraId="6845E54A">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⑴ 乙方同意退货，并按合同规定的同种货币将货款退还给甲方，并承担由此发生的一切损失和费用。</w:t>
      </w:r>
    </w:p>
    <w:p w14:paraId="792BEEEE">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⑵ 根据货物低劣程度、损坏程度以及甲方所遭受损失的数额甲乙双方商定降低货物的价格。</w:t>
      </w:r>
    </w:p>
    <w:p w14:paraId="6E0F6D72">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⑶ 用符合规格、质量和性能要求的新零件、部件或货物来更换有缺陷的部分或修补缺陷的部分，乙方应承担一切费用和风险并负有甲方所发生的一切直接费用。同时，延长质量保证期。</w:t>
      </w:r>
    </w:p>
    <w:p w14:paraId="6C3613BB">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3. 如果在甲方发出索赔通知后</w:t>
      </w:r>
      <w:r>
        <w:rPr>
          <w:rFonts w:hint="eastAsia" w:ascii="宋体" w:hAnsi="宋体" w:cs="宋体"/>
          <w:szCs w:val="21"/>
          <w:highlight w:val="none"/>
          <w:shd w:val="clear" w:color="auto" w:fill="FFFFFF"/>
        </w:rPr>
        <w:t>30</w:t>
      </w:r>
      <w:r>
        <w:rPr>
          <w:rFonts w:hint="eastAsia" w:ascii="宋体" w:hAnsi="宋体" w:cs="宋体"/>
          <w:szCs w:val="21"/>
          <w:highlight w:val="none"/>
        </w:rPr>
        <w:t>天内，乙方未作答复，上述索赔应视为已被乙方接受。甲方将从合同款项中扣回索赔金额。如果这些金额不足以补偿索赔金额，甲方有权向乙方提出不足部分的补偿。</w:t>
      </w:r>
    </w:p>
    <w:p w14:paraId="703227CA">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十二、违约责任</w:t>
      </w:r>
    </w:p>
    <w:p w14:paraId="76400D52">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1. 乙方未能交付货物，则向甲方支付合同总额20%的违约金，同时履约保证金不予退还。</w:t>
      </w:r>
    </w:p>
    <w:p w14:paraId="682B0627">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2. 乙方交付的货物与投标文件或合同不相符的，甲方有权拒收，乙方向甲方支付合同总额30%的违约金，同时履约保证金不予退还。</w:t>
      </w:r>
    </w:p>
    <w:p w14:paraId="536ACA96">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3. 甲方无正当理由拒收货物，拒付货款的，则向乙方支付合同总额10%的违约金。</w:t>
      </w:r>
    </w:p>
    <w:p w14:paraId="597E74CE">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75CE98A0">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5. 甲方逾期付款，则每延迟一周付款甲方应向乙方支付货款总额0.5%违约金，违约金总额不超过合同总价的5%（不可抗力除外）。</w:t>
      </w:r>
    </w:p>
    <w:p w14:paraId="5D4D65D2">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32422CBD">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7.若乙方提出换货，则按第十二条第2款执行。</w:t>
      </w:r>
    </w:p>
    <w:p w14:paraId="752A8455">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十三、争端的解决</w:t>
      </w:r>
    </w:p>
    <w:p w14:paraId="1B05CB20">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1.凡与本合同有关而引起的一切争执和分歧，甲乙双方通过友好协商解决或提交河南省政府采购管理部门调解，如协商或调解不成，任何一方可以向甲方所在地仲裁委员会申请仲裁裁决。</w:t>
      </w:r>
    </w:p>
    <w:p w14:paraId="33597466">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2.在进行仲裁期间，除提交仲裁机构的事项外，合同其他部分应继续履行。</w:t>
      </w:r>
    </w:p>
    <w:p w14:paraId="18BD276E">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十四、</w:t>
      </w:r>
      <w:r>
        <w:rPr>
          <w:rFonts w:hint="eastAsia" w:ascii="宋体" w:hAnsi="宋体" w:cs="宋体"/>
          <w:b/>
          <w:bCs/>
          <w:szCs w:val="21"/>
          <w:highlight w:val="none"/>
        </w:rPr>
        <w:t>合同组成</w:t>
      </w:r>
    </w:p>
    <w:p w14:paraId="05DE1752">
      <w:pPr>
        <w:spacing w:line="440" w:lineRule="exact"/>
        <w:ind w:firstLine="420" w:firstLineChars="200"/>
        <w:rPr>
          <w:rFonts w:hint="eastAsia" w:ascii="宋体" w:hAnsi="宋体" w:cs="宋体"/>
          <w:szCs w:val="21"/>
          <w:highlight w:val="none"/>
        </w:rPr>
      </w:pPr>
      <w:r>
        <w:rPr>
          <w:rFonts w:hint="eastAsia" w:ascii="宋体" w:hAnsi="宋体" w:cs="宋体"/>
          <w:bCs/>
          <w:szCs w:val="21"/>
          <w:highlight w:val="none"/>
        </w:rPr>
        <w:t>本项目</w:t>
      </w:r>
      <w:r>
        <w:rPr>
          <w:rFonts w:hint="eastAsia" w:ascii="宋体" w:hAnsi="宋体" w:cs="宋体"/>
          <w:szCs w:val="21"/>
          <w:highlight w:val="none"/>
        </w:rPr>
        <w:t>招标文件、投标文件及下列附件等均为本合同的有效组成部分，与本合同具有同样法律效力。</w:t>
      </w:r>
    </w:p>
    <w:p w14:paraId="07A8E371">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1. 中标通知书（附件1）；</w:t>
      </w:r>
    </w:p>
    <w:p w14:paraId="715E757F">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 xml:space="preserve">2. </w:t>
      </w:r>
      <w:r>
        <w:rPr>
          <w:rFonts w:hint="eastAsia" w:ascii="宋体" w:hAnsi="宋体" w:cs="宋体"/>
          <w:bCs/>
          <w:szCs w:val="21"/>
          <w:highlight w:val="none"/>
        </w:rPr>
        <w:t>中标货物分项报价一览表</w:t>
      </w:r>
      <w:r>
        <w:rPr>
          <w:rFonts w:hint="eastAsia" w:ascii="宋体" w:hAnsi="宋体" w:cs="宋体"/>
          <w:szCs w:val="21"/>
          <w:highlight w:val="none"/>
        </w:rPr>
        <w:t>（附件2）；</w:t>
      </w:r>
    </w:p>
    <w:p w14:paraId="48107847">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3. 中标货物制造商</w:t>
      </w:r>
      <w:r>
        <w:rPr>
          <w:rFonts w:hint="eastAsia" w:ascii="宋体" w:hAnsi="宋体" w:cs="宋体"/>
          <w:bCs/>
          <w:szCs w:val="21"/>
          <w:highlight w:val="none"/>
        </w:rPr>
        <w:t>配置清单</w:t>
      </w:r>
      <w:r>
        <w:rPr>
          <w:rFonts w:hint="eastAsia" w:ascii="宋体" w:hAnsi="宋体" w:cs="宋体"/>
          <w:szCs w:val="21"/>
          <w:highlight w:val="none"/>
        </w:rPr>
        <w:t>（附件3）；</w:t>
      </w:r>
    </w:p>
    <w:p w14:paraId="67971D78">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 xml:space="preserve">4. 中标货物技术参数及配置表（附件4）； </w:t>
      </w:r>
    </w:p>
    <w:p w14:paraId="2CE39B18">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5. 供货商质量保障及服务表（附件5）；</w:t>
      </w:r>
    </w:p>
    <w:p w14:paraId="7489A630">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6. 中标货物安装培训计划表（附件6）</w:t>
      </w:r>
    </w:p>
    <w:p w14:paraId="16632B5A">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7. 中标货物制造商售后服务承诺（附件7）</w:t>
      </w:r>
    </w:p>
    <w:p w14:paraId="4ABD8D44">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484D0E69">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十五、合同解除和终止</w:t>
      </w:r>
    </w:p>
    <w:p w14:paraId="36733CCE">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1. 甲乙双方各自完成合同规定的责任和义务，合同自然终止。</w:t>
      </w:r>
    </w:p>
    <w:p w14:paraId="6C430AD7">
      <w:pPr>
        <w:spacing w:line="440" w:lineRule="exact"/>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2. 如果一方严重违反合同，并在收到对方违约通知书后在</w:t>
      </w:r>
      <w:r>
        <w:rPr>
          <w:rFonts w:hint="eastAsia" w:ascii="宋体" w:hAnsi="宋体" w:cs="宋体"/>
          <w:szCs w:val="21"/>
          <w:highlight w:val="none"/>
          <w:shd w:val="clear" w:color="auto" w:fill="FFFFFF"/>
        </w:rPr>
        <w:t>30</w:t>
      </w:r>
      <w:r>
        <w:rPr>
          <w:rFonts w:hint="eastAsia" w:ascii="宋体" w:hAnsi="宋体" w:cs="宋体"/>
          <w:szCs w:val="21"/>
          <w:highlight w:val="none"/>
        </w:rPr>
        <w:t>天内或在指定期限内仍未</w:t>
      </w:r>
      <w:r>
        <w:rPr>
          <w:rFonts w:hint="eastAsia" w:ascii="宋体" w:hAnsi="宋体" w:eastAsia="宋体" w:cs="宋体"/>
          <w:szCs w:val="21"/>
          <w:highlight w:val="none"/>
          <w:lang w:eastAsia="zh-CN"/>
        </w:rPr>
        <w:drawing>
          <wp:anchor distT="0" distB="0" distL="114300" distR="114300" simplePos="0" relativeHeight="251660288" behindDoc="0" locked="0" layoutInCell="1" allowOverlap="1">
            <wp:simplePos x="0" y="0"/>
            <wp:positionH relativeFrom="column">
              <wp:posOffset>-2729865</wp:posOffset>
            </wp:positionH>
            <wp:positionV relativeFrom="paragraph">
              <wp:posOffset>652145</wp:posOffset>
            </wp:positionV>
            <wp:extent cx="10714355" cy="7573645"/>
            <wp:effectExtent l="0" t="0" r="8255" b="10795"/>
            <wp:wrapNone/>
            <wp:docPr id="12" name="图片 12" descr="20250328111948171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50328111948171_0007"/>
                    <pic:cNvPicPr>
                      <a:picLocks noChangeAspect="1"/>
                    </pic:cNvPicPr>
                  </pic:nvPicPr>
                  <pic:blipFill>
                    <a:blip r:embed="rId6"/>
                    <a:stretch>
                      <a:fillRect/>
                    </a:stretch>
                  </pic:blipFill>
                  <pic:spPr>
                    <a:xfrm rot="16200000">
                      <a:off x="0" y="0"/>
                      <a:ext cx="10714355" cy="7573645"/>
                    </a:xfrm>
                    <a:prstGeom prst="rect">
                      <a:avLst/>
                    </a:prstGeom>
                  </pic:spPr>
                </pic:pic>
              </a:graphicData>
            </a:graphic>
          </wp:anchor>
        </w:drawing>
      </w:r>
      <w:r>
        <w:rPr>
          <w:rFonts w:hint="eastAsia" w:ascii="宋体" w:hAnsi="宋体" w:cs="宋体"/>
          <w:szCs w:val="21"/>
          <w:highlight w:val="none"/>
        </w:rPr>
        <w:t>能改正违约的，另一方可立即终止本合同。</w:t>
      </w:r>
    </w:p>
    <w:p w14:paraId="655B6D89">
      <w:pPr>
        <w:spacing w:line="440" w:lineRule="exact"/>
        <w:ind w:firstLine="422" w:firstLineChars="200"/>
        <w:rPr>
          <w:rFonts w:hint="eastAsia" w:ascii="宋体" w:hAnsi="宋体" w:cs="宋体"/>
          <w:b/>
          <w:szCs w:val="21"/>
          <w:highlight w:val="none"/>
        </w:rPr>
      </w:pPr>
      <w:r>
        <w:rPr>
          <w:rFonts w:hint="eastAsia" w:ascii="宋体" w:hAnsi="宋体" w:cs="宋体"/>
          <w:b/>
          <w:szCs w:val="21"/>
          <w:highlight w:val="none"/>
        </w:rPr>
        <w:t>十六、其它</w:t>
      </w:r>
    </w:p>
    <w:p w14:paraId="2FE4CF75">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1. 本合同乙方不得将本合同全部或部分分包给他人。乙方在任何情况下都不得全部或部分转让其应履行的合同义务。</w:t>
      </w:r>
    </w:p>
    <w:p w14:paraId="3C7F980E">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2. 合同若有变更须经甲乙双方签字确认。</w:t>
      </w:r>
    </w:p>
    <w:p w14:paraId="02CD04F8">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3．在执行本合同的过程中，所有经双方签署确认的文件（包括会议纪要、补充协议、合同修改书、往来信函等）均为本合同的有效组成部分，其生效日期为双方签字盖章或确认之日期。</w:t>
      </w:r>
    </w:p>
    <w:p w14:paraId="1992AB15">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4. 本合同经甲方、乙方法定代表人或授权代理人签字、盖章后生效，生效日以最后一个签字日为准。</w:t>
      </w:r>
    </w:p>
    <w:p w14:paraId="511A81D2">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5.乙方承诺负责本合同货物的报废回收事宜。</w:t>
      </w:r>
    </w:p>
    <w:p w14:paraId="2FDB6D26">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6. 本合同一式十份，其中甲方六份、乙方二份，招标公司二份。</w:t>
      </w:r>
    </w:p>
    <w:p w14:paraId="3E9FC973">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7. 本合同合计</w:t>
      </w:r>
      <w:r>
        <w:rPr>
          <w:rFonts w:hint="eastAsia" w:ascii="宋体" w:hAnsi="宋体" w:cs="宋体"/>
          <w:b/>
          <w:bCs/>
          <w:szCs w:val="21"/>
          <w:highlight w:val="none"/>
          <w:u w:val="single"/>
          <w:lang w:val="en-US" w:eastAsia="zh-CN"/>
        </w:rPr>
        <w:t>22</w:t>
      </w:r>
      <w:r>
        <w:rPr>
          <w:rFonts w:hint="eastAsia" w:ascii="宋体" w:hAnsi="宋体" w:cs="宋体"/>
          <w:szCs w:val="21"/>
          <w:highlight w:val="none"/>
        </w:rPr>
        <w:t>页A4纸张，缺页、缺签字日期之合同为无效合同。</w:t>
      </w:r>
    </w:p>
    <w:p w14:paraId="0D63F8DA">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8. 合同正式签订后，乙方应在两日内向甲方提供合同网络备案所需要的电子和纸质文档资料各一份，否则影响货款支付，后果自负。</w:t>
      </w:r>
    </w:p>
    <w:p w14:paraId="301EAA02">
      <w:pPr>
        <w:spacing w:line="440" w:lineRule="exact"/>
        <w:ind w:firstLine="420" w:firstLineChars="200"/>
        <w:rPr>
          <w:rFonts w:hint="eastAsia" w:ascii="宋体" w:hAnsi="宋体" w:cs="宋体"/>
          <w:szCs w:val="21"/>
          <w:highlight w:val="none"/>
        </w:rPr>
      </w:pPr>
      <w:r>
        <w:rPr>
          <w:rFonts w:hint="eastAsia" w:ascii="宋体" w:hAnsi="宋体" w:cs="宋体"/>
          <w:szCs w:val="21"/>
          <w:highlight w:val="none"/>
        </w:rPr>
        <w:t>9. 未详尽之处双方协商解决。</w:t>
      </w:r>
    </w:p>
    <w:p w14:paraId="3E07EEC1">
      <w:pPr>
        <w:spacing w:line="240" w:lineRule="auto"/>
        <w:rPr>
          <w:rFonts w:hint="eastAsia" w:ascii="宋体" w:hAnsi="宋体" w:cs="宋体"/>
          <w:szCs w:val="21"/>
          <w:highlight w:val="none"/>
        </w:rPr>
      </w:pPr>
    </w:p>
    <w:p w14:paraId="1137CAE5">
      <w:pPr>
        <w:spacing w:line="440" w:lineRule="exact"/>
        <w:rPr>
          <w:rFonts w:hint="eastAsia" w:ascii="宋体" w:hAnsi="宋体" w:cs="宋体"/>
          <w:szCs w:val="21"/>
          <w:highlight w:val="none"/>
        </w:rPr>
      </w:pPr>
      <w:r>
        <w:rPr>
          <w:rFonts w:hint="eastAsia" w:ascii="宋体" w:hAnsi="宋体" w:cs="宋体"/>
          <w:szCs w:val="21"/>
          <w:highlight w:val="none"/>
        </w:rPr>
        <w:t>甲方：河南中医药大学</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乙方：</w:t>
      </w:r>
      <w:r>
        <w:rPr>
          <w:rFonts w:hint="eastAsia" w:ascii="宋体" w:hAnsi="宋体" w:eastAsia="宋体" w:cs="宋体"/>
          <w:sz w:val="21"/>
          <w:szCs w:val="21"/>
        </w:rPr>
        <w:t>河南赫航工程技术有限公司</w:t>
      </w:r>
    </w:p>
    <w:p w14:paraId="034A3EF0">
      <w:pPr>
        <w:spacing w:line="440" w:lineRule="exact"/>
        <w:rPr>
          <w:rFonts w:hint="eastAsia" w:ascii="宋体" w:hAnsi="宋体" w:cs="宋体"/>
          <w:szCs w:val="21"/>
          <w:highlight w:val="none"/>
        </w:rPr>
      </w:pPr>
      <w:r>
        <w:rPr>
          <w:rFonts w:hint="eastAsia" w:ascii="宋体" w:hAnsi="宋体" w:cs="宋体"/>
          <w:szCs w:val="21"/>
          <w:highlight w:val="none"/>
        </w:rPr>
        <w:t>地址</w:t>
      </w:r>
      <w:r>
        <w:rPr>
          <w:rFonts w:hint="eastAsia" w:ascii="宋体" w:hAnsi="宋体" w:cs="宋体"/>
          <w:szCs w:val="21"/>
          <w:highlight w:val="none"/>
          <w:lang w:eastAsia="zh-CN"/>
        </w:rPr>
        <w:t>：</w:t>
      </w:r>
      <w:r>
        <w:rPr>
          <w:rFonts w:hint="eastAsia" w:ascii="宋体" w:hAnsi="宋体" w:cs="宋体"/>
          <w:szCs w:val="21"/>
          <w:highlight w:val="none"/>
        </w:rPr>
        <w:t>河南省郑州市郑东新区金水东路156号     地址:</w:t>
      </w:r>
      <w:r>
        <w:rPr>
          <w:rFonts w:hint="eastAsia" w:ascii="宋体" w:hAnsi="宋体" w:eastAsia="宋体" w:cs="宋体"/>
          <w:sz w:val="21"/>
          <w:szCs w:val="21"/>
        </w:rPr>
        <w:t>河南省郑州市管城回族区紫东路</w:t>
      </w:r>
    </w:p>
    <w:p w14:paraId="04A6D175">
      <w:pPr>
        <w:spacing w:line="240" w:lineRule="auto"/>
        <w:ind w:leftChars="2500"/>
        <w:rPr>
          <w:rFonts w:hint="eastAsia" w:ascii="宋体" w:hAnsi="宋体" w:cs="宋体"/>
          <w:szCs w:val="21"/>
          <w:highlight w:val="none"/>
        </w:rPr>
      </w:pPr>
      <w:r>
        <w:rPr>
          <w:rFonts w:hint="eastAsia" w:ascii="宋体" w:hAnsi="宋体" w:eastAsia="宋体" w:cs="宋体"/>
          <w:sz w:val="21"/>
          <w:szCs w:val="21"/>
        </w:rPr>
        <w:t>186号1号楼16层1618号</w:t>
      </w:r>
    </w:p>
    <w:p w14:paraId="193836F9">
      <w:pPr>
        <w:spacing w:line="440" w:lineRule="exact"/>
        <w:rPr>
          <w:rFonts w:hint="eastAsia" w:ascii="宋体" w:hAnsi="宋体" w:cs="宋体"/>
          <w:szCs w:val="21"/>
          <w:highlight w:val="none"/>
        </w:rPr>
      </w:pPr>
      <w:r>
        <w:rPr>
          <w:rFonts w:hint="eastAsia" w:ascii="宋体" w:hAnsi="宋体" w:cs="宋体"/>
          <w:szCs w:val="21"/>
          <w:highlight w:val="none"/>
        </w:rPr>
        <w:t xml:space="preserve">项目组织实施单位负责人签字：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企业法人签字：</w:t>
      </w:r>
    </w:p>
    <w:p w14:paraId="71953CE4">
      <w:pPr>
        <w:spacing w:line="240" w:lineRule="auto"/>
        <w:rPr>
          <w:rFonts w:hint="eastAsia" w:ascii="宋体" w:hAnsi="宋体" w:cs="宋体"/>
          <w:szCs w:val="21"/>
          <w:highlight w:val="none"/>
        </w:rPr>
      </w:pPr>
    </w:p>
    <w:p w14:paraId="49E2AEA8">
      <w:pPr>
        <w:spacing w:line="440" w:lineRule="exact"/>
        <w:rPr>
          <w:rFonts w:hint="eastAsia" w:ascii="宋体" w:hAnsi="宋体" w:cs="宋体"/>
          <w:szCs w:val="21"/>
          <w:highlight w:val="none"/>
        </w:rPr>
      </w:pPr>
      <w:r>
        <w:rPr>
          <w:rFonts w:hint="eastAsia" w:ascii="宋体" w:hAnsi="宋体" w:cs="宋体"/>
          <w:szCs w:val="21"/>
          <w:highlight w:val="none"/>
        </w:rPr>
        <w:t>项目主管校领导签字：                         被授权人签字：</w:t>
      </w:r>
    </w:p>
    <w:p w14:paraId="539C91A4">
      <w:pPr>
        <w:spacing w:line="240" w:lineRule="auto"/>
        <w:rPr>
          <w:rFonts w:hint="eastAsia" w:ascii="宋体" w:hAnsi="宋体" w:cs="宋体"/>
          <w:szCs w:val="21"/>
          <w:highlight w:val="none"/>
        </w:rPr>
      </w:pPr>
    </w:p>
    <w:p w14:paraId="73A373FF">
      <w:pPr>
        <w:spacing w:line="440" w:lineRule="exact"/>
        <w:rPr>
          <w:rFonts w:hint="eastAsia" w:ascii="宋体" w:hAnsi="宋体" w:cs="宋体"/>
          <w:szCs w:val="21"/>
          <w:highlight w:val="none"/>
        </w:rPr>
      </w:pPr>
      <w:r>
        <w:rPr>
          <w:rFonts w:hint="eastAsia" w:ascii="宋体" w:hAnsi="宋体" w:cs="宋体"/>
          <w:szCs w:val="21"/>
          <w:highlight w:val="none"/>
        </w:rPr>
        <w:t>学校印章:                                    单位印章:</w:t>
      </w:r>
    </w:p>
    <w:p w14:paraId="702C8AF9">
      <w:pPr>
        <w:spacing w:line="440" w:lineRule="exact"/>
        <w:rPr>
          <w:rFonts w:hint="eastAsia" w:ascii="宋体" w:hAnsi="宋体" w:cs="宋体"/>
          <w:szCs w:val="21"/>
          <w:highlight w:val="none"/>
        </w:rPr>
      </w:pPr>
      <w:r>
        <w:rPr>
          <w:rFonts w:hint="eastAsia" w:ascii="宋体" w:hAnsi="宋体" w:cs="宋体"/>
          <w:szCs w:val="21"/>
          <w:highlight w:val="none"/>
        </w:rPr>
        <w:t xml:space="preserve">                                             开户银行:</w:t>
      </w:r>
    </w:p>
    <w:p w14:paraId="27086E65">
      <w:pPr>
        <w:spacing w:line="440" w:lineRule="exact"/>
        <w:rPr>
          <w:rFonts w:hint="eastAsia" w:ascii="宋体" w:hAnsi="宋体" w:cs="宋体"/>
          <w:szCs w:val="21"/>
          <w:highlight w:val="none"/>
        </w:rPr>
      </w:pPr>
      <w:r>
        <w:rPr>
          <w:rFonts w:hint="eastAsia" w:ascii="宋体" w:hAnsi="宋体" w:cs="宋体"/>
          <w:szCs w:val="21"/>
          <w:highlight w:val="none"/>
        </w:rPr>
        <w:t xml:space="preserve">                                             帐    号:</w:t>
      </w:r>
    </w:p>
    <w:p w14:paraId="1EB5AAD9">
      <w:pPr>
        <w:spacing w:line="440" w:lineRule="exact"/>
        <w:rPr>
          <w:rFonts w:hint="eastAsia" w:ascii="宋体" w:hAnsi="宋体" w:cs="宋体"/>
          <w:szCs w:val="21"/>
          <w:highlight w:val="none"/>
        </w:rPr>
      </w:pPr>
      <w:r>
        <w:rPr>
          <w:rFonts w:hint="eastAsia" w:ascii="宋体" w:hAnsi="宋体" w:cs="宋体"/>
          <w:szCs w:val="21"/>
          <w:highlight w:val="none"/>
        </w:rPr>
        <w:t xml:space="preserve">                                             名    称：</w:t>
      </w:r>
      <w:r>
        <w:rPr>
          <w:rFonts w:hint="eastAsia" w:ascii="宋体" w:hAnsi="宋体" w:eastAsia="宋体" w:cs="宋体"/>
          <w:sz w:val="21"/>
          <w:szCs w:val="21"/>
        </w:rPr>
        <w:t>河南赫航工程技术有限公司</w:t>
      </w:r>
    </w:p>
    <w:p w14:paraId="5244A216">
      <w:pPr>
        <w:spacing w:line="440" w:lineRule="exact"/>
        <w:rPr>
          <w:rFonts w:hint="eastAsia" w:ascii="宋体" w:hAnsi="宋体" w:eastAsia="宋体" w:cs="宋体"/>
          <w:szCs w:val="21"/>
          <w:highlight w:val="none"/>
          <w:lang w:val="en-US" w:eastAsia="zh-CN"/>
        </w:rPr>
      </w:pPr>
      <w:r>
        <w:rPr>
          <w:rFonts w:hint="eastAsia" w:ascii="宋体" w:hAnsi="宋体" w:cs="宋体"/>
          <w:szCs w:val="21"/>
          <w:highlight w:val="none"/>
        </w:rPr>
        <w:t>电    话：</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电话：</w:t>
      </w:r>
      <w:r>
        <w:rPr>
          <w:rFonts w:hint="eastAsia" w:ascii="宋体" w:hAnsi="宋体" w:eastAsia="宋体" w:cs="宋体"/>
          <w:sz w:val="21"/>
          <w:szCs w:val="21"/>
          <w:lang w:val="en-US" w:eastAsia="zh-CN"/>
        </w:rPr>
        <w:t>15290883986</w:t>
      </w:r>
      <w:r>
        <w:rPr>
          <w:rFonts w:hint="eastAsia" w:ascii="宋体" w:hAnsi="宋体" w:cs="宋体"/>
          <w:szCs w:val="21"/>
          <w:highlight w:val="none"/>
        </w:rPr>
        <w:t xml:space="preserve">    传真：</w:t>
      </w:r>
      <w:r>
        <w:rPr>
          <w:rFonts w:hint="eastAsia" w:ascii="宋体" w:hAnsi="宋体" w:cs="宋体"/>
          <w:szCs w:val="21"/>
          <w:highlight w:val="none"/>
          <w:lang w:val="en-US" w:eastAsia="zh-CN"/>
        </w:rPr>
        <w:t>/</w:t>
      </w:r>
    </w:p>
    <w:p w14:paraId="123CEAC6">
      <w:pPr>
        <w:spacing w:line="440" w:lineRule="exact"/>
        <w:rPr>
          <w:rFonts w:hint="eastAsia" w:ascii="宋体" w:hAnsi="宋体" w:cs="宋体"/>
          <w:szCs w:val="21"/>
          <w:highlight w:val="none"/>
        </w:rPr>
      </w:pPr>
      <w:r>
        <w:rPr>
          <w:rFonts w:hint="eastAsia" w:ascii="宋体" w:hAnsi="宋体" w:cs="宋体"/>
          <w:szCs w:val="21"/>
          <w:highlight w:val="none"/>
        </w:rPr>
        <w:t>传    真：</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联系人手机：</w:t>
      </w:r>
      <w:r>
        <w:rPr>
          <w:rFonts w:hint="eastAsia" w:ascii="宋体" w:hAnsi="宋体" w:eastAsia="宋体" w:cs="宋体"/>
          <w:sz w:val="21"/>
          <w:szCs w:val="21"/>
          <w:lang w:val="en-US" w:eastAsia="zh-CN"/>
        </w:rPr>
        <w:t>15290883986</w:t>
      </w:r>
    </w:p>
    <w:p w14:paraId="7C3FDA1D">
      <w:pPr>
        <w:spacing w:line="440" w:lineRule="exact"/>
        <w:rPr>
          <w:rFonts w:hint="eastAsia" w:ascii="宋体" w:hAnsi="宋体" w:cs="宋体"/>
          <w:b/>
          <w:szCs w:val="21"/>
          <w:highlight w:val="none"/>
        </w:rPr>
      </w:pPr>
      <w:r>
        <w:rPr>
          <w:rFonts w:hint="eastAsia" w:ascii="宋体" w:hAnsi="宋体" w:cs="宋体"/>
          <w:szCs w:val="21"/>
          <w:highlight w:val="none"/>
        </w:rPr>
        <w:t xml:space="preserve">签字日期：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年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月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日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签字日期：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年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月  </w:t>
      </w:r>
      <w:r>
        <w:rPr>
          <w:rFonts w:hint="eastAsia" w:ascii="宋体" w:hAnsi="宋体" w:cs="宋体"/>
          <w:szCs w:val="21"/>
          <w:highlight w:val="none"/>
          <w:lang w:val="en-US" w:eastAsia="zh-CN"/>
        </w:rPr>
        <w:t xml:space="preserve">   </w:t>
      </w:r>
      <w:r>
        <w:rPr>
          <w:rFonts w:hint="eastAsia" w:ascii="宋体" w:hAnsi="宋体" w:cs="宋体"/>
          <w:szCs w:val="21"/>
          <w:highlight w:val="none"/>
        </w:rPr>
        <w:t>日</w:t>
      </w:r>
    </w:p>
    <w:p w14:paraId="04909B73">
      <w:pPr>
        <w:spacing w:line="360" w:lineRule="auto"/>
        <w:rPr>
          <w:rFonts w:ascii="宋体" w:hAnsi="宋体"/>
          <w:b/>
          <w:sz w:val="24"/>
          <w:szCs w:val="24"/>
          <w:highlight w:val="none"/>
        </w:rPr>
      </w:pPr>
    </w:p>
    <w:p w14:paraId="4D3FD104">
      <w:pPr>
        <w:spacing w:line="360" w:lineRule="auto"/>
        <w:rPr>
          <w:rFonts w:hint="eastAsia" w:ascii="宋体" w:hAnsi="宋体" w:cs="宋体"/>
          <w:b/>
          <w:szCs w:val="21"/>
          <w:highlight w:val="none"/>
        </w:rPr>
      </w:pPr>
      <w:r>
        <w:rPr>
          <w:rFonts w:hint="eastAsia" w:ascii="宋体" w:hAnsi="宋体" w:cs="宋体"/>
          <w:b/>
          <w:szCs w:val="21"/>
          <w:highlight w:val="none"/>
        </w:rPr>
        <w:t>附件1：</w:t>
      </w:r>
    </w:p>
    <w:p w14:paraId="2EA53AFD">
      <w:pPr>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中标通知书（扫描）</w:t>
      </w:r>
    </w:p>
    <w:p w14:paraId="5238AC2C">
      <w:pPr>
        <w:bidi w:val="0"/>
        <w:rPr>
          <w:rFonts w:hint="eastAsia" w:eastAsia="宋体"/>
          <w:lang w:eastAsia="zh-CN"/>
        </w:rPr>
      </w:pPr>
      <w:r>
        <w:rPr>
          <w:rFonts w:hint="eastAsia" w:eastAsia="宋体"/>
          <w:lang w:eastAsia="zh-CN"/>
        </w:rPr>
        <w:drawing>
          <wp:inline distT="0" distB="0" distL="114300" distR="114300">
            <wp:extent cx="5315585" cy="7566025"/>
            <wp:effectExtent l="0" t="0" r="18415" b="15875"/>
            <wp:docPr id="1" name="图片 1" descr="d12e71e8cc0ea7b276fca839880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2e71e8cc0ea7b276fca8398808934"/>
                    <pic:cNvPicPr>
                      <a:picLocks noChangeAspect="1"/>
                    </pic:cNvPicPr>
                  </pic:nvPicPr>
                  <pic:blipFill>
                    <a:blip r:embed="rId7"/>
                    <a:srcRect r="917" b="401"/>
                    <a:stretch>
                      <a:fillRect/>
                    </a:stretch>
                  </pic:blipFill>
                  <pic:spPr>
                    <a:xfrm>
                      <a:off x="0" y="0"/>
                      <a:ext cx="5315585" cy="7566025"/>
                    </a:xfrm>
                    <a:prstGeom prst="rect">
                      <a:avLst/>
                    </a:prstGeom>
                  </pic:spPr>
                </pic:pic>
              </a:graphicData>
            </a:graphic>
          </wp:inline>
        </w:drawing>
      </w:r>
    </w:p>
    <w:p w14:paraId="536D4416">
      <w:pPr>
        <w:spacing w:line="440" w:lineRule="exact"/>
        <w:rPr>
          <w:rFonts w:ascii="楷体_GB2312" w:hAnsi="宋体" w:cs="宋体"/>
          <w:sz w:val="24"/>
          <w:szCs w:val="24"/>
          <w:highlight w:val="none"/>
        </w:rPr>
      </w:pPr>
    </w:p>
    <w:p w14:paraId="7F4297F8">
      <w:pPr>
        <w:widowControl/>
        <w:jc w:val="left"/>
        <w:rPr>
          <w:rFonts w:ascii="宋体" w:hAnsi="宋体" w:cs="宋体"/>
          <w:b/>
          <w:sz w:val="24"/>
          <w:szCs w:val="24"/>
          <w:highlight w:val="none"/>
        </w:rPr>
        <w:sectPr>
          <w:footerReference r:id="rId3" w:type="default"/>
          <w:pgSz w:w="11906" w:h="16838"/>
          <w:pgMar w:top="1440" w:right="1800" w:bottom="1440" w:left="1800" w:header="851" w:footer="992" w:gutter="0"/>
          <w:pgNumType w:fmt="decimal" w:start="1"/>
          <w:cols w:space="720" w:num="1"/>
          <w:docGrid w:type="lines" w:linePitch="312" w:charSpace="0"/>
        </w:sectPr>
      </w:pPr>
    </w:p>
    <w:p w14:paraId="56F18B88">
      <w:pPr>
        <w:spacing w:line="440" w:lineRule="exact"/>
        <w:rPr>
          <w:rFonts w:hint="eastAsia" w:ascii="宋体" w:hAnsi="宋体" w:cs="宋体"/>
          <w:b/>
          <w:szCs w:val="21"/>
          <w:highlight w:val="none"/>
        </w:rPr>
      </w:pPr>
      <w:r>
        <w:rPr>
          <w:rFonts w:hint="eastAsia" w:ascii="宋体" w:hAnsi="宋体" w:cs="宋体"/>
          <w:b/>
          <w:szCs w:val="21"/>
          <w:highlight w:val="none"/>
        </w:rPr>
        <w:t>附件2</w:t>
      </w:r>
    </w:p>
    <w:p w14:paraId="6E00CA4D">
      <w:pPr>
        <w:spacing w:line="440" w:lineRule="exact"/>
        <w:rPr>
          <w:rFonts w:hint="eastAsia" w:ascii="宋体" w:hAnsi="宋体" w:cs="宋体"/>
          <w:szCs w:val="21"/>
          <w:highlight w:val="none"/>
        </w:rPr>
      </w:pPr>
      <w:r>
        <w:rPr>
          <w:rFonts w:hint="eastAsia" w:ascii="宋体" w:hAnsi="宋体" w:cs="宋体"/>
          <w:b/>
          <w:bCs/>
          <w:szCs w:val="21"/>
          <w:highlight w:val="none"/>
        </w:rPr>
        <w:t>投标货物分项报价一览表</w:t>
      </w:r>
    </w:p>
    <w:tbl>
      <w:tblPr>
        <w:tblStyle w:val="14"/>
        <w:tblW w:w="15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121"/>
        <w:gridCol w:w="1197"/>
        <w:gridCol w:w="1904"/>
        <w:gridCol w:w="758"/>
        <w:gridCol w:w="758"/>
        <w:gridCol w:w="760"/>
        <w:gridCol w:w="1281"/>
        <w:gridCol w:w="1428"/>
        <w:gridCol w:w="812"/>
        <w:gridCol w:w="812"/>
        <w:gridCol w:w="691"/>
        <w:gridCol w:w="1314"/>
        <w:gridCol w:w="1241"/>
        <w:gridCol w:w="606"/>
      </w:tblGrid>
      <w:tr w14:paraId="3557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top"/>
          </w:tcPr>
          <w:p w14:paraId="5991675E">
            <w:pPr>
              <w:spacing w:line="240" w:lineRule="auto"/>
              <w:rPr>
                <w:rFonts w:hint="eastAsia" w:ascii="宋体" w:hAnsi="宋体" w:cs="宋体"/>
                <w:sz w:val="21"/>
                <w:szCs w:val="21"/>
                <w:highlight w:val="none"/>
              </w:rPr>
            </w:pPr>
            <w:r>
              <w:rPr>
                <w:rFonts w:hint="eastAsia" w:ascii="宋体" w:hAnsi="宋体" w:cs="宋体"/>
                <w:sz w:val="21"/>
                <w:szCs w:val="21"/>
                <w:highlight w:val="none"/>
              </w:rPr>
              <w:t>序号</w:t>
            </w:r>
          </w:p>
        </w:tc>
        <w:tc>
          <w:tcPr>
            <w:tcW w:w="1121" w:type="dxa"/>
            <w:tcBorders>
              <w:top w:val="single" w:color="auto" w:sz="4" w:space="0"/>
              <w:left w:val="single" w:color="auto" w:sz="4" w:space="0"/>
              <w:bottom w:val="single" w:color="auto" w:sz="4" w:space="0"/>
              <w:right w:val="single" w:color="auto" w:sz="4" w:space="0"/>
            </w:tcBorders>
            <w:noWrap w:val="0"/>
            <w:vAlign w:val="center"/>
          </w:tcPr>
          <w:p w14:paraId="772E3F7D">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货物名称</w:t>
            </w:r>
          </w:p>
        </w:tc>
        <w:tc>
          <w:tcPr>
            <w:tcW w:w="1197" w:type="dxa"/>
            <w:tcBorders>
              <w:top w:val="single" w:color="auto" w:sz="4" w:space="0"/>
              <w:left w:val="single" w:color="auto" w:sz="4" w:space="0"/>
              <w:bottom w:val="single" w:color="auto" w:sz="4" w:space="0"/>
              <w:right w:val="single" w:color="auto" w:sz="4" w:space="0"/>
            </w:tcBorders>
            <w:noWrap w:val="0"/>
            <w:vAlign w:val="center"/>
          </w:tcPr>
          <w:p w14:paraId="26AC9C24">
            <w:pPr>
              <w:widowControl/>
              <w:spacing w:line="240" w:lineRule="auto"/>
              <w:jc w:val="center"/>
              <w:rPr>
                <w:rFonts w:hint="eastAsia" w:ascii="宋体" w:hAnsi="宋体" w:cs="宋体"/>
                <w:kern w:val="0"/>
                <w:sz w:val="21"/>
                <w:szCs w:val="21"/>
                <w:highlight w:val="none"/>
              </w:rPr>
            </w:pPr>
            <w:r>
              <w:rPr>
                <w:rFonts w:hint="eastAsia" w:ascii="宋体" w:hAnsi="宋体" w:cs="宋体"/>
                <w:sz w:val="21"/>
                <w:szCs w:val="21"/>
                <w:highlight w:val="none"/>
              </w:rPr>
              <w:t>型号规格</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7D6537F5">
            <w:pPr>
              <w:widowControl/>
              <w:spacing w:line="240" w:lineRule="auto"/>
              <w:jc w:val="center"/>
              <w:rPr>
                <w:rFonts w:hint="eastAsia" w:ascii="宋体" w:hAnsi="宋体" w:cs="宋体"/>
                <w:kern w:val="0"/>
                <w:sz w:val="21"/>
                <w:szCs w:val="21"/>
                <w:highlight w:val="none"/>
              </w:rPr>
            </w:pPr>
            <w:r>
              <w:rPr>
                <w:rFonts w:hint="eastAsia" w:ascii="宋体" w:hAnsi="宋体" w:cs="宋体"/>
                <w:kern w:val="0"/>
                <w:sz w:val="21"/>
                <w:szCs w:val="21"/>
                <w:highlight w:val="none"/>
              </w:rPr>
              <w:t>制造商</w:t>
            </w:r>
          </w:p>
        </w:tc>
        <w:tc>
          <w:tcPr>
            <w:tcW w:w="758" w:type="dxa"/>
            <w:tcBorders>
              <w:top w:val="single" w:color="auto" w:sz="4" w:space="0"/>
              <w:left w:val="single" w:color="auto" w:sz="4" w:space="0"/>
              <w:bottom w:val="single" w:color="auto" w:sz="4" w:space="0"/>
              <w:right w:val="single" w:color="auto" w:sz="4" w:space="0"/>
            </w:tcBorders>
            <w:noWrap w:val="0"/>
            <w:vAlign w:val="center"/>
          </w:tcPr>
          <w:p w14:paraId="6DE14523">
            <w:pPr>
              <w:widowControl/>
              <w:spacing w:line="240" w:lineRule="auto"/>
              <w:jc w:val="center"/>
              <w:rPr>
                <w:rFonts w:hint="eastAsia" w:ascii="宋体" w:hAnsi="宋体" w:cs="宋体"/>
                <w:kern w:val="0"/>
                <w:sz w:val="21"/>
                <w:szCs w:val="21"/>
                <w:highlight w:val="none"/>
              </w:rPr>
            </w:pPr>
            <w:r>
              <w:rPr>
                <w:rFonts w:hint="eastAsia" w:ascii="宋体" w:hAnsi="宋体" w:cs="宋体"/>
                <w:kern w:val="0"/>
                <w:sz w:val="21"/>
                <w:szCs w:val="21"/>
                <w:highlight w:val="none"/>
              </w:rPr>
              <w:t>产地</w:t>
            </w:r>
          </w:p>
        </w:tc>
        <w:tc>
          <w:tcPr>
            <w:tcW w:w="758" w:type="dxa"/>
            <w:tcBorders>
              <w:top w:val="single" w:color="auto" w:sz="4" w:space="0"/>
              <w:left w:val="single" w:color="auto" w:sz="4" w:space="0"/>
              <w:bottom w:val="single" w:color="auto" w:sz="4" w:space="0"/>
              <w:right w:val="single" w:color="auto" w:sz="4" w:space="0"/>
            </w:tcBorders>
            <w:noWrap w:val="0"/>
            <w:vAlign w:val="center"/>
          </w:tcPr>
          <w:p w14:paraId="609AB3BD">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单位</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26A981BD">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数量</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54C98F56">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单价（RMB）</w:t>
            </w:r>
          </w:p>
        </w:tc>
        <w:tc>
          <w:tcPr>
            <w:tcW w:w="1428" w:type="dxa"/>
            <w:tcBorders>
              <w:top w:val="single" w:color="auto" w:sz="4" w:space="0"/>
              <w:left w:val="single" w:color="auto" w:sz="4" w:space="0"/>
              <w:bottom w:val="single" w:color="auto" w:sz="4" w:space="0"/>
              <w:right w:val="single" w:color="auto" w:sz="4" w:space="0"/>
            </w:tcBorders>
            <w:noWrap w:val="0"/>
            <w:vAlign w:val="center"/>
          </w:tcPr>
          <w:p w14:paraId="6950956A">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小计（RMB）</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76285E6">
            <w:pPr>
              <w:spacing w:line="240" w:lineRule="auto"/>
              <w:ind w:right="-107" w:rightChars="-51"/>
              <w:jc w:val="center"/>
              <w:rPr>
                <w:rFonts w:hint="eastAsia" w:ascii="宋体" w:hAnsi="宋体" w:cs="宋体"/>
                <w:sz w:val="21"/>
                <w:szCs w:val="21"/>
                <w:highlight w:val="none"/>
              </w:rPr>
            </w:pPr>
            <w:r>
              <w:rPr>
                <w:rFonts w:hint="eastAsia" w:ascii="宋体" w:hAnsi="宋体" w:cs="宋体"/>
                <w:sz w:val="21"/>
                <w:szCs w:val="21"/>
                <w:highlight w:val="none"/>
              </w:rPr>
              <w:t>运输及</w:t>
            </w:r>
          </w:p>
          <w:p w14:paraId="0C7A9A42">
            <w:pPr>
              <w:spacing w:line="240" w:lineRule="auto"/>
              <w:ind w:right="-107" w:rightChars="-51"/>
              <w:jc w:val="center"/>
              <w:rPr>
                <w:rFonts w:hint="eastAsia" w:ascii="宋体" w:hAnsi="宋体" w:cs="宋体"/>
                <w:sz w:val="21"/>
                <w:szCs w:val="21"/>
                <w:highlight w:val="none"/>
              </w:rPr>
            </w:pPr>
            <w:r>
              <w:rPr>
                <w:rFonts w:hint="eastAsia" w:ascii="宋体" w:hAnsi="宋体" w:cs="宋体"/>
                <w:sz w:val="21"/>
                <w:szCs w:val="21"/>
                <w:highlight w:val="none"/>
              </w:rPr>
              <w:t>保险费</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57313A6">
            <w:pPr>
              <w:spacing w:line="240" w:lineRule="auto"/>
              <w:ind w:right="-107" w:rightChars="-51"/>
              <w:jc w:val="center"/>
              <w:rPr>
                <w:rFonts w:hint="eastAsia" w:ascii="宋体" w:hAnsi="宋体" w:cs="宋体"/>
                <w:sz w:val="21"/>
                <w:szCs w:val="21"/>
                <w:highlight w:val="none"/>
              </w:rPr>
            </w:pPr>
            <w:r>
              <w:rPr>
                <w:rFonts w:hint="eastAsia" w:ascii="宋体" w:hAnsi="宋体" w:cs="宋体"/>
                <w:sz w:val="21"/>
                <w:szCs w:val="21"/>
                <w:highlight w:val="none"/>
              </w:rPr>
              <w:t>技术</w:t>
            </w:r>
          </w:p>
          <w:p w14:paraId="05E3AA4D">
            <w:pPr>
              <w:spacing w:line="240" w:lineRule="auto"/>
              <w:ind w:right="-107" w:rightChars="-51"/>
              <w:jc w:val="center"/>
              <w:rPr>
                <w:rFonts w:hint="eastAsia" w:ascii="宋体" w:hAnsi="宋体" w:cs="宋体"/>
                <w:sz w:val="21"/>
                <w:szCs w:val="21"/>
                <w:highlight w:val="none"/>
              </w:rPr>
            </w:pPr>
            <w:r>
              <w:rPr>
                <w:rFonts w:hint="eastAsia" w:ascii="宋体" w:hAnsi="宋体" w:cs="宋体"/>
                <w:sz w:val="21"/>
                <w:szCs w:val="21"/>
                <w:highlight w:val="none"/>
              </w:rPr>
              <w:t>服务费</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6B3AE085">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税费</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1673D2B">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交货日期</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04A7D05D">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交货地（港）</w:t>
            </w:r>
          </w:p>
        </w:tc>
        <w:tc>
          <w:tcPr>
            <w:tcW w:w="606" w:type="dxa"/>
            <w:tcBorders>
              <w:top w:val="single" w:color="auto" w:sz="4" w:space="0"/>
              <w:left w:val="single" w:color="auto" w:sz="4" w:space="0"/>
              <w:bottom w:val="single" w:color="auto" w:sz="4" w:space="0"/>
              <w:right w:val="single" w:color="auto" w:sz="4" w:space="0"/>
            </w:tcBorders>
            <w:noWrap w:val="0"/>
            <w:vAlign w:val="top"/>
          </w:tcPr>
          <w:p w14:paraId="7B2F54A9">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备</w:t>
            </w:r>
          </w:p>
          <w:p w14:paraId="4C8849B9">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注</w:t>
            </w:r>
          </w:p>
        </w:tc>
      </w:tr>
      <w:tr w14:paraId="00D2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643404D3">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1</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8B7163">
            <w:pPr>
              <w:bidi w:val="0"/>
              <w:spacing w:line="24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rPr>
              <w:t>高效液相色谱仪</w:t>
            </w:r>
          </w:p>
        </w:tc>
        <w:tc>
          <w:tcPr>
            <w:tcW w:w="11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C6A35F">
            <w:pPr>
              <w:bidi w:val="0"/>
              <w:spacing w:line="24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rPr>
              <w:t>Arc HPLC</w:t>
            </w:r>
          </w:p>
        </w:tc>
        <w:tc>
          <w:tcPr>
            <w:tcW w:w="19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5C2D91">
            <w:pPr>
              <w:bidi w:val="0"/>
              <w:spacing w:line="24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rPr>
              <w:t>沃特世科技（上海）有限公司</w:t>
            </w:r>
          </w:p>
        </w:tc>
        <w:tc>
          <w:tcPr>
            <w:tcW w:w="7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03B0F3">
            <w:pPr>
              <w:bidi w:val="0"/>
              <w:spacing w:line="24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rPr>
              <w:t>上海</w:t>
            </w:r>
          </w:p>
        </w:tc>
        <w:tc>
          <w:tcPr>
            <w:tcW w:w="7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D2938A">
            <w:pPr>
              <w:bidi w:val="0"/>
              <w:spacing w:line="24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rPr>
              <w:t>台</w:t>
            </w:r>
          </w:p>
        </w:tc>
        <w:tc>
          <w:tcPr>
            <w:tcW w:w="7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05599E">
            <w:pPr>
              <w:bidi w:val="0"/>
              <w:spacing w:line="24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rPr>
              <w:t>3</w:t>
            </w:r>
          </w:p>
        </w:tc>
        <w:tc>
          <w:tcPr>
            <w:tcW w:w="12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6E14A7">
            <w:pPr>
              <w:bidi w:val="0"/>
              <w:spacing w:line="24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596200</w:t>
            </w:r>
          </w:p>
        </w:tc>
        <w:tc>
          <w:tcPr>
            <w:tcW w:w="142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7BE508">
            <w:pPr>
              <w:bidi w:val="0"/>
              <w:spacing w:line="24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1788600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0170C3B">
            <w:pPr>
              <w:spacing w:line="240" w:lineRule="auto"/>
              <w:ind w:right="-107" w:rightChars="-51"/>
              <w:jc w:val="center"/>
              <w:rPr>
                <w:rFonts w:hint="eastAsia" w:ascii="宋体" w:hAnsi="宋体" w:cs="宋体"/>
                <w:bCs/>
                <w:sz w:val="21"/>
                <w:szCs w:val="21"/>
                <w:highlight w:val="none"/>
              </w:rPr>
            </w:pPr>
            <w:r>
              <w:rPr>
                <w:rFonts w:hint="eastAsia" w:ascii="宋体" w:hAnsi="宋体" w:cs="宋体"/>
                <w:bCs/>
                <w:sz w:val="21"/>
                <w:szCs w:val="21"/>
                <w:highlight w:val="none"/>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1447CCA">
            <w:pPr>
              <w:spacing w:line="240" w:lineRule="auto"/>
              <w:ind w:right="-107" w:rightChars="-51"/>
              <w:jc w:val="center"/>
              <w:rPr>
                <w:rFonts w:hint="eastAsia" w:ascii="宋体" w:hAnsi="宋体" w:cs="宋体"/>
                <w:bCs/>
                <w:sz w:val="21"/>
                <w:szCs w:val="21"/>
                <w:highlight w:val="none"/>
              </w:rPr>
            </w:pPr>
            <w:r>
              <w:rPr>
                <w:rFonts w:hint="eastAsia" w:ascii="宋体" w:hAnsi="宋体" w:cs="宋体"/>
                <w:bCs/>
                <w:sz w:val="21"/>
                <w:szCs w:val="21"/>
                <w:highlight w:val="none"/>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1477E84D">
            <w:pPr>
              <w:spacing w:line="240" w:lineRule="auto"/>
              <w:jc w:val="center"/>
              <w:rPr>
                <w:rFonts w:hint="eastAsia" w:ascii="宋体" w:hAnsi="宋体" w:cs="宋体"/>
                <w:bCs/>
                <w:sz w:val="21"/>
                <w:szCs w:val="21"/>
                <w:highlight w:val="none"/>
              </w:rPr>
            </w:pPr>
            <w:r>
              <w:rPr>
                <w:rFonts w:hint="eastAsia" w:ascii="宋体" w:hAnsi="宋体" w:cs="宋体"/>
                <w:bCs/>
                <w:sz w:val="21"/>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9695A57">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合同签订后</w:t>
            </w:r>
          </w:p>
          <w:p w14:paraId="75578DB4">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lang w:val="en-US" w:eastAsia="zh-CN"/>
              </w:rPr>
              <w:t>30</w:t>
            </w:r>
            <w:r>
              <w:rPr>
                <w:rFonts w:hint="eastAsia" w:ascii="宋体" w:hAnsi="宋体" w:cs="宋体"/>
                <w:sz w:val="21"/>
                <w:szCs w:val="21"/>
                <w:highlight w:val="none"/>
              </w:rPr>
              <w:t>日内</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18D57CC4">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15501FB5">
            <w:pPr>
              <w:spacing w:line="24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p>
        </w:tc>
      </w:tr>
      <w:tr w14:paraId="2918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40B2DA4E">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w:t>
            </w:r>
          </w:p>
        </w:tc>
        <w:tc>
          <w:tcPr>
            <w:tcW w:w="1121" w:type="dxa"/>
            <w:tcBorders>
              <w:top w:val="single" w:color="auto" w:sz="4" w:space="0"/>
              <w:left w:val="single" w:color="auto" w:sz="4" w:space="0"/>
              <w:bottom w:val="single" w:color="auto" w:sz="4" w:space="0"/>
              <w:right w:val="single" w:color="auto" w:sz="4" w:space="0"/>
            </w:tcBorders>
            <w:noWrap w:val="0"/>
            <w:vAlign w:val="center"/>
          </w:tcPr>
          <w:p w14:paraId="04DBD986">
            <w:pPr>
              <w:spacing w:line="240" w:lineRule="auto"/>
              <w:jc w:val="center"/>
              <w:rPr>
                <w:rFonts w:hint="eastAsia" w:ascii="宋体" w:hAnsi="宋体" w:cs="宋体"/>
                <w:b/>
                <w:sz w:val="21"/>
                <w:szCs w:val="21"/>
                <w:highlight w:val="none"/>
              </w:rPr>
            </w:pPr>
            <w:r>
              <w:rPr>
                <w:rFonts w:hint="eastAsia" w:ascii="宋体" w:hAnsi="宋体" w:cs="宋体"/>
                <w:b/>
                <w:sz w:val="21"/>
                <w:szCs w:val="21"/>
                <w:highlight w:val="none"/>
              </w:rPr>
              <w:t>备品备件</w:t>
            </w:r>
          </w:p>
          <w:p w14:paraId="4D5D9C01">
            <w:pPr>
              <w:spacing w:line="240" w:lineRule="auto"/>
              <w:jc w:val="center"/>
              <w:rPr>
                <w:rFonts w:hint="eastAsia" w:ascii="宋体" w:hAnsi="宋体" w:cs="宋体"/>
                <w:b/>
                <w:sz w:val="21"/>
                <w:szCs w:val="21"/>
                <w:highlight w:val="none"/>
              </w:rPr>
            </w:pPr>
            <w:r>
              <w:rPr>
                <w:rFonts w:hint="eastAsia" w:ascii="宋体" w:hAnsi="宋体" w:cs="宋体"/>
                <w:b/>
                <w:sz w:val="21"/>
                <w:szCs w:val="21"/>
                <w:highlight w:val="none"/>
              </w:rPr>
              <w:t>及其他</w:t>
            </w:r>
          </w:p>
        </w:tc>
        <w:tc>
          <w:tcPr>
            <w:tcW w:w="3101" w:type="dxa"/>
            <w:gridSpan w:val="2"/>
            <w:tcBorders>
              <w:top w:val="single" w:color="auto" w:sz="4" w:space="0"/>
              <w:left w:val="single" w:color="auto" w:sz="4" w:space="0"/>
              <w:bottom w:val="single" w:color="auto" w:sz="4" w:space="0"/>
              <w:right w:val="single" w:color="auto" w:sz="4" w:space="0"/>
            </w:tcBorders>
            <w:noWrap w:val="0"/>
            <w:vAlign w:val="center"/>
          </w:tcPr>
          <w:p w14:paraId="1EC32220">
            <w:pPr>
              <w:spacing w:line="240" w:lineRule="auto"/>
              <w:rPr>
                <w:rFonts w:hint="eastAsia" w:ascii="宋体" w:hAnsi="宋体" w:cs="宋体"/>
                <w:b/>
                <w:bCs/>
                <w:kern w:val="0"/>
                <w:sz w:val="21"/>
                <w:szCs w:val="21"/>
                <w:highlight w:val="none"/>
              </w:rPr>
            </w:pPr>
            <w:r>
              <w:rPr>
                <w:rFonts w:hint="eastAsia" w:ascii="宋体" w:hAnsi="宋体" w:cs="宋体"/>
                <w:b/>
                <w:bCs/>
                <w:kern w:val="0"/>
                <w:sz w:val="21"/>
                <w:szCs w:val="21"/>
                <w:highlight w:val="none"/>
              </w:rPr>
              <w:t>配件</w:t>
            </w:r>
          </w:p>
          <w:p w14:paraId="61B5D2A4">
            <w:pPr>
              <w:spacing w:line="240" w:lineRule="auto"/>
              <w:rPr>
                <w:rFonts w:hint="eastAsia" w:ascii="宋体" w:hAnsi="宋体" w:cs="宋体"/>
                <w:b/>
                <w:bCs/>
                <w:kern w:val="0"/>
                <w:sz w:val="21"/>
                <w:szCs w:val="21"/>
                <w:highlight w:val="none"/>
              </w:rPr>
            </w:pPr>
            <w:r>
              <w:rPr>
                <w:rFonts w:hint="eastAsia" w:ascii="宋体" w:hAnsi="宋体" w:cs="宋体"/>
                <w:b/>
                <w:bCs/>
                <w:kern w:val="0"/>
                <w:sz w:val="21"/>
                <w:szCs w:val="21"/>
                <w:highlight w:val="none"/>
              </w:rPr>
              <w:t>消耗品</w:t>
            </w:r>
          </w:p>
          <w:p w14:paraId="4F7EB8EF">
            <w:pPr>
              <w:spacing w:line="240" w:lineRule="auto"/>
              <w:rPr>
                <w:rFonts w:hint="eastAsia" w:ascii="宋体" w:hAnsi="宋体" w:cs="宋体"/>
                <w:b/>
                <w:sz w:val="21"/>
                <w:szCs w:val="21"/>
                <w:highlight w:val="none"/>
              </w:rPr>
            </w:pPr>
            <w:r>
              <w:rPr>
                <w:rFonts w:hint="eastAsia" w:ascii="宋体" w:hAnsi="宋体" w:cs="宋体"/>
                <w:b/>
                <w:sz w:val="21"/>
                <w:szCs w:val="21"/>
                <w:highlight w:val="none"/>
              </w:rPr>
              <w:t>维护工具盒：</w:t>
            </w:r>
          </w:p>
        </w:tc>
        <w:tc>
          <w:tcPr>
            <w:tcW w:w="758" w:type="dxa"/>
            <w:tcBorders>
              <w:top w:val="single" w:color="auto" w:sz="4" w:space="0"/>
              <w:left w:val="single" w:color="auto" w:sz="4" w:space="0"/>
              <w:bottom w:val="single" w:color="auto" w:sz="4" w:space="0"/>
              <w:right w:val="single" w:color="auto" w:sz="4" w:space="0"/>
            </w:tcBorders>
            <w:noWrap w:val="0"/>
            <w:vAlign w:val="center"/>
          </w:tcPr>
          <w:p w14:paraId="623C92CD">
            <w:pPr>
              <w:spacing w:line="240" w:lineRule="auto"/>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w:t>
            </w:r>
          </w:p>
        </w:tc>
        <w:tc>
          <w:tcPr>
            <w:tcW w:w="758" w:type="dxa"/>
            <w:tcBorders>
              <w:top w:val="single" w:color="auto" w:sz="4" w:space="0"/>
              <w:left w:val="single" w:color="auto" w:sz="4" w:space="0"/>
              <w:bottom w:val="single" w:color="auto" w:sz="4" w:space="0"/>
              <w:right w:val="single" w:color="auto" w:sz="4" w:space="0"/>
            </w:tcBorders>
            <w:noWrap w:val="0"/>
            <w:vAlign w:val="center"/>
          </w:tcPr>
          <w:p w14:paraId="76066AAC">
            <w:pPr>
              <w:spacing w:line="240" w:lineRule="auto"/>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443FE6A4">
            <w:pPr>
              <w:spacing w:line="240" w:lineRule="auto"/>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41A0C863">
            <w:pPr>
              <w:widowControl/>
              <w:spacing w:line="240" w:lineRule="auto"/>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w:t>
            </w:r>
          </w:p>
        </w:tc>
        <w:tc>
          <w:tcPr>
            <w:tcW w:w="1428" w:type="dxa"/>
            <w:tcBorders>
              <w:top w:val="single" w:color="auto" w:sz="4" w:space="0"/>
              <w:left w:val="single" w:color="auto" w:sz="4" w:space="0"/>
              <w:bottom w:val="single" w:color="auto" w:sz="4" w:space="0"/>
              <w:right w:val="single" w:color="auto" w:sz="4" w:space="0"/>
            </w:tcBorders>
            <w:noWrap w:val="0"/>
            <w:vAlign w:val="center"/>
          </w:tcPr>
          <w:p w14:paraId="66B1EE8C">
            <w:pPr>
              <w:spacing w:line="240" w:lineRule="auto"/>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183830B">
            <w:pPr>
              <w:spacing w:line="240" w:lineRule="auto"/>
              <w:ind w:right="-107" w:rightChars="-51"/>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BEFDE98">
            <w:pPr>
              <w:spacing w:line="240" w:lineRule="auto"/>
              <w:ind w:right="-107" w:rightChars="-51"/>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50229A03">
            <w:pPr>
              <w:spacing w:line="240" w:lineRule="auto"/>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47418B1">
            <w:pPr>
              <w:spacing w:line="240" w:lineRule="auto"/>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74611448">
            <w:pPr>
              <w:spacing w:line="240" w:lineRule="auto"/>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6B2FDD65">
            <w:pPr>
              <w:spacing w:line="240" w:lineRule="auto"/>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w:t>
            </w:r>
          </w:p>
        </w:tc>
      </w:tr>
      <w:tr w14:paraId="7845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4EF18958">
            <w:pPr>
              <w:spacing w:line="24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p>
        </w:tc>
        <w:tc>
          <w:tcPr>
            <w:tcW w:w="1121" w:type="dxa"/>
            <w:tcBorders>
              <w:top w:val="single" w:color="auto" w:sz="4" w:space="0"/>
              <w:left w:val="single" w:color="auto" w:sz="4" w:space="0"/>
              <w:bottom w:val="single" w:color="auto" w:sz="4" w:space="0"/>
              <w:right w:val="single" w:color="auto" w:sz="4" w:space="0"/>
            </w:tcBorders>
            <w:noWrap w:val="0"/>
            <w:vAlign w:val="center"/>
          </w:tcPr>
          <w:p w14:paraId="625873E7">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合计</w:t>
            </w:r>
          </w:p>
        </w:tc>
        <w:tc>
          <w:tcPr>
            <w:tcW w:w="3101" w:type="dxa"/>
            <w:gridSpan w:val="2"/>
            <w:tcBorders>
              <w:top w:val="single" w:color="auto" w:sz="4" w:space="0"/>
              <w:left w:val="single" w:color="auto" w:sz="4" w:space="0"/>
              <w:bottom w:val="single" w:color="auto" w:sz="4" w:space="0"/>
              <w:right w:val="single" w:color="auto" w:sz="4" w:space="0"/>
            </w:tcBorders>
            <w:noWrap w:val="0"/>
            <w:vAlign w:val="center"/>
          </w:tcPr>
          <w:p w14:paraId="5CC61510">
            <w:pPr>
              <w:spacing w:line="240" w:lineRule="auto"/>
              <w:jc w:val="center"/>
              <w:rPr>
                <w:rFonts w:hint="eastAsia" w:ascii="宋体" w:hAnsi="宋体" w:cs="宋体"/>
                <w:bCs/>
                <w:kern w:val="0"/>
                <w:sz w:val="21"/>
                <w:szCs w:val="21"/>
                <w:highlight w:val="none"/>
              </w:rPr>
            </w:pPr>
          </w:p>
        </w:tc>
        <w:tc>
          <w:tcPr>
            <w:tcW w:w="758" w:type="dxa"/>
            <w:tcBorders>
              <w:top w:val="single" w:color="auto" w:sz="4" w:space="0"/>
              <w:left w:val="single" w:color="auto" w:sz="4" w:space="0"/>
              <w:bottom w:val="single" w:color="auto" w:sz="4" w:space="0"/>
              <w:right w:val="single" w:color="auto" w:sz="4" w:space="0"/>
            </w:tcBorders>
            <w:noWrap w:val="0"/>
            <w:vAlign w:val="center"/>
          </w:tcPr>
          <w:p w14:paraId="1E0B5EA5">
            <w:pPr>
              <w:spacing w:line="240" w:lineRule="auto"/>
              <w:jc w:val="center"/>
              <w:rPr>
                <w:rFonts w:hint="eastAsia"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w:t>
            </w:r>
          </w:p>
        </w:tc>
        <w:tc>
          <w:tcPr>
            <w:tcW w:w="758" w:type="dxa"/>
            <w:tcBorders>
              <w:top w:val="single" w:color="auto" w:sz="4" w:space="0"/>
              <w:left w:val="single" w:color="auto" w:sz="4" w:space="0"/>
              <w:bottom w:val="single" w:color="auto" w:sz="4" w:space="0"/>
              <w:right w:val="single" w:color="auto" w:sz="4" w:space="0"/>
            </w:tcBorders>
            <w:noWrap w:val="0"/>
            <w:vAlign w:val="center"/>
          </w:tcPr>
          <w:p w14:paraId="7BA7B2CA">
            <w:pPr>
              <w:spacing w:line="24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5A209348">
            <w:pPr>
              <w:spacing w:line="24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3</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27226AD0">
            <w:pPr>
              <w:widowControl/>
              <w:spacing w:line="24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p>
        </w:tc>
        <w:tc>
          <w:tcPr>
            <w:tcW w:w="1428" w:type="dxa"/>
            <w:tcBorders>
              <w:top w:val="single" w:color="auto" w:sz="4" w:space="0"/>
              <w:left w:val="single" w:color="auto" w:sz="4" w:space="0"/>
              <w:bottom w:val="single" w:color="auto" w:sz="4" w:space="0"/>
              <w:right w:val="single" w:color="auto" w:sz="4" w:space="0"/>
            </w:tcBorders>
            <w:noWrap w:val="0"/>
            <w:vAlign w:val="center"/>
          </w:tcPr>
          <w:p w14:paraId="1C7E8037">
            <w:pPr>
              <w:spacing w:line="240" w:lineRule="auto"/>
              <w:jc w:val="center"/>
              <w:rPr>
                <w:rFonts w:hint="default" w:ascii="宋体" w:hAnsi="宋体" w:cs="宋体"/>
                <w:sz w:val="21"/>
                <w:szCs w:val="21"/>
                <w:highlight w:val="none"/>
                <w:lang w:val="en-US"/>
              </w:rPr>
            </w:pPr>
            <w:r>
              <w:rPr>
                <w:rFonts w:hint="eastAsia" w:ascii="宋体" w:hAnsi="宋体" w:eastAsia="宋体" w:cs="宋体"/>
                <w:sz w:val="21"/>
                <w:szCs w:val="21"/>
                <w:vertAlign w:val="baseline"/>
                <w:lang w:val="en-US" w:eastAsia="zh-CN"/>
              </w:rPr>
              <w:t>1788600</w:t>
            </w:r>
            <w:r>
              <w:rPr>
                <w:rFonts w:hint="eastAsia" w:ascii="宋体" w:hAnsi="宋体" w:cs="宋体"/>
                <w:sz w:val="21"/>
                <w:szCs w:val="21"/>
                <w:vertAlign w:val="baseline"/>
                <w:lang w:val="en-US" w:eastAsia="zh-CN"/>
              </w:rPr>
              <w:t>.00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175B744">
            <w:pPr>
              <w:spacing w:line="240" w:lineRule="auto"/>
              <w:ind w:right="-107" w:rightChars="-51"/>
              <w:jc w:val="center"/>
              <w:rPr>
                <w:rFonts w:hint="eastAsia"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615E3AF">
            <w:pPr>
              <w:spacing w:line="240" w:lineRule="auto"/>
              <w:ind w:right="-107" w:rightChars="-51"/>
              <w:jc w:val="center"/>
              <w:rPr>
                <w:rFonts w:hint="eastAsia"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7A168B7D">
            <w:pPr>
              <w:spacing w:line="240" w:lineRule="auto"/>
              <w:jc w:val="center"/>
              <w:rPr>
                <w:rFonts w:hint="eastAsia"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B422E49">
            <w:pPr>
              <w:spacing w:line="24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47527D40">
            <w:pPr>
              <w:spacing w:line="24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005F7250">
            <w:pPr>
              <w:spacing w:line="24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p>
        </w:tc>
      </w:tr>
      <w:tr w14:paraId="7B84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gridSpan w:val="2"/>
            <w:tcBorders>
              <w:top w:val="single" w:color="auto" w:sz="4" w:space="0"/>
              <w:left w:val="single" w:color="auto" w:sz="4" w:space="0"/>
              <w:bottom w:val="single" w:color="auto" w:sz="4" w:space="0"/>
              <w:right w:val="single" w:color="auto" w:sz="4" w:space="0"/>
            </w:tcBorders>
            <w:noWrap w:val="0"/>
            <w:vAlign w:val="center"/>
          </w:tcPr>
          <w:p w14:paraId="5616EE49">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人民币总价</w:t>
            </w:r>
          </w:p>
        </w:tc>
        <w:tc>
          <w:tcPr>
            <w:tcW w:w="13562" w:type="dxa"/>
            <w:gridSpan w:val="13"/>
            <w:tcBorders>
              <w:top w:val="single" w:color="auto" w:sz="4" w:space="0"/>
              <w:left w:val="single" w:color="auto" w:sz="4" w:space="0"/>
              <w:bottom w:val="single" w:color="auto" w:sz="4" w:space="0"/>
              <w:right w:val="single" w:color="auto" w:sz="4" w:space="0"/>
            </w:tcBorders>
            <w:noWrap w:val="0"/>
            <w:vAlign w:val="center"/>
          </w:tcPr>
          <w:p w14:paraId="57EF0CC3">
            <w:pPr>
              <w:spacing w:line="240" w:lineRule="auto"/>
              <w:jc w:val="both"/>
              <w:rPr>
                <w:rFonts w:hint="eastAsia" w:ascii="宋体" w:hAnsi="宋体" w:cs="宋体"/>
                <w:sz w:val="21"/>
                <w:szCs w:val="21"/>
                <w:highlight w:val="none"/>
              </w:rPr>
            </w:pPr>
            <w:r>
              <w:rPr>
                <w:rFonts w:hint="eastAsia" w:ascii="宋体" w:hAnsi="宋体" w:cs="宋体"/>
                <w:sz w:val="21"/>
                <w:szCs w:val="21"/>
                <w:highlight w:val="none"/>
              </w:rPr>
              <w:t>壹佰柒拾捌万捌仟陆佰元整（￥：</w:t>
            </w:r>
            <w:r>
              <w:rPr>
                <w:rFonts w:hint="eastAsia" w:ascii="宋体" w:hAnsi="宋体" w:eastAsia="宋体" w:cs="宋体"/>
                <w:sz w:val="21"/>
                <w:szCs w:val="21"/>
                <w:vertAlign w:val="baseline"/>
                <w:lang w:val="en-US" w:eastAsia="zh-CN"/>
              </w:rPr>
              <w:t>1788600</w:t>
            </w:r>
            <w:r>
              <w:rPr>
                <w:rFonts w:hint="eastAsia" w:ascii="宋体" w:hAnsi="宋体" w:cs="宋体"/>
                <w:sz w:val="21"/>
                <w:szCs w:val="21"/>
                <w:vertAlign w:val="baseline"/>
                <w:lang w:val="en-US" w:eastAsia="zh-CN"/>
              </w:rPr>
              <w:t>.00</w:t>
            </w:r>
            <w:r>
              <w:rPr>
                <w:rFonts w:hint="eastAsia" w:ascii="宋体" w:hAnsi="宋体" w:cs="宋体"/>
                <w:sz w:val="21"/>
                <w:szCs w:val="21"/>
                <w:highlight w:val="none"/>
              </w:rPr>
              <w:t>）</w:t>
            </w:r>
          </w:p>
        </w:tc>
      </w:tr>
      <w:tr w14:paraId="127C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1" w:type="dxa"/>
            <w:gridSpan w:val="2"/>
            <w:tcBorders>
              <w:top w:val="single" w:color="auto" w:sz="4" w:space="0"/>
              <w:left w:val="single" w:color="auto" w:sz="4" w:space="0"/>
              <w:bottom w:val="single" w:color="auto" w:sz="4" w:space="0"/>
              <w:right w:val="single" w:color="auto" w:sz="4" w:space="0"/>
            </w:tcBorders>
            <w:noWrap w:val="0"/>
            <w:vAlign w:val="center"/>
          </w:tcPr>
          <w:p w14:paraId="483F2CF1">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备注</w:t>
            </w:r>
          </w:p>
        </w:tc>
        <w:tc>
          <w:tcPr>
            <w:tcW w:w="13562" w:type="dxa"/>
            <w:gridSpan w:val="13"/>
            <w:tcBorders>
              <w:top w:val="single" w:color="auto" w:sz="4" w:space="0"/>
              <w:left w:val="single" w:color="auto" w:sz="4" w:space="0"/>
              <w:bottom w:val="single" w:color="auto" w:sz="4" w:space="0"/>
              <w:right w:val="single" w:color="auto" w:sz="4" w:space="0"/>
            </w:tcBorders>
            <w:noWrap w:val="0"/>
            <w:vAlign w:val="center"/>
          </w:tcPr>
          <w:p w14:paraId="218FBC5D">
            <w:pPr>
              <w:spacing w:line="240" w:lineRule="auto"/>
              <w:jc w:val="both"/>
              <w:rPr>
                <w:rFonts w:hint="eastAsia" w:ascii="宋体" w:hAnsi="宋体" w:cs="宋体"/>
                <w:sz w:val="21"/>
                <w:szCs w:val="21"/>
                <w:highlight w:val="none"/>
              </w:rPr>
            </w:pPr>
            <w:r>
              <w:rPr>
                <w:rFonts w:hint="eastAsia" w:ascii="宋体" w:hAnsi="宋体" w:cs="宋体"/>
                <w:sz w:val="21"/>
                <w:szCs w:val="21"/>
                <w:highlight w:val="none"/>
              </w:rPr>
              <w:t>另附</w:t>
            </w:r>
            <w:r>
              <w:rPr>
                <w:rFonts w:hint="eastAsia" w:ascii="宋体" w:hAnsi="宋体" w:cs="宋体"/>
                <w:kern w:val="0"/>
                <w:sz w:val="21"/>
                <w:szCs w:val="21"/>
                <w:highlight w:val="none"/>
              </w:rPr>
              <w:t>制造商</w:t>
            </w:r>
            <w:r>
              <w:rPr>
                <w:rFonts w:hint="eastAsia" w:ascii="宋体" w:hAnsi="宋体" w:cs="宋体"/>
                <w:sz w:val="21"/>
                <w:szCs w:val="21"/>
                <w:highlight w:val="none"/>
              </w:rPr>
              <w:t>：</w:t>
            </w:r>
            <w:r>
              <w:rPr>
                <w:rFonts w:hint="eastAsia" w:ascii="宋体" w:hAnsi="宋体" w:cs="宋体"/>
                <w:bCs/>
                <w:sz w:val="21"/>
                <w:szCs w:val="21"/>
                <w:highlight w:val="none"/>
              </w:rPr>
              <w:t>******配置清单</w:t>
            </w:r>
          </w:p>
        </w:tc>
      </w:tr>
    </w:tbl>
    <w:p w14:paraId="3A38804D">
      <w:pPr>
        <w:rPr>
          <w:rFonts w:hint="eastAsia" w:ascii="宋体" w:hAnsi="宋体" w:cs="宋体"/>
          <w:b/>
          <w:szCs w:val="21"/>
          <w:highlight w:val="none"/>
        </w:rPr>
      </w:pPr>
    </w:p>
    <w:p w14:paraId="5F95E898">
      <w:pPr>
        <w:rPr>
          <w:rFonts w:hint="eastAsia" w:ascii="宋体" w:hAnsi="宋体" w:cs="宋体"/>
          <w:b/>
          <w:szCs w:val="21"/>
          <w:highlight w:val="none"/>
        </w:rPr>
      </w:pPr>
      <w:r>
        <w:rPr>
          <w:rFonts w:hint="eastAsia" w:ascii="宋体" w:hAnsi="宋体" w:cs="宋体"/>
          <w:b/>
          <w:szCs w:val="21"/>
          <w:highlight w:val="none"/>
        </w:rPr>
        <w:t>甲方货物负责人签字：</w:t>
      </w:r>
    </w:p>
    <w:p w14:paraId="45B77412">
      <w:pPr>
        <w:rPr>
          <w:rFonts w:hint="eastAsia" w:ascii="宋体" w:hAnsi="宋体" w:cs="宋体"/>
          <w:b/>
          <w:szCs w:val="21"/>
          <w:highlight w:val="none"/>
        </w:rPr>
      </w:pPr>
    </w:p>
    <w:p w14:paraId="40D239C9">
      <w:pPr>
        <w:rPr>
          <w:rFonts w:hint="eastAsia" w:ascii="宋体" w:hAnsi="宋体" w:cs="宋体"/>
          <w:b/>
          <w:szCs w:val="21"/>
          <w:highlight w:val="none"/>
        </w:rPr>
      </w:pPr>
    </w:p>
    <w:p w14:paraId="04DBB804">
      <w:pPr>
        <w:rPr>
          <w:rFonts w:ascii="宋体" w:hAnsi="宋体"/>
          <w:b/>
          <w:kern w:val="0"/>
          <w:sz w:val="24"/>
          <w:szCs w:val="24"/>
          <w:highlight w:val="none"/>
        </w:rPr>
      </w:pPr>
    </w:p>
    <w:p w14:paraId="0ABE45C1">
      <w:pPr>
        <w:rPr>
          <w:rFonts w:hint="eastAsia" w:ascii="宋体" w:hAnsi="宋体" w:cs="宋体"/>
          <w:b/>
          <w:kern w:val="0"/>
          <w:szCs w:val="21"/>
          <w:highlight w:val="none"/>
        </w:rPr>
        <w:sectPr>
          <w:pgSz w:w="16838" w:h="11906" w:orient="landscape"/>
          <w:pgMar w:top="1134" w:right="1077" w:bottom="1134" w:left="794" w:header="851" w:footer="992" w:gutter="0"/>
          <w:pgNumType w:fmt="decimal"/>
          <w:cols w:space="720" w:num="1"/>
          <w:docGrid w:type="lines" w:linePitch="312" w:charSpace="0"/>
        </w:sectPr>
      </w:pPr>
    </w:p>
    <w:p w14:paraId="554116EF">
      <w:pPr>
        <w:rPr>
          <w:rFonts w:hint="eastAsia" w:ascii="宋体" w:hAnsi="宋体" w:cs="宋体"/>
          <w:b/>
          <w:kern w:val="0"/>
          <w:szCs w:val="21"/>
          <w:highlight w:val="none"/>
        </w:rPr>
      </w:pPr>
    </w:p>
    <w:p w14:paraId="715707DD">
      <w:pPr>
        <w:rPr>
          <w:rFonts w:hint="eastAsia" w:ascii="宋体" w:hAnsi="宋体" w:cs="宋体"/>
          <w:szCs w:val="21"/>
          <w:highlight w:val="none"/>
        </w:rPr>
      </w:pPr>
      <w:r>
        <w:rPr>
          <w:rFonts w:hint="eastAsia" w:ascii="宋体" w:hAnsi="宋体" w:cs="宋体"/>
          <w:b/>
          <w:kern w:val="0"/>
          <w:szCs w:val="21"/>
          <w:highlight w:val="none"/>
        </w:rPr>
        <w:t>附件3：制造商</w:t>
      </w:r>
      <w:r>
        <w:rPr>
          <w:rFonts w:hint="eastAsia" w:ascii="宋体" w:hAnsi="宋体" w:cs="宋体"/>
          <w:b/>
          <w:szCs w:val="21"/>
          <w:highlight w:val="none"/>
        </w:rPr>
        <w:t>：</w:t>
      </w:r>
    </w:p>
    <w:p w14:paraId="3EAABBD7">
      <w:pPr>
        <w:rPr>
          <w:rFonts w:hint="eastAsia" w:ascii="宋体" w:hAnsi="宋体" w:cs="宋体"/>
          <w:b/>
          <w:szCs w:val="21"/>
          <w:highlight w:val="none"/>
        </w:rPr>
      </w:pPr>
      <w:r>
        <w:rPr>
          <w:rFonts w:hint="eastAsia" w:ascii="宋体" w:hAnsi="宋体" w:cs="宋体"/>
          <w:bCs/>
          <w:szCs w:val="21"/>
          <w:highlight w:val="none"/>
        </w:rPr>
        <w:t>高效液相色谱仪货物配置清单</w:t>
      </w:r>
    </w:p>
    <w:p w14:paraId="4B2BA894">
      <w:pPr>
        <w:jc w:val="center"/>
        <w:rPr>
          <w:rFonts w:hint="eastAsia" w:ascii="宋体" w:hAnsi="宋体" w:cs="宋体"/>
          <w:b/>
          <w:szCs w:val="21"/>
          <w:highlight w:val="none"/>
        </w:rPr>
      </w:pPr>
      <w:r>
        <w:rPr>
          <w:rFonts w:hint="eastAsia" w:ascii="宋体" w:hAnsi="宋体" w:eastAsia="宋体" w:cs="宋体"/>
          <w:sz w:val="24"/>
          <w:szCs w:val="32"/>
          <w:lang w:eastAsia="zh-CN"/>
        </w:rPr>
        <w:drawing>
          <wp:inline distT="0" distB="0" distL="114300" distR="114300">
            <wp:extent cx="5440045" cy="8169910"/>
            <wp:effectExtent l="0" t="0" r="8255" b="2540"/>
            <wp:docPr id="2" name="图片 1" descr="技术证明文件及截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技术证明文件及截图_00"/>
                    <pic:cNvPicPr>
                      <a:picLocks noChangeAspect="1"/>
                    </pic:cNvPicPr>
                  </pic:nvPicPr>
                  <pic:blipFill>
                    <a:blip r:embed="rId8"/>
                    <a:srcRect l="10081" t="5609" r="8189" b="7205"/>
                    <a:stretch>
                      <a:fillRect/>
                    </a:stretch>
                  </pic:blipFill>
                  <pic:spPr>
                    <a:xfrm>
                      <a:off x="0" y="0"/>
                      <a:ext cx="5440045" cy="8169910"/>
                    </a:xfrm>
                    <a:prstGeom prst="rect">
                      <a:avLst/>
                    </a:prstGeom>
                    <a:noFill/>
                    <a:ln>
                      <a:noFill/>
                    </a:ln>
                  </pic:spPr>
                </pic:pic>
              </a:graphicData>
            </a:graphic>
          </wp:inline>
        </w:drawing>
      </w:r>
    </w:p>
    <w:p w14:paraId="6E6E5691">
      <w:pPr>
        <w:bidi w:val="0"/>
        <w:rPr>
          <w:rFonts w:hint="eastAsia"/>
        </w:rPr>
      </w:pPr>
    </w:p>
    <w:p w14:paraId="13171D2E">
      <w:pPr>
        <w:jc w:val="center"/>
        <w:rPr>
          <w:rFonts w:hint="eastAsia" w:ascii="宋体" w:hAnsi="宋体" w:cs="宋体"/>
          <w:b/>
          <w:szCs w:val="21"/>
          <w:highlight w:val="none"/>
        </w:rPr>
      </w:pPr>
      <w:r>
        <w:rPr>
          <w:rFonts w:hint="eastAsia" w:ascii="宋体" w:hAnsi="宋体" w:eastAsia="宋体" w:cs="宋体"/>
          <w:sz w:val="24"/>
          <w:szCs w:val="32"/>
          <w:lang w:eastAsia="zh-CN"/>
        </w:rPr>
        <w:drawing>
          <wp:inline distT="0" distB="0" distL="114300" distR="114300">
            <wp:extent cx="5481955" cy="7745730"/>
            <wp:effectExtent l="0" t="0" r="4445" b="7620"/>
            <wp:docPr id="3" name="图片 2" descr="技术证明文件及截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技术证明文件及截图_01"/>
                    <pic:cNvPicPr>
                      <a:picLocks noChangeAspect="1"/>
                    </pic:cNvPicPr>
                  </pic:nvPicPr>
                  <pic:blipFill>
                    <a:blip r:embed="rId9"/>
                    <a:srcRect l="9412" t="5707" r="9215" b="12631"/>
                    <a:stretch>
                      <a:fillRect/>
                    </a:stretch>
                  </pic:blipFill>
                  <pic:spPr>
                    <a:xfrm>
                      <a:off x="0" y="0"/>
                      <a:ext cx="5481955" cy="7745730"/>
                    </a:xfrm>
                    <a:prstGeom prst="rect">
                      <a:avLst/>
                    </a:prstGeom>
                    <a:noFill/>
                    <a:ln>
                      <a:noFill/>
                    </a:ln>
                  </pic:spPr>
                </pic:pic>
              </a:graphicData>
            </a:graphic>
          </wp:inline>
        </w:drawing>
      </w:r>
    </w:p>
    <w:p w14:paraId="3964666B">
      <w:pPr>
        <w:rPr>
          <w:rFonts w:hint="eastAsia" w:ascii="宋体" w:hAnsi="宋体" w:cs="宋体"/>
          <w:b/>
          <w:szCs w:val="21"/>
          <w:highlight w:val="none"/>
        </w:rPr>
      </w:pPr>
    </w:p>
    <w:p w14:paraId="3FB0AE13">
      <w:pPr>
        <w:rPr>
          <w:rFonts w:hint="eastAsia" w:ascii="宋体" w:hAnsi="宋体" w:cs="宋体"/>
          <w:b/>
          <w:szCs w:val="21"/>
          <w:highlight w:val="none"/>
        </w:rPr>
      </w:pPr>
    </w:p>
    <w:p w14:paraId="739D4107">
      <w:pPr>
        <w:rPr>
          <w:rFonts w:hint="eastAsia" w:ascii="宋体" w:hAnsi="宋体" w:cs="宋体"/>
          <w:b/>
          <w:szCs w:val="21"/>
          <w:highlight w:val="none"/>
        </w:rPr>
      </w:pPr>
    </w:p>
    <w:p w14:paraId="48C427D6">
      <w:pPr>
        <w:rPr>
          <w:rFonts w:hint="eastAsia" w:ascii="宋体" w:hAnsi="宋体" w:cs="宋体"/>
          <w:b/>
          <w:szCs w:val="21"/>
          <w:highlight w:val="none"/>
        </w:rPr>
      </w:pPr>
    </w:p>
    <w:p w14:paraId="4165FB37">
      <w:pPr>
        <w:rPr>
          <w:rFonts w:ascii="宋体" w:hAnsi="宋体"/>
          <w:b/>
          <w:sz w:val="24"/>
          <w:szCs w:val="24"/>
          <w:highlight w:val="none"/>
        </w:rPr>
      </w:pPr>
      <w:r>
        <w:rPr>
          <w:rFonts w:hint="eastAsia" w:ascii="宋体" w:hAnsi="宋体" w:cs="宋体"/>
          <w:b/>
          <w:szCs w:val="21"/>
          <w:highlight w:val="none"/>
        </w:rPr>
        <w:t>甲方货物负责人签字：</w:t>
      </w:r>
      <w:bookmarkStart w:id="0" w:name="_GoBack"/>
      <w:bookmarkEnd w:id="0"/>
    </w:p>
    <w:p w14:paraId="1261E19C">
      <w:pPr>
        <w:rPr>
          <w:rFonts w:ascii="宋体" w:hAnsi="宋体"/>
          <w:b/>
          <w:sz w:val="24"/>
          <w:szCs w:val="24"/>
          <w:highlight w:val="none"/>
        </w:rPr>
      </w:pPr>
    </w:p>
    <w:p w14:paraId="0D9FA616">
      <w:pPr>
        <w:rPr>
          <w:rFonts w:ascii="宋体" w:hAnsi="宋体"/>
          <w:b/>
          <w:sz w:val="24"/>
          <w:szCs w:val="24"/>
          <w:highlight w:val="none"/>
        </w:rPr>
        <w:sectPr>
          <w:pgSz w:w="11906" w:h="16838"/>
          <w:pgMar w:top="1077" w:right="1134" w:bottom="1134" w:left="1134" w:header="851" w:footer="850" w:gutter="0"/>
          <w:pgNumType w:fmt="decimal"/>
          <w:cols w:space="720" w:num="1"/>
          <w:docGrid w:type="lines" w:linePitch="312" w:charSpace="0"/>
        </w:sectPr>
      </w:pPr>
    </w:p>
    <w:p w14:paraId="637A66B4">
      <w:pPr>
        <w:jc w:val="left"/>
        <w:rPr>
          <w:rFonts w:hint="eastAsia" w:ascii="宋体" w:hAnsi="宋体" w:cs="宋体"/>
          <w:b/>
          <w:szCs w:val="21"/>
          <w:highlight w:val="none"/>
        </w:rPr>
      </w:pPr>
      <w:r>
        <w:rPr>
          <w:rFonts w:hint="eastAsia" w:ascii="宋体" w:hAnsi="宋体" w:cs="宋体"/>
          <w:b/>
          <w:szCs w:val="21"/>
          <w:highlight w:val="none"/>
        </w:rPr>
        <w:t xml:space="preserve">附件4：                                      </w:t>
      </w:r>
      <w:r>
        <w:rPr>
          <w:rFonts w:hint="eastAsia" w:ascii="宋体" w:hAnsi="宋体" w:cs="宋体"/>
          <w:b/>
          <w:szCs w:val="21"/>
          <w:highlight w:val="none"/>
          <w:lang w:val="en-US" w:eastAsia="zh-CN"/>
        </w:rPr>
        <w:t xml:space="preserve">             </w:t>
      </w:r>
      <w:r>
        <w:rPr>
          <w:rFonts w:hint="eastAsia" w:ascii="宋体" w:hAnsi="宋体" w:cs="宋体"/>
          <w:b/>
          <w:szCs w:val="21"/>
          <w:highlight w:val="none"/>
        </w:rPr>
        <w:t xml:space="preserve">  货物技术参数及配置表</w:t>
      </w:r>
    </w:p>
    <w:tbl>
      <w:tblPr>
        <w:tblStyle w:val="1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0"/>
        <w:gridCol w:w="1753"/>
        <w:gridCol w:w="859"/>
        <w:gridCol w:w="1096"/>
        <w:gridCol w:w="7061"/>
        <w:gridCol w:w="675"/>
        <w:gridCol w:w="977"/>
        <w:gridCol w:w="775"/>
        <w:gridCol w:w="1072"/>
      </w:tblGrid>
      <w:tr w14:paraId="7A6D1E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0" w:type="dxa"/>
            <w:tcBorders>
              <w:top w:val="single" w:color="auto" w:sz="4" w:space="0"/>
              <w:left w:val="single" w:color="auto" w:sz="4" w:space="0"/>
              <w:bottom w:val="single" w:color="auto" w:sz="4" w:space="0"/>
              <w:right w:val="single" w:color="auto" w:sz="4" w:space="0"/>
            </w:tcBorders>
            <w:noWrap w:val="0"/>
            <w:vAlign w:val="center"/>
          </w:tcPr>
          <w:p w14:paraId="3944C10F">
            <w:pPr>
              <w:spacing w:line="240" w:lineRule="auto"/>
              <w:jc w:val="center"/>
              <w:rPr>
                <w:rFonts w:hint="eastAsia" w:ascii="宋体" w:hAnsi="宋体" w:cs="宋体"/>
                <w:b/>
                <w:sz w:val="21"/>
                <w:szCs w:val="21"/>
                <w:highlight w:val="none"/>
              </w:rPr>
            </w:pPr>
            <w:r>
              <w:rPr>
                <w:rFonts w:hint="eastAsia" w:ascii="宋体" w:hAnsi="宋体" w:cs="宋体"/>
                <w:b/>
                <w:sz w:val="21"/>
                <w:szCs w:val="21"/>
                <w:highlight w:val="none"/>
              </w:rPr>
              <w:t>序号</w:t>
            </w:r>
          </w:p>
        </w:tc>
        <w:tc>
          <w:tcPr>
            <w:tcW w:w="1753" w:type="dxa"/>
            <w:tcBorders>
              <w:top w:val="single" w:color="auto" w:sz="4" w:space="0"/>
              <w:left w:val="nil"/>
              <w:bottom w:val="single" w:color="auto" w:sz="4" w:space="0"/>
              <w:right w:val="single" w:color="auto" w:sz="4" w:space="0"/>
            </w:tcBorders>
            <w:noWrap w:val="0"/>
            <w:vAlign w:val="center"/>
          </w:tcPr>
          <w:p w14:paraId="354F3084">
            <w:pPr>
              <w:spacing w:line="240" w:lineRule="auto"/>
              <w:jc w:val="center"/>
              <w:rPr>
                <w:rFonts w:hint="eastAsia" w:ascii="宋体" w:hAnsi="宋体" w:cs="宋体"/>
                <w:b/>
                <w:sz w:val="21"/>
                <w:szCs w:val="21"/>
                <w:highlight w:val="none"/>
              </w:rPr>
            </w:pPr>
            <w:r>
              <w:rPr>
                <w:rFonts w:hint="eastAsia" w:ascii="宋体" w:hAnsi="宋体" w:cs="宋体"/>
                <w:b/>
                <w:sz w:val="21"/>
                <w:szCs w:val="21"/>
                <w:highlight w:val="none"/>
              </w:rPr>
              <w:t>货物或配置名称</w:t>
            </w:r>
          </w:p>
        </w:tc>
        <w:tc>
          <w:tcPr>
            <w:tcW w:w="859" w:type="dxa"/>
            <w:tcBorders>
              <w:top w:val="single" w:color="auto" w:sz="4" w:space="0"/>
              <w:left w:val="nil"/>
              <w:bottom w:val="single" w:color="auto" w:sz="4" w:space="0"/>
              <w:right w:val="single" w:color="auto" w:sz="4" w:space="0"/>
            </w:tcBorders>
            <w:noWrap w:val="0"/>
            <w:vAlign w:val="center"/>
          </w:tcPr>
          <w:p w14:paraId="29096959">
            <w:pPr>
              <w:spacing w:line="240" w:lineRule="auto"/>
              <w:jc w:val="center"/>
              <w:rPr>
                <w:rFonts w:hint="eastAsia" w:ascii="宋体" w:hAnsi="宋体" w:cs="宋体"/>
                <w:b/>
                <w:sz w:val="21"/>
                <w:szCs w:val="21"/>
                <w:highlight w:val="none"/>
              </w:rPr>
            </w:pPr>
            <w:r>
              <w:rPr>
                <w:rFonts w:hint="eastAsia" w:ascii="宋体" w:hAnsi="宋体" w:cs="宋体"/>
                <w:b/>
                <w:sz w:val="21"/>
                <w:szCs w:val="21"/>
                <w:highlight w:val="none"/>
              </w:rPr>
              <w:t>图片</w:t>
            </w:r>
          </w:p>
        </w:tc>
        <w:tc>
          <w:tcPr>
            <w:tcW w:w="1096" w:type="dxa"/>
            <w:tcBorders>
              <w:top w:val="single" w:color="auto" w:sz="4" w:space="0"/>
              <w:left w:val="nil"/>
              <w:bottom w:val="single" w:color="auto" w:sz="4" w:space="0"/>
              <w:right w:val="single" w:color="auto" w:sz="4" w:space="0"/>
            </w:tcBorders>
            <w:noWrap w:val="0"/>
            <w:vAlign w:val="center"/>
          </w:tcPr>
          <w:p w14:paraId="4A164D48">
            <w:pPr>
              <w:spacing w:line="240" w:lineRule="auto"/>
              <w:jc w:val="center"/>
              <w:rPr>
                <w:rFonts w:hint="eastAsia" w:ascii="宋体" w:hAnsi="宋体" w:cs="宋体"/>
                <w:b/>
                <w:sz w:val="21"/>
                <w:szCs w:val="21"/>
                <w:highlight w:val="none"/>
              </w:rPr>
            </w:pPr>
            <w:r>
              <w:rPr>
                <w:rFonts w:hint="eastAsia" w:ascii="宋体" w:hAnsi="宋体" w:cs="宋体"/>
                <w:b/>
                <w:sz w:val="21"/>
                <w:szCs w:val="21"/>
                <w:highlight w:val="none"/>
              </w:rPr>
              <w:t>型号规格</w:t>
            </w:r>
          </w:p>
        </w:tc>
        <w:tc>
          <w:tcPr>
            <w:tcW w:w="7061" w:type="dxa"/>
            <w:tcBorders>
              <w:top w:val="single" w:color="auto" w:sz="4" w:space="0"/>
              <w:left w:val="nil"/>
              <w:bottom w:val="single" w:color="auto" w:sz="4" w:space="0"/>
              <w:right w:val="single" w:color="auto" w:sz="4" w:space="0"/>
            </w:tcBorders>
            <w:noWrap w:val="0"/>
            <w:vAlign w:val="center"/>
          </w:tcPr>
          <w:p w14:paraId="0C0E34CD">
            <w:pPr>
              <w:spacing w:line="240" w:lineRule="auto"/>
              <w:jc w:val="center"/>
              <w:rPr>
                <w:rFonts w:hint="eastAsia" w:ascii="宋体" w:hAnsi="宋体" w:cs="宋体"/>
                <w:b/>
                <w:sz w:val="21"/>
                <w:szCs w:val="21"/>
                <w:highlight w:val="none"/>
              </w:rPr>
            </w:pPr>
            <w:r>
              <w:rPr>
                <w:rFonts w:hint="eastAsia" w:ascii="宋体" w:hAnsi="宋体" w:cs="宋体"/>
                <w:b/>
                <w:sz w:val="21"/>
                <w:szCs w:val="21"/>
                <w:highlight w:val="none"/>
              </w:rPr>
              <w:t>规格参数</w:t>
            </w:r>
          </w:p>
        </w:tc>
        <w:tc>
          <w:tcPr>
            <w:tcW w:w="675" w:type="dxa"/>
            <w:tcBorders>
              <w:top w:val="single" w:color="auto" w:sz="4" w:space="0"/>
              <w:left w:val="nil"/>
              <w:bottom w:val="single" w:color="auto" w:sz="4" w:space="0"/>
              <w:right w:val="single" w:color="auto" w:sz="4" w:space="0"/>
            </w:tcBorders>
            <w:noWrap w:val="0"/>
            <w:vAlign w:val="center"/>
          </w:tcPr>
          <w:p w14:paraId="3BC5621D">
            <w:pPr>
              <w:spacing w:line="240" w:lineRule="auto"/>
              <w:jc w:val="center"/>
              <w:rPr>
                <w:rFonts w:hint="eastAsia" w:ascii="宋体" w:hAnsi="宋体" w:cs="宋体"/>
                <w:b/>
                <w:sz w:val="21"/>
                <w:szCs w:val="21"/>
                <w:highlight w:val="none"/>
              </w:rPr>
            </w:pPr>
            <w:r>
              <w:rPr>
                <w:rFonts w:hint="eastAsia" w:ascii="宋体" w:hAnsi="宋体" w:cs="宋体"/>
                <w:b/>
                <w:sz w:val="21"/>
                <w:szCs w:val="21"/>
                <w:highlight w:val="none"/>
              </w:rPr>
              <w:t>数量</w:t>
            </w:r>
          </w:p>
        </w:tc>
        <w:tc>
          <w:tcPr>
            <w:tcW w:w="977" w:type="dxa"/>
            <w:tcBorders>
              <w:top w:val="single" w:color="auto" w:sz="4" w:space="0"/>
              <w:left w:val="nil"/>
              <w:bottom w:val="single" w:color="auto" w:sz="4" w:space="0"/>
              <w:right w:val="single" w:color="auto" w:sz="4" w:space="0"/>
            </w:tcBorders>
            <w:noWrap w:val="0"/>
            <w:vAlign w:val="center"/>
          </w:tcPr>
          <w:p w14:paraId="3B1C3A87">
            <w:pPr>
              <w:spacing w:line="240" w:lineRule="auto"/>
              <w:ind w:right="-107" w:rightChars="-51"/>
              <w:jc w:val="center"/>
              <w:rPr>
                <w:rFonts w:hint="eastAsia" w:ascii="宋体" w:hAnsi="宋体" w:cs="宋体"/>
                <w:b/>
                <w:sz w:val="21"/>
                <w:szCs w:val="21"/>
                <w:highlight w:val="none"/>
              </w:rPr>
            </w:pPr>
            <w:r>
              <w:rPr>
                <w:rFonts w:hint="eastAsia" w:ascii="宋体" w:hAnsi="宋体" w:cs="宋体"/>
                <w:b/>
                <w:sz w:val="21"/>
                <w:szCs w:val="21"/>
                <w:highlight w:val="none"/>
              </w:rPr>
              <w:t>制造厂(商)</w:t>
            </w:r>
          </w:p>
        </w:tc>
        <w:tc>
          <w:tcPr>
            <w:tcW w:w="775" w:type="dxa"/>
            <w:tcBorders>
              <w:top w:val="single" w:color="auto" w:sz="4" w:space="0"/>
              <w:left w:val="nil"/>
              <w:bottom w:val="single" w:color="auto" w:sz="4" w:space="0"/>
              <w:right w:val="single" w:color="auto" w:sz="4" w:space="0"/>
            </w:tcBorders>
            <w:noWrap w:val="0"/>
            <w:vAlign w:val="center"/>
          </w:tcPr>
          <w:p w14:paraId="7DB18494">
            <w:pPr>
              <w:spacing w:line="240" w:lineRule="auto"/>
              <w:ind w:right="-107" w:rightChars="-51"/>
              <w:jc w:val="center"/>
              <w:rPr>
                <w:rFonts w:hint="eastAsia" w:ascii="宋体" w:hAnsi="宋体" w:cs="宋体"/>
                <w:b/>
                <w:sz w:val="21"/>
                <w:szCs w:val="21"/>
                <w:highlight w:val="none"/>
              </w:rPr>
            </w:pPr>
            <w:r>
              <w:rPr>
                <w:rFonts w:hint="eastAsia" w:ascii="宋体" w:hAnsi="宋体" w:cs="宋体"/>
                <w:b/>
                <w:sz w:val="21"/>
                <w:szCs w:val="21"/>
                <w:highlight w:val="none"/>
              </w:rPr>
              <w:t>原产地</w:t>
            </w:r>
          </w:p>
          <w:p w14:paraId="40C2A35C">
            <w:pPr>
              <w:spacing w:line="240" w:lineRule="auto"/>
              <w:ind w:right="-107" w:rightChars="-51"/>
              <w:jc w:val="center"/>
              <w:rPr>
                <w:rFonts w:hint="eastAsia" w:ascii="宋体" w:hAnsi="宋体" w:cs="宋体"/>
                <w:b/>
                <w:sz w:val="21"/>
                <w:szCs w:val="21"/>
                <w:highlight w:val="none"/>
              </w:rPr>
            </w:pPr>
            <w:r>
              <w:rPr>
                <w:rFonts w:hint="eastAsia" w:ascii="宋体" w:hAnsi="宋体" w:cs="宋体"/>
                <w:b/>
                <w:sz w:val="21"/>
                <w:szCs w:val="21"/>
                <w:highlight w:val="none"/>
              </w:rPr>
              <w:t>(国)</w:t>
            </w:r>
          </w:p>
        </w:tc>
        <w:tc>
          <w:tcPr>
            <w:tcW w:w="1072" w:type="dxa"/>
            <w:tcBorders>
              <w:top w:val="single" w:color="auto" w:sz="4" w:space="0"/>
              <w:left w:val="nil"/>
              <w:bottom w:val="single" w:color="auto" w:sz="4" w:space="0"/>
              <w:right w:val="single" w:color="auto" w:sz="4" w:space="0"/>
            </w:tcBorders>
            <w:noWrap w:val="0"/>
            <w:vAlign w:val="center"/>
          </w:tcPr>
          <w:p w14:paraId="5698B920">
            <w:pPr>
              <w:spacing w:line="240" w:lineRule="auto"/>
              <w:ind w:right="-107" w:rightChars="-51"/>
              <w:jc w:val="center"/>
              <w:rPr>
                <w:rFonts w:hint="eastAsia" w:ascii="宋体" w:hAnsi="宋体" w:cs="宋体"/>
                <w:b/>
                <w:sz w:val="21"/>
                <w:szCs w:val="21"/>
                <w:highlight w:val="none"/>
              </w:rPr>
            </w:pPr>
            <w:r>
              <w:rPr>
                <w:rFonts w:hint="eastAsia" w:ascii="宋体" w:hAnsi="宋体" w:cs="宋体"/>
                <w:b/>
                <w:sz w:val="21"/>
                <w:szCs w:val="21"/>
                <w:highlight w:val="none"/>
              </w:rPr>
              <w:t>甲方货物负责人</w:t>
            </w:r>
          </w:p>
          <w:p w14:paraId="0B699BA5">
            <w:pPr>
              <w:spacing w:line="240" w:lineRule="auto"/>
              <w:ind w:right="-107" w:rightChars="-51"/>
              <w:jc w:val="center"/>
              <w:rPr>
                <w:rFonts w:hint="eastAsia" w:ascii="宋体" w:hAnsi="宋体" w:cs="宋体"/>
                <w:b/>
                <w:sz w:val="21"/>
                <w:szCs w:val="21"/>
                <w:highlight w:val="none"/>
              </w:rPr>
            </w:pPr>
            <w:r>
              <w:rPr>
                <w:rFonts w:hint="eastAsia" w:ascii="宋体" w:hAnsi="宋体" w:cs="宋体"/>
                <w:b/>
                <w:sz w:val="21"/>
                <w:szCs w:val="21"/>
                <w:highlight w:val="none"/>
              </w:rPr>
              <w:t>签字确认</w:t>
            </w:r>
          </w:p>
        </w:tc>
      </w:tr>
      <w:tr w14:paraId="23EBF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650" w:type="dxa"/>
            <w:tcBorders>
              <w:top w:val="single" w:color="auto" w:sz="4" w:space="0"/>
              <w:left w:val="single" w:color="auto" w:sz="4" w:space="0"/>
              <w:bottom w:val="single" w:color="auto" w:sz="4" w:space="0"/>
              <w:right w:val="single" w:color="auto" w:sz="4" w:space="0"/>
            </w:tcBorders>
            <w:noWrap w:val="0"/>
            <w:vAlign w:val="center"/>
          </w:tcPr>
          <w:p w14:paraId="7C684F58">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1</w:t>
            </w:r>
          </w:p>
        </w:tc>
        <w:tc>
          <w:tcPr>
            <w:tcW w:w="1753" w:type="dxa"/>
            <w:tcBorders>
              <w:top w:val="single" w:color="auto" w:sz="4" w:space="0"/>
              <w:left w:val="nil"/>
              <w:bottom w:val="single" w:color="auto" w:sz="4" w:space="0"/>
              <w:right w:val="single" w:color="auto" w:sz="4" w:space="0"/>
            </w:tcBorders>
            <w:noWrap w:val="0"/>
            <w:vAlign w:val="center"/>
          </w:tcPr>
          <w:p w14:paraId="5CE4BA4D">
            <w:pPr>
              <w:spacing w:line="240" w:lineRule="auto"/>
              <w:jc w:val="center"/>
              <w:rPr>
                <w:rFonts w:hint="eastAsia" w:ascii="宋体" w:hAnsi="宋体" w:cs="宋体"/>
                <w:sz w:val="21"/>
                <w:szCs w:val="21"/>
                <w:highlight w:val="none"/>
              </w:rPr>
            </w:pPr>
            <w:r>
              <w:rPr>
                <w:rFonts w:hint="eastAsia" w:ascii="宋体" w:hAnsi="宋体" w:cs="宋体"/>
                <w:sz w:val="21"/>
                <w:szCs w:val="21"/>
                <w:highlight w:val="none"/>
              </w:rPr>
              <w:t>高效液相色谱仪</w:t>
            </w:r>
          </w:p>
        </w:tc>
        <w:tc>
          <w:tcPr>
            <w:tcW w:w="859" w:type="dxa"/>
            <w:tcBorders>
              <w:top w:val="single" w:color="auto" w:sz="4" w:space="0"/>
              <w:left w:val="nil"/>
              <w:bottom w:val="single" w:color="auto" w:sz="4" w:space="0"/>
              <w:right w:val="single" w:color="auto" w:sz="4" w:space="0"/>
            </w:tcBorders>
            <w:noWrap w:val="0"/>
            <w:vAlign w:val="center"/>
          </w:tcPr>
          <w:p w14:paraId="28045619">
            <w:pPr>
              <w:spacing w:line="24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p>
        </w:tc>
        <w:tc>
          <w:tcPr>
            <w:tcW w:w="1096" w:type="dxa"/>
            <w:tcBorders>
              <w:top w:val="single" w:color="auto" w:sz="4" w:space="0"/>
              <w:left w:val="nil"/>
              <w:bottom w:val="single" w:color="auto" w:sz="4" w:space="0"/>
              <w:right w:val="single" w:color="auto" w:sz="4" w:space="0"/>
            </w:tcBorders>
            <w:noWrap w:val="0"/>
            <w:vAlign w:val="center"/>
          </w:tcPr>
          <w:p w14:paraId="010F89A3">
            <w:pPr>
              <w:spacing w:line="240" w:lineRule="auto"/>
              <w:jc w:val="center"/>
              <w:rPr>
                <w:rFonts w:hint="eastAsia" w:ascii="宋体" w:hAnsi="宋体" w:cs="宋体"/>
                <w:sz w:val="21"/>
                <w:szCs w:val="21"/>
                <w:highlight w:val="none"/>
              </w:rPr>
            </w:pPr>
            <w:r>
              <w:rPr>
                <w:rFonts w:hint="eastAsia" w:ascii="宋体" w:hAnsi="宋体" w:eastAsia="宋体" w:cs="宋体"/>
                <w:sz w:val="21"/>
                <w:szCs w:val="21"/>
                <w:vertAlign w:val="baseline"/>
              </w:rPr>
              <w:t>Arc HPLC</w:t>
            </w:r>
          </w:p>
        </w:tc>
        <w:tc>
          <w:tcPr>
            <w:tcW w:w="7061" w:type="dxa"/>
            <w:tcBorders>
              <w:top w:val="single" w:color="auto" w:sz="4" w:space="0"/>
              <w:left w:val="nil"/>
              <w:bottom w:val="single" w:color="auto" w:sz="4" w:space="0"/>
              <w:right w:val="single" w:color="auto" w:sz="4" w:space="0"/>
            </w:tcBorders>
            <w:noWrap w:val="0"/>
            <w:vAlign w:val="center"/>
          </w:tcPr>
          <w:p w14:paraId="68D74D59">
            <w:pPr>
              <w:spacing w:line="240" w:lineRule="auto"/>
              <w:rPr>
                <w:rFonts w:hint="eastAsia"/>
                <w:sz w:val="21"/>
                <w:szCs w:val="21"/>
              </w:rPr>
            </w:pPr>
            <w:r>
              <w:rPr>
                <w:rFonts w:hint="eastAsia"/>
                <w:sz w:val="21"/>
                <w:szCs w:val="21"/>
              </w:rPr>
              <w:t>一、工作条件：</w:t>
            </w:r>
          </w:p>
          <w:p w14:paraId="60C34DBC">
            <w:pPr>
              <w:spacing w:line="240" w:lineRule="auto"/>
              <w:rPr>
                <w:rFonts w:hint="eastAsia"/>
                <w:sz w:val="21"/>
                <w:szCs w:val="21"/>
              </w:rPr>
            </w:pPr>
            <w:r>
              <w:rPr>
                <w:rFonts w:hint="eastAsia"/>
                <w:sz w:val="21"/>
                <w:szCs w:val="21"/>
              </w:rPr>
              <w:t>1、电源:220V 50Hz；</w:t>
            </w:r>
          </w:p>
          <w:p w14:paraId="7BB45D7D">
            <w:pPr>
              <w:spacing w:line="240" w:lineRule="auto"/>
              <w:rPr>
                <w:rFonts w:hint="eastAsia"/>
                <w:sz w:val="21"/>
                <w:szCs w:val="21"/>
              </w:rPr>
            </w:pPr>
            <w:r>
              <w:rPr>
                <w:rFonts w:hint="eastAsia"/>
                <w:sz w:val="21"/>
                <w:szCs w:val="21"/>
              </w:rPr>
              <w:t>2、环境温度:15～30℃；</w:t>
            </w:r>
          </w:p>
          <w:p w14:paraId="7CDA8D9D">
            <w:pPr>
              <w:spacing w:line="240" w:lineRule="auto"/>
              <w:rPr>
                <w:rFonts w:hint="eastAsia"/>
                <w:sz w:val="21"/>
                <w:szCs w:val="21"/>
              </w:rPr>
            </w:pPr>
            <w:r>
              <w:rPr>
                <w:rFonts w:hint="eastAsia"/>
                <w:sz w:val="21"/>
                <w:szCs w:val="21"/>
              </w:rPr>
              <w:t>3、湿度：10～80% 。</w:t>
            </w:r>
          </w:p>
          <w:p w14:paraId="5935F00A">
            <w:pPr>
              <w:spacing w:line="240" w:lineRule="auto"/>
              <w:rPr>
                <w:rFonts w:hint="eastAsia"/>
                <w:sz w:val="21"/>
                <w:szCs w:val="21"/>
              </w:rPr>
            </w:pPr>
            <w:r>
              <w:rPr>
                <w:rFonts w:hint="eastAsia"/>
                <w:sz w:val="21"/>
                <w:szCs w:val="21"/>
              </w:rPr>
              <w:t>二、用途：用于中药中活性成分、杂质、代谢物等的有效分离和定量测定。</w:t>
            </w:r>
          </w:p>
          <w:p w14:paraId="60BAD111">
            <w:pPr>
              <w:spacing w:line="240" w:lineRule="auto"/>
              <w:rPr>
                <w:rFonts w:hint="eastAsia"/>
                <w:sz w:val="21"/>
                <w:szCs w:val="21"/>
              </w:rPr>
            </w:pPr>
            <w:r>
              <w:rPr>
                <w:rFonts w:hint="eastAsia"/>
                <w:sz w:val="21"/>
                <w:szCs w:val="21"/>
              </w:rPr>
              <w:t>三、技术规格和参数：</w:t>
            </w:r>
          </w:p>
          <w:p w14:paraId="0B9DD932">
            <w:pPr>
              <w:spacing w:line="240" w:lineRule="auto"/>
              <w:rPr>
                <w:rFonts w:hint="eastAsia"/>
                <w:sz w:val="21"/>
                <w:szCs w:val="21"/>
              </w:rPr>
            </w:pPr>
            <w:r>
              <w:rPr>
                <w:rFonts w:hint="eastAsia"/>
                <w:sz w:val="21"/>
                <w:szCs w:val="21"/>
              </w:rPr>
              <w:t>1、四元溶剂管理系统</w:t>
            </w:r>
          </w:p>
          <w:p w14:paraId="126763B6">
            <w:pPr>
              <w:spacing w:line="240" w:lineRule="auto"/>
              <w:rPr>
                <w:rFonts w:hint="eastAsia"/>
                <w:sz w:val="21"/>
                <w:szCs w:val="21"/>
              </w:rPr>
            </w:pPr>
            <w:r>
              <w:rPr>
                <w:rFonts w:hint="eastAsia"/>
                <w:sz w:val="21"/>
                <w:szCs w:val="21"/>
              </w:rPr>
              <w:t>1.1、色谱泵：一体式独立柱塞，数控直线驱动色谱泵技术，双压力传感器反馈回路，无需阻尼器；</w:t>
            </w:r>
          </w:p>
          <w:p w14:paraId="46657FA5">
            <w:pPr>
              <w:spacing w:line="240" w:lineRule="auto"/>
              <w:rPr>
                <w:rFonts w:hint="eastAsia"/>
                <w:sz w:val="21"/>
                <w:szCs w:val="21"/>
              </w:rPr>
            </w:pPr>
            <w:r>
              <w:rPr>
                <w:rFonts w:hint="eastAsia"/>
                <w:sz w:val="21"/>
                <w:szCs w:val="21"/>
              </w:rPr>
              <w:t>1.2、泵压力传感器反馈回路：2路；</w:t>
            </w:r>
          </w:p>
          <w:p w14:paraId="318B98EB">
            <w:pPr>
              <w:spacing w:line="240" w:lineRule="auto"/>
              <w:rPr>
                <w:rFonts w:hint="eastAsia"/>
                <w:sz w:val="21"/>
                <w:szCs w:val="21"/>
              </w:rPr>
            </w:pPr>
            <w:r>
              <w:rPr>
                <w:rFonts w:hint="eastAsia"/>
                <w:sz w:val="21"/>
                <w:szCs w:val="21"/>
              </w:rPr>
              <w:t>1.3、梯度模式：四元梯度，1～4路溶剂任意混合；</w:t>
            </w:r>
          </w:p>
          <w:p w14:paraId="5EAC22CD">
            <w:pPr>
              <w:spacing w:line="240" w:lineRule="auto"/>
              <w:rPr>
                <w:rFonts w:hint="eastAsia"/>
                <w:sz w:val="21"/>
                <w:szCs w:val="21"/>
              </w:rPr>
            </w:pPr>
            <w:r>
              <w:rPr>
                <w:rFonts w:hint="eastAsia"/>
                <w:sz w:val="21"/>
                <w:szCs w:val="21"/>
              </w:rPr>
              <w:t>1.4、流量范围：0.001～5.000 mL/min，增量为0.001 mL；</w:t>
            </w:r>
          </w:p>
          <w:p w14:paraId="431F3E12">
            <w:pPr>
              <w:spacing w:line="240" w:lineRule="auto"/>
              <w:rPr>
                <w:rFonts w:hint="eastAsia"/>
                <w:sz w:val="21"/>
                <w:szCs w:val="21"/>
              </w:rPr>
            </w:pPr>
            <w:r>
              <w:rPr>
                <w:rFonts w:hint="eastAsia"/>
                <w:sz w:val="21"/>
                <w:szCs w:val="21"/>
              </w:rPr>
              <w:t>1.5、在线脱气：5通道；</w:t>
            </w:r>
          </w:p>
          <w:p w14:paraId="31ED9DDF">
            <w:pPr>
              <w:spacing w:line="240" w:lineRule="auto"/>
              <w:rPr>
                <w:rFonts w:hint="eastAsia"/>
                <w:sz w:val="21"/>
                <w:szCs w:val="21"/>
              </w:rPr>
            </w:pPr>
            <w:r>
              <w:rPr>
                <w:rFonts w:hint="eastAsia"/>
                <w:sz w:val="21"/>
                <w:szCs w:val="21"/>
              </w:rPr>
              <w:t>1.6、最大操作压力：9500 psi（全流量范围）；</w:t>
            </w:r>
          </w:p>
          <w:p w14:paraId="598B7E18">
            <w:pPr>
              <w:spacing w:line="240" w:lineRule="auto"/>
              <w:rPr>
                <w:rFonts w:hint="eastAsia"/>
                <w:sz w:val="21"/>
                <w:szCs w:val="21"/>
              </w:rPr>
            </w:pPr>
            <w:r>
              <w:rPr>
                <w:rFonts w:hint="eastAsia"/>
                <w:sz w:val="21"/>
                <w:szCs w:val="21"/>
              </w:rPr>
              <w:t>1.7、流速精度：0.07% RSD；</w:t>
            </w:r>
          </w:p>
          <w:p w14:paraId="6D7932FC">
            <w:pPr>
              <w:spacing w:line="240" w:lineRule="auto"/>
              <w:rPr>
                <w:rFonts w:hint="eastAsia"/>
                <w:sz w:val="21"/>
                <w:szCs w:val="21"/>
              </w:rPr>
            </w:pPr>
            <w:r>
              <w:rPr>
                <w:rFonts w:hint="eastAsia"/>
                <w:sz w:val="21"/>
                <w:szCs w:val="21"/>
              </w:rPr>
              <w:t>1.8、梯度变化模式：预编11种梯度曲线，分为1线性、2步进、4凹线、4凸线四种类型，由色谱软件实现准确控制；</w:t>
            </w:r>
          </w:p>
          <w:p w14:paraId="5EC4EC0F">
            <w:pPr>
              <w:spacing w:line="240" w:lineRule="auto"/>
              <w:rPr>
                <w:rFonts w:hint="eastAsia"/>
                <w:sz w:val="21"/>
                <w:szCs w:val="21"/>
              </w:rPr>
            </w:pPr>
            <w:r>
              <w:rPr>
                <w:rFonts w:hint="eastAsia"/>
                <w:sz w:val="21"/>
                <w:szCs w:val="21"/>
              </w:rPr>
              <w:t>1.9、柱塞清洗：自动，可编辑；</w:t>
            </w:r>
          </w:p>
          <w:p w14:paraId="60272963">
            <w:pPr>
              <w:spacing w:line="240" w:lineRule="auto"/>
              <w:rPr>
                <w:rFonts w:hint="eastAsia"/>
                <w:sz w:val="21"/>
                <w:szCs w:val="21"/>
              </w:rPr>
            </w:pPr>
            <w:r>
              <w:rPr>
                <w:rFonts w:hint="eastAsia"/>
                <w:sz w:val="21"/>
                <w:szCs w:val="21"/>
              </w:rPr>
              <w:t>1.10、内置自动缓冲盐配置功能：可实现自动配置缓冲盐浓度和pH值梯度变化，增量为0.1；</w:t>
            </w:r>
          </w:p>
          <w:p w14:paraId="10E2C0F9">
            <w:pPr>
              <w:spacing w:line="240" w:lineRule="auto"/>
              <w:rPr>
                <w:rFonts w:hint="eastAsia"/>
                <w:sz w:val="21"/>
                <w:szCs w:val="21"/>
              </w:rPr>
            </w:pPr>
            <w:r>
              <w:rPr>
                <w:rFonts w:hint="eastAsia"/>
                <w:sz w:val="21"/>
                <w:szCs w:val="21"/>
              </w:rPr>
              <w:t>1.11、内置缓冲盐配置体系数量：8。</w:t>
            </w:r>
          </w:p>
          <w:p w14:paraId="5BD4E866">
            <w:pPr>
              <w:spacing w:line="240" w:lineRule="auto"/>
              <w:rPr>
                <w:rFonts w:hint="eastAsia"/>
                <w:sz w:val="21"/>
                <w:szCs w:val="21"/>
              </w:rPr>
            </w:pPr>
            <w:r>
              <w:rPr>
                <w:rFonts w:hint="eastAsia"/>
                <w:sz w:val="21"/>
                <w:szCs w:val="21"/>
              </w:rPr>
              <w:t>2、自动进样器管理系统</w:t>
            </w:r>
          </w:p>
          <w:p w14:paraId="53EE143E">
            <w:pPr>
              <w:spacing w:line="240" w:lineRule="auto"/>
              <w:rPr>
                <w:rFonts w:hint="eastAsia"/>
                <w:sz w:val="21"/>
                <w:szCs w:val="21"/>
              </w:rPr>
            </w:pPr>
            <w:r>
              <w:rPr>
                <w:rFonts w:hint="eastAsia"/>
                <w:sz w:val="21"/>
                <w:szCs w:val="21"/>
              </w:rPr>
              <w:t>2.1、先进的流通针式进样模式，保证低残留；</w:t>
            </w:r>
          </w:p>
          <w:p w14:paraId="4F819145">
            <w:pPr>
              <w:spacing w:line="240" w:lineRule="auto"/>
              <w:rPr>
                <w:rFonts w:hint="eastAsia"/>
                <w:sz w:val="21"/>
                <w:szCs w:val="21"/>
              </w:rPr>
            </w:pPr>
            <w:r>
              <w:rPr>
                <w:rFonts w:hint="eastAsia"/>
                <w:sz w:val="21"/>
                <w:szCs w:val="21"/>
              </w:rPr>
              <w:t>2.2、样品容量：96（2 mL样品瓶架）；</w:t>
            </w:r>
          </w:p>
          <w:p w14:paraId="0F8DC1D9">
            <w:pPr>
              <w:spacing w:line="240" w:lineRule="auto"/>
              <w:rPr>
                <w:rFonts w:hint="eastAsia"/>
                <w:sz w:val="21"/>
                <w:szCs w:val="21"/>
              </w:rPr>
            </w:pPr>
            <w:r>
              <w:rPr>
                <w:rFonts w:hint="eastAsia"/>
                <w:sz w:val="21"/>
                <w:szCs w:val="21"/>
              </w:rPr>
              <w:t>2.3、进样精度：0.25% RSD；</w:t>
            </w:r>
          </w:p>
          <w:p w14:paraId="7582E67B">
            <w:pPr>
              <w:spacing w:line="240" w:lineRule="auto"/>
              <w:rPr>
                <w:rFonts w:hint="eastAsia"/>
                <w:sz w:val="21"/>
                <w:szCs w:val="21"/>
              </w:rPr>
            </w:pPr>
            <w:r>
              <w:rPr>
                <w:rFonts w:hint="eastAsia"/>
                <w:sz w:val="21"/>
                <w:szCs w:val="21"/>
              </w:rPr>
              <w:t>2.4、样品交叉污染/样品残留：0.002%；</w:t>
            </w:r>
          </w:p>
          <w:p w14:paraId="408BA9EC">
            <w:pPr>
              <w:spacing w:line="240" w:lineRule="auto"/>
              <w:rPr>
                <w:rFonts w:hint="eastAsia"/>
                <w:sz w:val="21"/>
                <w:szCs w:val="21"/>
              </w:rPr>
            </w:pPr>
            <w:r>
              <w:rPr>
                <w:rFonts w:hint="eastAsia"/>
                <w:sz w:val="21"/>
                <w:szCs w:val="21"/>
              </w:rPr>
              <w:t>2.5、样品室温度：4°C～40°C，可设置，增量：1°C。</w:t>
            </w:r>
          </w:p>
          <w:p w14:paraId="74BAC762">
            <w:pPr>
              <w:spacing w:line="240" w:lineRule="auto"/>
              <w:rPr>
                <w:rFonts w:hint="eastAsia"/>
                <w:sz w:val="21"/>
                <w:szCs w:val="21"/>
              </w:rPr>
            </w:pPr>
            <w:r>
              <w:rPr>
                <w:rFonts w:hint="eastAsia"/>
                <w:sz w:val="21"/>
                <w:szCs w:val="21"/>
              </w:rPr>
              <w:t>3、柱温箱温度范围：高于环境温度5.0℃～65℃，增量：0.1℃。</w:t>
            </w:r>
          </w:p>
          <w:p w14:paraId="2F3EE969">
            <w:pPr>
              <w:spacing w:line="240" w:lineRule="auto"/>
              <w:rPr>
                <w:rFonts w:hint="eastAsia"/>
                <w:sz w:val="21"/>
                <w:szCs w:val="21"/>
              </w:rPr>
            </w:pPr>
            <w:r>
              <w:rPr>
                <w:rFonts w:hint="eastAsia"/>
                <w:sz w:val="21"/>
                <w:szCs w:val="21"/>
              </w:rPr>
              <w:t>4、二极管阵列检测器</w:t>
            </w:r>
          </w:p>
          <w:p w14:paraId="38B0DB90">
            <w:pPr>
              <w:spacing w:line="240" w:lineRule="auto"/>
              <w:rPr>
                <w:rFonts w:hint="eastAsia"/>
                <w:sz w:val="21"/>
                <w:szCs w:val="21"/>
              </w:rPr>
            </w:pPr>
            <w:r>
              <w:rPr>
                <w:rFonts w:hint="eastAsia"/>
                <w:sz w:val="21"/>
                <w:szCs w:val="21"/>
              </w:rPr>
              <w:t>4.1、波长范围：190～800 nm；</w:t>
            </w:r>
          </w:p>
          <w:p w14:paraId="20B1D578">
            <w:pPr>
              <w:spacing w:line="240" w:lineRule="auto"/>
              <w:rPr>
                <w:rFonts w:hint="eastAsia"/>
                <w:sz w:val="21"/>
                <w:szCs w:val="21"/>
              </w:rPr>
            </w:pPr>
            <w:r>
              <w:rPr>
                <w:rFonts w:hint="eastAsia"/>
                <w:sz w:val="21"/>
                <w:szCs w:val="21"/>
              </w:rPr>
              <w:t>4.2、波长准确度：±1 nm ，带宽：1.2 nm；</w:t>
            </w:r>
          </w:p>
          <w:p w14:paraId="05668580">
            <w:pPr>
              <w:spacing w:line="240" w:lineRule="auto"/>
              <w:rPr>
                <w:rFonts w:hint="eastAsia"/>
                <w:sz w:val="21"/>
                <w:szCs w:val="21"/>
              </w:rPr>
            </w:pPr>
            <w:r>
              <w:rPr>
                <w:rFonts w:hint="eastAsia"/>
                <w:sz w:val="21"/>
                <w:szCs w:val="21"/>
              </w:rPr>
              <w:t>4.3、吸收范围：0.0001～4.0000 AU；</w:t>
            </w:r>
          </w:p>
          <w:p w14:paraId="5131409B">
            <w:pPr>
              <w:spacing w:line="240" w:lineRule="auto"/>
              <w:rPr>
                <w:rFonts w:hint="eastAsia"/>
                <w:sz w:val="21"/>
                <w:szCs w:val="21"/>
              </w:rPr>
            </w:pPr>
            <w:r>
              <w:rPr>
                <w:rFonts w:hint="eastAsia"/>
                <w:sz w:val="21"/>
                <w:szCs w:val="21"/>
              </w:rPr>
              <w:t>4.4、内置灯优化软件：减少可见光波长噪音，补偿等损耗能量；</w:t>
            </w:r>
          </w:p>
          <w:p w14:paraId="3E59389B">
            <w:pPr>
              <w:spacing w:line="240" w:lineRule="auto"/>
              <w:rPr>
                <w:rFonts w:hint="eastAsia"/>
                <w:sz w:val="21"/>
                <w:szCs w:val="21"/>
              </w:rPr>
            </w:pPr>
            <w:r>
              <w:rPr>
                <w:rFonts w:hint="eastAsia"/>
                <w:sz w:val="21"/>
                <w:szCs w:val="21"/>
              </w:rPr>
              <w:t>4.5、流通池：梯形狭缝池，消除示差折光效应；</w:t>
            </w:r>
          </w:p>
          <w:p w14:paraId="50B0465F">
            <w:pPr>
              <w:spacing w:line="240" w:lineRule="auto"/>
              <w:rPr>
                <w:rFonts w:hint="eastAsia"/>
                <w:sz w:val="21"/>
                <w:szCs w:val="21"/>
              </w:rPr>
            </w:pPr>
            <w:r>
              <w:rPr>
                <w:rFonts w:hint="eastAsia"/>
                <w:sz w:val="21"/>
                <w:szCs w:val="21"/>
              </w:rPr>
              <w:t>4.6、可将所有组分的最大吸收波长值整合成一张色谱图，无需逐个设置波长来寻找每个组分的最大吸收波长值。</w:t>
            </w:r>
          </w:p>
          <w:p w14:paraId="1517A0C2">
            <w:pPr>
              <w:spacing w:line="240" w:lineRule="auto"/>
              <w:rPr>
                <w:rFonts w:hint="eastAsia"/>
                <w:sz w:val="21"/>
                <w:szCs w:val="21"/>
              </w:rPr>
            </w:pPr>
            <w:r>
              <w:rPr>
                <w:rFonts w:hint="eastAsia"/>
                <w:sz w:val="21"/>
                <w:szCs w:val="21"/>
              </w:rPr>
              <w:t>5、蒸发光检测器</w:t>
            </w:r>
          </w:p>
          <w:p w14:paraId="1CAAA624">
            <w:pPr>
              <w:spacing w:line="240" w:lineRule="auto"/>
              <w:rPr>
                <w:rFonts w:hint="eastAsia"/>
                <w:sz w:val="21"/>
                <w:szCs w:val="21"/>
              </w:rPr>
            </w:pPr>
            <w:r>
              <w:rPr>
                <w:rFonts w:hint="eastAsia"/>
                <w:sz w:val="21"/>
                <w:szCs w:val="21"/>
              </w:rPr>
              <w:t>5.1、激光二极管，带有光校正系统；</w:t>
            </w:r>
          </w:p>
          <w:p w14:paraId="5E5FF375">
            <w:pPr>
              <w:spacing w:line="240" w:lineRule="auto"/>
              <w:rPr>
                <w:rFonts w:hint="eastAsia"/>
                <w:sz w:val="21"/>
                <w:szCs w:val="21"/>
              </w:rPr>
            </w:pPr>
            <w:r>
              <w:rPr>
                <w:rFonts w:hint="eastAsia"/>
                <w:sz w:val="21"/>
                <w:szCs w:val="21"/>
              </w:rPr>
              <w:t>5.2、采用布儒斯特角光肼有效地降低了背景噪音；</w:t>
            </w:r>
          </w:p>
          <w:p w14:paraId="6C5756E3">
            <w:pPr>
              <w:spacing w:line="240" w:lineRule="auto"/>
              <w:rPr>
                <w:rFonts w:hint="eastAsia"/>
                <w:sz w:val="21"/>
                <w:szCs w:val="21"/>
              </w:rPr>
            </w:pPr>
            <w:r>
              <w:rPr>
                <w:rFonts w:hint="eastAsia"/>
                <w:sz w:val="21"/>
                <w:szCs w:val="21"/>
              </w:rPr>
              <w:t>5.3、雾化器、漂移管、检测池及排出口四区域分别独立控温；</w:t>
            </w:r>
          </w:p>
          <w:p w14:paraId="5B37579A">
            <w:pPr>
              <w:spacing w:line="240" w:lineRule="auto"/>
              <w:rPr>
                <w:rFonts w:hint="eastAsia"/>
                <w:sz w:val="21"/>
                <w:szCs w:val="21"/>
              </w:rPr>
            </w:pPr>
            <w:r>
              <w:rPr>
                <w:rFonts w:hint="eastAsia"/>
                <w:sz w:val="21"/>
                <w:szCs w:val="21"/>
              </w:rPr>
              <w:t>5.4、漂移管室温～120℃，内置温度补偿系统使温度控制更精确；</w:t>
            </w:r>
          </w:p>
          <w:p w14:paraId="61E56E6E">
            <w:pPr>
              <w:spacing w:line="240" w:lineRule="auto"/>
              <w:rPr>
                <w:rFonts w:hint="eastAsia"/>
                <w:sz w:val="21"/>
                <w:szCs w:val="21"/>
              </w:rPr>
            </w:pPr>
            <w:r>
              <w:rPr>
                <w:rFonts w:hint="eastAsia"/>
                <w:sz w:val="21"/>
                <w:szCs w:val="21"/>
              </w:rPr>
              <w:t>5.5、雾化气体0～5L/min可调节，内置式数字型流量计控制，不受压力变化影响。</w:t>
            </w:r>
          </w:p>
          <w:p w14:paraId="327BB63E">
            <w:pPr>
              <w:spacing w:line="240" w:lineRule="auto"/>
              <w:rPr>
                <w:rFonts w:hint="eastAsia"/>
                <w:sz w:val="21"/>
                <w:szCs w:val="21"/>
              </w:rPr>
            </w:pPr>
            <w:r>
              <w:rPr>
                <w:rFonts w:hint="eastAsia"/>
                <w:sz w:val="21"/>
                <w:szCs w:val="21"/>
              </w:rPr>
              <w:t>6、色谱数据管理系统</w:t>
            </w:r>
          </w:p>
          <w:p w14:paraId="518F0C28">
            <w:pPr>
              <w:spacing w:line="240" w:lineRule="auto"/>
              <w:rPr>
                <w:rFonts w:hint="eastAsia"/>
                <w:sz w:val="21"/>
                <w:szCs w:val="21"/>
              </w:rPr>
            </w:pPr>
            <w:r>
              <w:rPr>
                <w:rFonts w:hint="eastAsia"/>
                <w:sz w:val="21"/>
                <w:szCs w:val="21"/>
              </w:rPr>
              <w:t>6.1、原厂源代码级全中文版，其中包括在线帮助采用简体中文；</w:t>
            </w:r>
          </w:p>
          <w:p w14:paraId="08C80594">
            <w:pPr>
              <w:spacing w:line="240" w:lineRule="auto"/>
              <w:rPr>
                <w:rFonts w:hint="eastAsia"/>
                <w:sz w:val="21"/>
                <w:szCs w:val="21"/>
              </w:rPr>
            </w:pPr>
            <w:r>
              <w:rPr>
                <w:rFonts w:hint="eastAsia"/>
                <w:sz w:val="21"/>
                <w:szCs w:val="21"/>
              </w:rPr>
              <w:t>6.2、内置ORACLE® 数据库；</w:t>
            </w:r>
          </w:p>
          <w:p w14:paraId="75C2E9D5">
            <w:pPr>
              <w:spacing w:line="240" w:lineRule="auto"/>
              <w:rPr>
                <w:rFonts w:hint="eastAsia"/>
                <w:sz w:val="21"/>
                <w:szCs w:val="21"/>
              </w:rPr>
            </w:pPr>
            <w:r>
              <w:rPr>
                <w:rFonts w:hint="eastAsia"/>
                <w:sz w:val="21"/>
                <w:szCs w:val="21"/>
              </w:rPr>
              <w:t>6.3、登录时输入用户名和密码，每个使用者可以使用各自的用户名，密码和权限，相互之间的数据互相独立，互不干扰；</w:t>
            </w:r>
          </w:p>
          <w:p w14:paraId="7E976BB9">
            <w:pPr>
              <w:spacing w:line="240" w:lineRule="auto"/>
              <w:rPr>
                <w:rFonts w:hint="eastAsia"/>
                <w:sz w:val="21"/>
                <w:szCs w:val="21"/>
              </w:rPr>
            </w:pPr>
            <w:r>
              <w:rPr>
                <w:rFonts w:hint="eastAsia"/>
                <w:sz w:val="21"/>
                <w:szCs w:val="21"/>
              </w:rPr>
              <w:t>6.4、10种数据检索模式，适应大量数据管理和检索；</w:t>
            </w:r>
          </w:p>
          <w:p w14:paraId="0FED7B11">
            <w:pPr>
              <w:spacing w:line="240" w:lineRule="auto"/>
              <w:rPr>
                <w:rFonts w:hint="eastAsia"/>
                <w:sz w:val="21"/>
                <w:szCs w:val="21"/>
              </w:rPr>
            </w:pPr>
            <w:r>
              <w:rPr>
                <w:rFonts w:hint="eastAsia"/>
                <w:sz w:val="21"/>
                <w:szCs w:val="21"/>
              </w:rPr>
              <w:t>6.5、16种校正拟合定量计算方式，适应不同分析及不同检测器应用；</w:t>
            </w:r>
          </w:p>
          <w:p w14:paraId="58FA974F">
            <w:pPr>
              <w:spacing w:line="240" w:lineRule="auto"/>
              <w:rPr>
                <w:rFonts w:hint="eastAsia"/>
                <w:sz w:val="21"/>
                <w:szCs w:val="21"/>
              </w:rPr>
            </w:pPr>
            <w:r>
              <w:rPr>
                <w:rFonts w:hint="eastAsia"/>
                <w:sz w:val="21"/>
                <w:szCs w:val="21"/>
              </w:rPr>
              <w:t>6.6、用户可自定义样品信息和编辑计算公式实现特殊的计算：样品信息类型6；数据类型6；</w:t>
            </w:r>
          </w:p>
          <w:p w14:paraId="6D55A7AC">
            <w:pPr>
              <w:spacing w:line="240" w:lineRule="auto"/>
              <w:rPr>
                <w:rFonts w:hint="eastAsia"/>
                <w:sz w:val="21"/>
                <w:szCs w:val="21"/>
              </w:rPr>
            </w:pPr>
            <w:r>
              <w:rPr>
                <w:rFonts w:hint="eastAsia"/>
                <w:sz w:val="21"/>
                <w:szCs w:val="21"/>
              </w:rPr>
              <w:t>6.7、积分模式：传统积分和ApexTrack峰尖寻迹拟和积分，可提供更准确的肩峰、负峰和拖尾峰的积分；</w:t>
            </w:r>
          </w:p>
          <w:p w14:paraId="4648C44B">
            <w:pPr>
              <w:spacing w:line="240" w:lineRule="auto"/>
              <w:rPr>
                <w:rFonts w:hint="eastAsia"/>
                <w:sz w:val="21"/>
                <w:szCs w:val="21"/>
              </w:rPr>
            </w:pPr>
            <w:r>
              <w:rPr>
                <w:rFonts w:hint="eastAsia"/>
                <w:sz w:val="21"/>
                <w:szCs w:val="21"/>
              </w:rPr>
              <w:t>6.8、用溶剂角及噪音角计算色谱峰一致性，对色谱峰进行纯度分析以判断是否有共流出物（PDA检测器）。</w:t>
            </w:r>
          </w:p>
          <w:p w14:paraId="12EFB0B1">
            <w:pPr>
              <w:spacing w:line="240" w:lineRule="auto"/>
              <w:rPr>
                <w:rFonts w:hint="eastAsia"/>
                <w:sz w:val="21"/>
                <w:szCs w:val="21"/>
              </w:rPr>
            </w:pPr>
            <w:r>
              <w:rPr>
                <w:rFonts w:hint="eastAsia"/>
                <w:sz w:val="21"/>
                <w:szCs w:val="21"/>
              </w:rPr>
              <w:t>7、数据处理系统：I5处理器，16G内存，23寸显示器。</w:t>
            </w:r>
          </w:p>
          <w:p w14:paraId="54845945">
            <w:pPr>
              <w:spacing w:line="240" w:lineRule="auto"/>
              <w:rPr>
                <w:rFonts w:hint="eastAsia"/>
                <w:sz w:val="21"/>
                <w:szCs w:val="21"/>
              </w:rPr>
            </w:pPr>
            <w:r>
              <w:rPr>
                <w:rFonts w:hint="eastAsia"/>
                <w:sz w:val="21"/>
                <w:szCs w:val="21"/>
              </w:rPr>
              <w:t>8、配置清单：高效液相色谱四元泵一套、在线脱气机一套、自动进样器一套、柱温箱一套、二极管阵列检测器一套、蒸发光检测器一套、色谱柱三根、进样小瓶300个、流动相瓶子5个、空气压缩机一套、数据处理系统及软件。</w:t>
            </w:r>
          </w:p>
          <w:p w14:paraId="0EF388C5">
            <w:pPr>
              <w:spacing w:line="240" w:lineRule="auto"/>
              <w:rPr>
                <w:rFonts w:hint="eastAsia"/>
                <w:sz w:val="21"/>
                <w:szCs w:val="21"/>
              </w:rPr>
            </w:pPr>
            <w:r>
              <w:rPr>
                <w:rFonts w:hint="eastAsia"/>
                <w:sz w:val="21"/>
                <w:szCs w:val="21"/>
              </w:rPr>
              <w:t>9、售后服务承诺</w:t>
            </w:r>
          </w:p>
          <w:p w14:paraId="20C1F37A">
            <w:pPr>
              <w:spacing w:line="240" w:lineRule="auto"/>
              <w:rPr>
                <w:rFonts w:hint="eastAsia"/>
                <w:sz w:val="21"/>
                <w:szCs w:val="21"/>
              </w:rPr>
            </w:pPr>
            <w:r>
              <w:rPr>
                <w:rFonts w:hint="eastAsia"/>
                <w:sz w:val="21"/>
                <w:szCs w:val="21"/>
              </w:rPr>
              <w:t>9.1、设备安装、调试和验收：具有良好的技术支持和维修支持，仪器现场安装调试时，指定工程师协助用户完成项目相关条件摸索。设备安装调试在接到用户通知后一周内完成。</w:t>
            </w:r>
          </w:p>
          <w:p w14:paraId="0D747BAA">
            <w:pPr>
              <w:spacing w:line="240" w:lineRule="auto"/>
              <w:rPr>
                <w:rFonts w:hint="eastAsia"/>
                <w:sz w:val="21"/>
                <w:szCs w:val="21"/>
              </w:rPr>
            </w:pPr>
            <w:r>
              <w:rPr>
                <w:rFonts w:hint="eastAsia"/>
                <w:sz w:val="21"/>
                <w:szCs w:val="21"/>
              </w:rPr>
              <w:t>9.2、技术培训：仪器验收合格后，供货方将在用户实验室对用户进行仪器操作和日常维护的现场培训，10人次。</w:t>
            </w:r>
          </w:p>
          <w:p w14:paraId="581FD563">
            <w:pPr>
              <w:spacing w:line="240" w:lineRule="auto"/>
              <w:rPr>
                <w:rFonts w:hint="eastAsia" w:ascii="宋体" w:hAnsi="宋体" w:cs="宋体"/>
                <w:sz w:val="21"/>
                <w:szCs w:val="21"/>
                <w:highlight w:val="none"/>
              </w:rPr>
            </w:pPr>
            <w:r>
              <w:rPr>
                <w:rFonts w:hint="eastAsia"/>
                <w:sz w:val="21"/>
                <w:szCs w:val="21"/>
              </w:rPr>
              <w:t>9.3、保修期：整机保修期3年，自设备验收合格之日起计算。保修期内提供全免费保修（人为损坏除外），终身提供免费的技术支持。</w:t>
            </w:r>
          </w:p>
        </w:tc>
        <w:tc>
          <w:tcPr>
            <w:tcW w:w="675" w:type="dxa"/>
            <w:tcBorders>
              <w:top w:val="single" w:color="auto" w:sz="4" w:space="0"/>
              <w:left w:val="nil"/>
              <w:bottom w:val="single" w:color="auto" w:sz="4" w:space="0"/>
              <w:right w:val="single" w:color="auto" w:sz="4" w:space="0"/>
            </w:tcBorders>
            <w:noWrap w:val="0"/>
            <w:vAlign w:val="center"/>
          </w:tcPr>
          <w:p w14:paraId="44E409F7">
            <w:pPr>
              <w:adjustRightInd w:val="0"/>
              <w:snapToGrid w:val="0"/>
              <w:spacing w:line="240" w:lineRule="auto"/>
              <w:jc w:val="center"/>
              <w:rPr>
                <w:rFonts w:hint="eastAsia" w:ascii="宋体" w:hAnsi="宋体" w:cs="宋体"/>
                <w:sz w:val="21"/>
                <w:szCs w:val="21"/>
                <w:highlight w:val="none"/>
              </w:rPr>
            </w:pPr>
            <w:r>
              <w:rPr>
                <w:rFonts w:hint="eastAsia" w:ascii="宋体" w:hAnsi="宋体" w:eastAsia="宋体" w:cs="宋体"/>
                <w:sz w:val="21"/>
                <w:szCs w:val="21"/>
                <w:vertAlign w:val="baseline"/>
              </w:rPr>
              <w:t>3台</w:t>
            </w:r>
          </w:p>
        </w:tc>
        <w:tc>
          <w:tcPr>
            <w:tcW w:w="977" w:type="dxa"/>
            <w:tcBorders>
              <w:top w:val="single" w:color="auto" w:sz="4" w:space="0"/>
              <w:left w:val="nil"/>
              <w:bottom w:val="single" w:color="auto" w:sz="4" w:space="0"/>
              <w:right w:val="single" w:color="auto" w:sz="4" w:space="0"/>
            </w:tcBorders>
            <w:noWrap w:val="0"/>
            <w:vAlign w:val="center"/>
          </w:tcPr>
          <w:p w14:paraId="241D9BA6">
            <w:pPr>
              <w:spacing w:line="240" w:lineRule="auto"/>
              <w:ind w:right="-107" w:rightChars="-51"/>
              <w:jc w:val="center"/>
              <w:rPr>
                <w:rFonts w:hint="eastAsia" w:ascii="宋体" w:hAnsi="宋体" w:cs="宋体"/>
                <w:bCs/>
                <w:kern w:val="0"/>
                <w:sz w:val="21"/>
                <w:szCs w:val="21"/>
                <w:highlight w:val="none"/>
              </w:rPr>
            </w:pPr>
            <w:r>
              <w:rPr>
                <w:rFonts w:hint="eastAsia" w:ascii="宋体" w:hAnsi="宋体" w:eastAsia="宋体" w:cs="宋体"/>
                <w:sz w:val="21"/>
                <w:szCs w:val="21"/>
                <w:vertAlign w:val="baseline"/>
              </w:rPr>
              <w:t>沃特世科技（上海）有限公司</w:t>
            </w:r>
          </w:p>
        </w:tc>
        <w:tc>
          <w:tcPr>
            <w:tcW w:w="775" w:type="dxa"/>
            <w:tcBorders>
              <w:top w:val="single" w:color="auto" w:sz="4" w:space="0"/>
              <w:left w:val="nil"/>
              <w:bottom w:val="single" w:color="auto" w:sz="4" w:space="0"/>
              <w:right w:val="single" w:color="auto" w:sz="4" w:space="0"/>
            </w:tcBorders>
            <w:noWrap w:val="0"/>
            <w:vAlign w:val="center"/>
          </w:tcPr>
          <w:p w14:paraId="1317D0E2">
            <w:pPr>
              <w:spacing w:line="240" w:lineRule="auto"/>
              <w:jc w:val="center"/>
              <w:rPr>
                <w:rFonts w:hint="eastAsia" w:ascii="宋体" w:hAnsi="宋体" w:cs="宋体"/>
                <w:sz w:val="21"/>
                <w:szCs w:val="21"/>
                <w:highlight w:val="none"/>
              </w:rPr>
            </w:pPr>
            <w:r>
              <w:rPr>
                <w:rFonts w:hint="eastAsia" w:ascii="宋体" w:hAnsi="宋体" w:eastAsia="宋体" w:cs="宋体"/>
                <w:sz w:val="21"/>
                <w:szCs w:val="21"/>
                <w:vertAlign w:val="baseline"/>
              </w:rPr>
              <w:t>上海</w:t>
            </w:r>
          </w:p>
        </w:tc>
        <w:tc>
          <w:tcPr>
            <w:tcW w:w="1072" w:type="dxa"/>
            <w:tcBorders>
              <w:top w:val="single" w:color="auto" w:sz="4" w:space="0"/>
              <w:left w:val="nil"/>
              <w:bottom w:val="single" w:color="auto" w:sz="4" w:space="0"/>
              <w:right w:val="single" w:color="auto" w:sz="4" w:space="0"/>
            </w:tcBorders>
            <w:noWrap w:val="0"/>
            <w:vAlign w:val="center"/>
          </w:tcPr>
          <w:p w14:paraId="0E6BC53A">
            <w:pPr>
              <w:spacing w:line="240" w:lineRule="auto"/>
              <w:jc w:val="center"/>
              <w:rPr>
                <w:rFonts w:hint="eastAsia" w:ascii="宋体" w:hAnsi="宋体" w:cs="宋体"/>
                <w:sz w:val="21"/>
                <w:szCs w:val="21"/>
                <w:highlight w:val="none"/>
              </w:rPr>
            </w:pPr>
          </w:p>
        </w:tc>
      </w:tr>
    </w:tbl>
    <w:p w14:paraId="4BA28372">
      <w:pPr>
        <w:rPr>
          <w:rFonts w:hint="eastAsia" w:ascii="宋体" w:hAnsi="宋体" w:cs="宋体"/>
          <w:szCs w:val="21"/>
          <w:highlight w:val="none"/>
        </w:rPr>
      </w:pPr>
    </w:p>
    <w:p w14:paraId="58AF9220">
      <w:pPr>
        <w:rPr>
          <w:rFonts w:hint="eastAsia" w:ascii="宋体" w:hAnsi="宋体" w:cs="宋体"/>
          <w:szCs w:val="21"/>
          <w:highlight w:val="none"/>
        </w:rPr>
      </w:pPr>
    </w:p>
    <w:p w14:paraId="30721B46">
      <w:pPr>
        <w:rPr>
          <w:rFonts w:hint="eastAsia" w:ascii="宋体" w:hAnsi="宋体" w:cs="宋体"/>
          <w:b/>
          <w:szCs w:val="21"/>
          <w:highlight w:val="none"/>
        </w:rPr>
      </w:pPr>
      <w:r>
        <w:rPr>
          <w:rFonts w:hint="eastAsia" w:ascii="宋体" w:hAnsi="宋体" w:cs="宋体"/>
          <w:b/>
          <w:szCs w:val="21"/>
          <w:highlight w:val="none"/>
        </w:rPr>
        <w:t>甲方货物负责人签字：</w:t>
      </w:r>
    </w:p>
    <w:p w14:paraId="60C685BD">
      <w:pPr>
        <w:rPr>
          <w:rFonts w:hint="eastAsia" w:ascii="宋体" w:hAnsi="宋体" w:cs="宋体"/>
          <w:b/>
          <w:szCs w:val="21"/>
          <w:highlight w:val="none"/>
        </w:rPr>
      </w:pPr>
    </w:p>
    <w:p w14:paraId="31DFA48E">
      <w:pPr>
        <w:pStyle w:val="11"/>
        <w:rPr>
          <w:rFonts w:hint="eastAsia"/>
        </w:rPr>
      </w:pPr>
    </w:p>
    <w:p w14:paraId="43F41EA9">
      <w:pPr>
        <w:widowControl/>
        <w:jc w:val="left"/>
        <w:rPr>
          <w:rFonts w:hint="eastAsia" w:ascii="宋体" w:hAnsi="宋体" w:cs="宋体"/>
          <w:b/>
          <w:szCs w:val="21"/>
          <w:highlight w:val="none"/>
        </w:rPr>
        <w:sectPr>
          <w:pgSz w:w="16838" w:h="11906" w:orient="landscape"/>
          <w:pgMar w:top="1134" w:right="1077" w:bottom="1134" w:left="794" w:header="851" w:footer="992" w:gutter="0"/>
          <w:pgNumType w:fmt="decimal"/>
          <w:cols w:space="720" w:num="1"/>
          <w:docGrid w:type="lines" w:linePitch="312" w:charSpace="0"/>
        </w:sectPr>
      </w:pPr>
    </w:p>
    <w:p w14:paraId="6D2A5338">
      <w:pPr>
        <w:spacing w:line="360" w:lineRule="auto"/>
        <w:rPr>
          <w:rFonts w:ascii="宋体" w:hAnsi="宋体"/>
          <w:b/>
          <w:sz w:val="24"/>
          <w:szCs w:val="24"/>
          <w:highlight w:val="none"/>
        </w:rPr>
      </w:pPr>
      <w:r>
        <w:rPr>
          <w:rFonts w:hint="eastAsia" w:ascii="宋体" w:hAnsi="宋体"/>
          <w:b/>
          <w:sz w:val="24"/>
          <w:szCs w:val="24"/>
          <w:highlight w:val="none"/>
        </w:rPr>
        <w:t>附件5：</w:t>
      </w:r>
    </w:p>
    <w:p w14:paraId="2FAC9A0B">
      <w:pPr>
        <w:spacing w:line="360" w:lineRule="auto"/>
        <w:jc w:val="center"/>
        <w:rPr>
          <w:rFonts w:ascii="宋体" w:hAnsi="宋体"/>
          <w:b/>
          <w:sz w:val="32"/>
          <w:szCs w:val="32"/>
          <w:highlight w:val="none"/>
        </w:rPr>
      </w:pPr>
      <w:r>
        <w:rPr>
          <w:rFonts w:hint="eastAsia" w:ascii="宋体" w:hAnsi="宋体"/>
          <w:b/>
          <w:sz w:val="32"/>
          <w:szCs w:val="32"/>
          <w:highlight w:val="none"/>
        </w:rPr>
        <w:t>供货商：河南赫航工程技术有限公司质量保障及服务表</w:t>
      </w:r>
    </w:p>
    <w:p w14:paraId="2F23CEA3">
      <w:pPr>
        <w:spacing w:line="360" w:lineRule="auto"/>
        <w:rPr>
          <w:rFonts w:ascii="宋体" w:hAnsi="宋体"/>
          <w:b/>
          <w:szCs w:val="21"/>
          <w:highlight w:val="none"/>
        </w:rPr>
      </w:pPr>
      <w:r>
        <w:rPr>
          <w:rFonts w:hint="eastAsia" w:ascii="宋体" w:hAnsi="宋体"/>
          <w:b/>
          <w:szCs w:val="21"/>
          <w:highlight w:val="none"/>
        </w:rPr>
        <w:t>致：河南中医药大学：</w:t>
      </w:r>
    </w:p>
    <w:p w14:paraId="10D44706">
      <w:pPr>
        <w:spacing w:line="360" w:lineRule="auto"/>
        <w:rPr>
          <w:rFonts w:ascii="宋体" w:hAnsi="宋体"/>
          <w:b/>
          <w:szCs w:val="21"/>
          <w:highlight w:val="none"/>
        </w:rPr>
      </w:pPr>
      <w:r>
        <w:rPr>
          <w:rFonts w:hint="eastAsia" w:ascii="宋体" w:hAnsi="宋体"/>
          <w:b/>
          <w:szCs w:val="21"/>
          <w:highlight w:val="none"/>
        </w:rPr>
        <w:t>根据贵方招标编号为豫财招标采购-2024-1538的货物（具体货物见附件3），我公司对该项目售后产品做出如下质保及售后服务承诺：</w:t>
      </w:r>
    </w:p>
    <w:tbl>
      <w:tblPr>
        <w:tblStyle w:val="14"/>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357C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4118F81">
            <w:pPr>
              <w:jc w:val="center"/>
              <w:rPr>
                <w:rFonts w:ascii="宋体" w:hAnsi="宋体"/>
                <w:b/>
                <w:szCs w:val="21"/>
                <w:highlight w:val="none"/>
              </w:rPr>
            </w:pPr>
            <w:r>
              <w:rPr>
                <w:rFonts w:hint="eastAsia" w:ascii="宋体" w:hAnsi="宋体"/>
                <w:b/>
                <w:szCs w:val="21"/>
                <w:highlight w:val="none"/>
              </w:rPr>
              <w:t>序号</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8D27A40">
            <w:pPr>
              <w:jc w:val="center"/>
              <w:rPr>
                <w:rFonts w:ascii="宋体" w:hAnsi="宋体"/>
                <w:b/>
                <w:szCs w:val="21"/>
                <w:highlight w:val="none"/>
              </w:rPr>
            </w:pPr>
            <w:r>
              <w:rPr>
                <w:rFonts w:hint="eastAsia" w:ascii="宋体" w:hAnsi="宋体"/>
                <w:b/>
                <w:szCs w:val="21"/>
                <w:highlight w:val="none"/>
              </w:rPr>
              <w:t>质量保障措施及服务内容</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32E43D3">
            <w:pPr>
              <w:jc w:val="center"/>
              <w:rPr>
                <w:rFonts w:ascii="宋体" w:hAnsi="宋体"/>
                <w:b/>
                <w:szCs w:val="21"/>
                <w:highlight w:val="none"/>
              </w:rPr>
            </w:pPr>
            <w:r>
              <w:rPr>
                <w:rFonts w:hint="eastAsia" w:ascii="宋体" w:hAnsi="宋体"/>
                <w:b/>
                <w:szCs w:val="21"/>
                <w:highlight w:val="none"/>
              </w:rPr>
              <w:t>承诺</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2CE5A1C">
            <w:pPr>
              <w:jc w:val="center"/>
              <w:rPr>
                <w:rFonts w:ascii="宋体" w:hAnsi="宋体"/>
                <w:b/>
                <w:szCs w:val="21"/>
                <w:highlight w:val="none"/>
              </w:rPr>
            </w:pPr>
            <w:r>
              <w:rPr>
                <w:rFonts w:hint="eastAsia" w:ascii="宋体" w:hAnsi="宋体"/>
                <w:b/>
                <w:szCs w:val="21"/>
                <w:highlight w:val="none"/>
              </w:rPr>
              <w:t>备注</w:t>
            </w:r>
          </w:p>
        </w:tc>
      </w:tr>
      <w:tr w14:paraId="245D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054DE85">
            <w:pPr>
              <w:rPr>
                <w:rFonts w:ascii="宋体" w:hAnsi="宋体"/>
                <w:szCs w:val="21"/>
                <w:highlight w:val="none"/>
              </w:rPr>
            </w:pPr>
            <w:r>
              <w:rPr>
                <w:rFonts w:hint="eastAsia"/>
                <w:szCs w:val="21"/>
                <w:highlight w:val="none"/>
              </w:rPr>
              <w:t>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E080959">
            <w:pPr>
              <w:rPr>
                <w:rFonts w:ascii="宋体" w:hAnsi="宋体"/>
                <w:szCs w:val="21"/>
                <w:highlight w:val="none"/>
              </w:rPr>
            </w:pPr>
            <w:r>
              <w:rPr>
                <w:rFonts w:hint="eastAsia" w:ascii="宋体" w:hAnsi="宋体"/>
                <w:szCs w:val="21"/>
                <w:highlight w:val="none"/>
              </w:rPr>
              <w:t>整机保修</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159A6C4">
            <w:pPr>
              <w:rPr>
                <w:rFonts w:ascii="宋体" w:hAnsi="宋体"/>
                <w:szCs w:val="21"/>
                <w:highlight w:val="none"/>
              </w:rPr>
            </w:pPr>
            <w:r>
              <w:rPr>
                <w:rFonts w:hint="eastAsia" w:ascii="宋体" w:hAnsi="宋体"/>
                <w:szCs w:val="21"/>
                <w:highlight w:val="none"/>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83EA181">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w:t>
            </w:r>
          </w:p>
        </w:tc>
      </w:tr>
      <w:tr w14:paraId="7D03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5979AB5">
            <w:pPr>
              <w:rPr>
                <w:rFonts w:ascii="宋体" w:hAnsi="宋体"/>
                <w:szCs w:val="21"/>
                <w:highlight w:val="none"/>
              </w:rPr>
            </w:pPr>
            <w:r>
              <w:rPr>
                <w:rFonts w:hint="eastAsia"/>
                <w:szCs w:val="21"/>
                <w:highlight w:val="none"/>
              </w:rPr>
              <w:t>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5817D56">
            <w:pPr>
              <w:rPr>
                <w:rFonts w:ascii="宋体" w:hAnsi="宋体"/>
                <w:szCs w:val="21"/>
                <w:highlight w:val="none"/>
              </w:rPr>
            </w:pPr>
            <w:r>
              <w:rPr>
                <w:rFonts w:hint="eastAsia" w:ascii="宋体" w:hAnsi="宋体"/>
                <w:szCs w:val="21"/>
                <w:highlight w:val="none"/>
              </w:rPr>
              <w:t>随机标准配件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E66CB81">
            <w:pPr>
              <w:rPr>
                <w:szCs w:val="21"/>
                <w:highlight w:val="none"/>
              </w:rPr>
            </w:pPr>
            <w:r>
              <w:rPr>
                <w:rFonts w:hint="eastAsia" w:ascii="宋体" w:hAnsi="宋体"/>
                <w:szCs w:val="21"/>
                <w:highlight w:val="none"/>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2FC6C8B">
            <w:pPr>
              <w:jc w:val="center"/>
              <w:rPr>
                <w:rFonts w:ascii="宋体" w:hAnsi="宋体"/>
                <w:szCs w:val="21"/>
                <w:highlight w:val="none"/>
              </w:rPr>
            </w:pPr>
            <w:r>
              <w:rPr>
                <w:rFonts w:hint="eastAsia" w:ascii="宋体" w:hAnsi="宋体"/>
                <w:szCs w:val="21"/>
                <w:highlight w:val="none"/>
                <w:lang w:val="en-US" w:eastAsia="zh-CN"/>
              </w:rPr>
              <w:t>/</w:t>
            </w:r>
          </w:p>
        </w:tc>
      </w:tr>
      <w:tr w14:paraId="5C19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B12AAF8">
            <w:pPr>
              <w:rPr>
                <w:rFonts w:ascii="宋体" w:hAnsi="宋体"/>
                <w:szCs w:val="21"/>
                <w:highlight w:val="none"/>
              </w:rPr>
            </w:pPr>
            <w:r>
              <w:rPr>
                <w:rFonts w:hint="eastAsia"/>
                <w:szCs w:val="21"/>
                <w:highlight w:val="none"/>
              </w:rPr>
              <w:t>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DAB2039">
            <w:pPr>
              <w:rPr>
                <w:rFonts w:ascii="宋体" w:hAnsi="宋体"/>
                <w:szCs w:val="21"/>
                <w:highlight w:val="none"/>
              </w:rPr>
            </w:pPr>
            <w:r>
              <w:rPr>
                <w:rFonts w:hint="eastAsia" w:ascii="宋体" w:hAnsi="宋体"/>
                <w:szCs w:val="21"/>
                <w:highlight w:val="none"/>
              </w:rPr>
              <w:t>加购选配件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F399FF6">
            <w:pPr>
              <w:rPr>
                <w:szCs w:val="21"/>
                <w:highlight w:val="none"/>
              </w:rPr>
            </w:pPr>
            <w:r>
              <w:rPr>
                <w:rFonts w:hint="eastAsia" w:ascii="宋体" w:hAnsi="宋体"/>
                <w:szCs w:val="21"/>
                <w:highlight w:val="none"/>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A09B617">
            <w:pPr>
              <w:jc w:val="center"/>
              <w:rPr>
                <w:rFonts w:ascii="宋体" w:hAnsi="宋体"/>
                <w:szCs w:val="21"/>
                <w:highlight w:val="none"/>
              </w:rPr>
            </w:pPr>
            <w:r>
              <w:rPr>
                <w:rFonts w:hint="eastAsia" w:ascii="宋体" w:hAnsi="宋体"/>
                <w:szCs w:val="21"/>
                <w:highlight w:val="none"/>
                <w:lang w:val="en-US" w:eastAsia="zh-CN"/>
              </w:rPr>
              <w:t>/</w:t>
            </w:r>
          </w:p>
        </w:tc>
      </w:tr>
      <w:tr w14:paraId="3CD2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37F1043">
            <w:pPr>
              <w:rPr>
                <w:rFonts w:ascii="宋体" w:hAnsi="宋体"/>
                <w:szCs w:val="21"/>
                <w:highlight w:val="none"/>
              </w:rPr>
            </w:pPr>
            <w:r>
              <w:rPr>
                <w:rFonts w:hint="eastAsia"/>
                <w:szCs w:val="21"/>
                <w:highlight w:val="none"/>
              </w:rPr>
              <w:t>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BA1BBF8">
            <w:pPr>
              <w:rPr>
                <w:rFonts w:ascii="宋体" w:hAnsi="宋体"/>
                <w:szCs w:val="21"/>
                <w:highlight w:val="none"/>
              </w:rPr>
            </w:pPr>
            <w:r>
              <w:rPr>
                <w:rFonts w:hint="eastAsia" w:ascii="宋体" w:hAnsi="宋体"/>
                <w:szCs w:val="21"/>
                <w:highlight w:val="none"/>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0594FB8">
            <w:pPr>
              <w:rPr>
                <w:rFonts w:ascii="宋体" w:hAnsi="宋体"/>
                <w:szCs w:val="21"/>
                <w:highlight w:val="none"/>
              </w:rPr>
            </w:pPr>
            <w:r>
              <w:rPr>
                <w:rFonts w:hint="eastAsia" w:ascii="宋体" w:hAnsi="宋体"/>
                <w:szCs w:val="21"/>
                <w:highlight w:val="none"/>
              </w:rPr>
              <w:t>随机配置见随机装箱清单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991109D">
            <w:pPr>
              <w:jc w:val="center"/>
              <w:rPr>
                <w:rFonts w:ascii="宋体" w:hAnsi="宋体"/>
                <w:szCs w:val="21"/>
                <w:highlight w:val="none"/>
              </w:rPr>
            </w:pPr>
            <w:r>
              <w:rPr>
                <w:rFonts w:hint="eastAsia" w:ascii="宋体" w:hAnsi="宋体"/>
                <w:szCs w:val="21"/>
                <w:highlight w:val="none"/>
                <w:lang w:val="en-US" w:eastAsia="zh-CN"/>
              </w:rPr>
              <w:t>/</w:t>
            </w:r>
          </w:p>
        </w:tc>
      </w:tr>
      <w:tr w14:paraId="360B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E284DE3">
            <w:pPr>
              <w:rPr>
                <w:rFonts w:ascii="宋体" w:hAnsi="宋体"/>
                <w:szCs w:val="21"/>
                <w:highlight w:val="none"/>
              </w:rPr>
            </w:pPr>
            <w:r>
              <w:rPr>
                <w:rFonts w:hint="eastAsia"/>
                <w:szCs w:val="21"/>
                <w:highlight w:val="none"/>
              </w:rPr>
              <w:t>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7B26EA6">
            <w:pPr>
              <w:rPr>
                <w:rFonts w:ascii="宋体" w:hAnsi="宋体"/>
                <w:szCs w:val="21"/>
                <w:highlight w:val="none"/>
              </w:rPr>
            </w:pPr>
            <w:r>
              <w:rPr>
                <w:rFonts w:hint="eastAsia" w:ascii="宋体" w:hAnsi="宋体"/>
                <w:szCs w:val="21"/>
                <w:highlight w:val="none"/>
              </w:rPr>
              <w:t>运输方式</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E43211F">
            <w:pPr>
              <w:rPr>
                <w:rFonts w:ascii="宋体" w:hAnsi="宋体"/>
                <w:szCs w:val="21"/>
                <w:highlight w:val="none"/>
              </w:rPr>
            </w:pPr>
            <w:r>
              <w:rPr>
                <w:rFonts w:hint="eastAsia" w:ascii="宋体" w:hAnsi="宋体"/>
                <w:szCs w:val="21"/>
                <w:highlight w:val="none"/>
              </w:rPr>
              <w:t>免费送货上门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E399667">
            <w:pPr>
              <w:jc w:val="center"/>
              <w:rPr>
                <w:rFonts w:ascii="宋体" w:hAnsi="宋体"/>
                <w:szCs w:val="21"/>
                <w:highlight w:val="none"/>
              </w:rPr>
            </w:pPr>
            <w:r>
              <w:rPr>
                <w:rFonts w:hint="eastAsia" w:ascii="宋体" w:hAnsi="宋体"/>
                <w:szCs w:val="21"/>
                <w:highlight w:val="none"/>
                <w:lang w:val="en-US" w:eastAsia="zh-CN"/>
              </w:rPr>
              <w:t>/</w:t>
            </w:r>
          </w:p>
        </w:tc>
      </w:tr>
      <w:tr w14:paraId="7629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15B037F">
            <w:pPr>
              <w:rPr>
                <w:rFonts w:ascii="宋体" w:hAnsi="宋体"/>
                <w:szCs w:val="21"/>
                <w:highlight w:val="none"/>
              </w:rPr>
            </w:pPr>
            <w:r>
              <w:rPr>
                <w:rFonts w:hint="eastAsia"/>
                <w:szCs w:val="21"/>
                <w:highlight w:val="none"/>
              </w:rPr>
              <w:t>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280F941">
            <w:pPr>
              <w:rPr>
                <w:rFonts w:ascii="宋体" w:hAnsi="宋体"/>
                <w:szCs w:val="21"/>
                <w:highlight w:val="none"/>
              </w:rPr>
            </w:pPr>
            <w:r>
              <w:rPr>
                <w:rFonts w:hint="eastAsia" w:ascii="宋体" w:hAnsi="宋体"/>
                <w:szCs w:val="21"/>
                <w:highlight w:val="none"/>
              </w:rPr>
              <w:t>交货时间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2127414">
            <w:pPr>
              <w:rPr>
                <w:rFonts w:ascii="宋体" w:hAnsi="宋体"/>
                <w:szCs w:val="21"/>
                <w:highlight w:val="none"/>
              </w:rPr>
            </w:pPr>
            <w:r>
              <w:rPr>
                <w:rFonts w:hint="eastAsia"/>
                <w:szCs w:val="21"/>
                <w:highlight w:val="none"/>
                <w:lang w:val="en-US" w:eastAsia="zh-CN"/>
              </w:rPr>
              <w:t xml:space="preserve">     </w:t>
            </w:r>
            <w:r>
              <w:rPr>
                <w:rFonts w:hint="eastAsia" w:ascii="宋体" w:hAnsi="宋体"/>
                <w:szCs w:val="21"/>
                <w:highlight w:val="none"/>
              </w:rPr>
              <w:t>年</w:t>
            </w:r>
            <w:r>
              <w:rPr>
                <w:rFonts w:hint="eastAsia"/>
                <w:szCs w:val="21"/>
                <w:highlight w:val="none"/>
                <w:lang w:val="en-US" w:eastAsia="zh-CN"/>
              </w:rPr>
              <w:t xml:space="preserve">     </w:t>
            </w:r>
            <w:r>
              <w:rPr>
                <w:rFonts w:hint="eastAsia" w:ascii="宋体" w:hAnsi="宋体"/>
                <w:szCs w:val="21"/>
                <w:highlight w:val="none"/>
              </w:rPr>
              <w:t>月</w:t>
            </w:r>
            <w:r>
              <w:rPr>
                <w:rFonts w:hint="eastAsia"/>
                <w:szCs w:val="21"/>
                <w:highlight w:val="none"/>
                <w:lang w:val="en-US" w:eastAsia="zh-CN"/>
              </w:rPr>
              <w:t xml:space="preserve">     </w:t>
            </w:r>
            <w:r>
              <w:rPr>
                <w:rFonts w:hint="eastAsia" w:ascii="宋体" w:hAnsi="宋体"/>
                <w:szCs w:val="21"/>
                <w:highlight w:val="none"/>
              </w:rPr>
              <w:t>日前交货完毕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A485FD4">
            <w:pPr>
              <w:jc w:val="center"/>
              <w:rPr>
                <w:rFonts w:ascii="宋体" w:hAnsi="宋体"/>
                <w:szCs w:val="21"/>
                <w:highlight w:val="none"/>
              </w:rPr>
            </w:pPr>
            <w:r>
              <w:rPr>
                <w:rFonts w:hint="eastAsia" w:ascii="宋体" w:hAnsi="宋体"/>
                <w:szCs w:val="21"/>
                <w:highlight w:val="none"/>
                <w:lang w:val="en-US" w:eastAsia="zh-CN"/>
              </w:rPr>
              <w:t>/</w:t>
            </w:r>
          </w:p>
        </w:tc>
      </w:tr>
      <w:tr w14:paraId="7B04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09AC2D3">
            <w:pPr>
              <w:rPr>
                <w:rFonts w:ascii="宋体" w:hAnsi="宋体"/>
                <w:szCs w:val="21"/>
                <w:highlight w:val="none"/>
              </w:rPr>
            </w:pPr>
            <w:r>
              <w:rPr>
                <w:rFonts w:hint="eastAsia"/>
                <w:szCs w:val="21"/>
                <w:highlight w:val="none"/>
              </w:rPr>
              <w:t>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52F202F">
            <w:pPr>
              <w:rPr>
                <w:rFonts w:ascii="宋体" w:hAnsi="宋体"/>
                <w:szCs w:val="21"/>
                <w:highlight w:val="none"/>
              </w:rPr>
            </w:pPr>
            <w:r>
              <w:rPr>
                <w:rFonts w:hint="eastAsia" w:ascii="宋体" w:hAnsi="宋体"/>
                <w:szCs w:val="21"/>
                <w:highlight w:val="none"/>
              </w:rPr>
              <w:t xml:space="preserve">安装、调试服务 </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6E704A4">
            <w:pPr>
              <w:rPr>
                <w:rFonts w:ascii="宋体" w:hAnsi="宋体"/>
                <w:szCs w:val="21"/>
                <w:highlight w:val="none"/>
              </w:rPr>
            </w:pPr>
            <w:r>
              <w:rPr>
                <w:rFonts w:hint="eastAsia" w:ascii="宋体" w:hAnsi="宋体"/>
                <w:szCs w:val="21"/>
                <w:highlight w:val="none"/>
              </w:rPr>
              <w:t>免费安装调试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1CFB91A">
            <w:pPr>
              <w:jc w:val="center"/>
              <w:rPr>
                <w:rFonts w:ascii="宋体" w:hAnsi="宋体"/>
                <w:szCs w:val="21"/>
                <w:highlight w:val="none"/>
              </w:rPr>
            </w:pPr>
            <w:r>
              <w:rPr>
                <w:rFonts w:hint="eastAsia" w:ascii="宋体" w:hAnsi="宋体"/>
                <w:szCs w:val="21"/>
                <w:highlight w:val="none"/>
                <w:lang w:val="en-US" w:eastAsia="zh-CN"/>
              </w:rPr>
              <w:t>/</w:t>
            </w:r>
          </w:p>
        </w:tc>
      </w:tr>
      <w:tr w14:paraId="05EC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3FD4960">
            <w:pPr>
              <w:rPr>
                <w:rFonts w:ascii="宋体" w:hAnsi="宋体"/>
                <w:szCs w:val="21"/>
                <w:highlight w:val="none"/>
              </w:rPr>
            </w:pPr>
            <w:r>
              <w:rPr>
                <w:rFonts w:hint="eastAsia"/>
                <w:szCs w:val="21"/>
                <w:highlight w:val="none"/>
              </w:rPr>
              <w:t>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A7034D6">
            <w:pPr>
              <w:rPr>
                <w:rFonts w:ascii="宋体" w:hAnsi="宋体"/>
                <w:szCs w:val="21"/>
                <w:highlight w:val="none"/>
              </w:rPr>
            </w:pPr>
            <w:r>
              <w:rPr>
                <w:rFonts w:hint="eastAsia" w:ascii="宋体" w:hAnsi="宋体"/>
                <w:szCs w:val="21"/>
                <w:highlight w:val="none"/>
              </w:rPr>
              <w:t>整机免费换货期限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4936371">
            <w:pPr>
              <w:rPr>
                <w:rFonts w:ascii="宋体" w:hAnsi="宋体"/>
                <w:szCs w:val="21"/>
                <w:highlight w:val="none"/>
              </w:rPr>
            </w:pPr>
            <w:r>
              <w:rPr>
                <w:rFonts w:hint="eastAsia"/>
                <w:szCs w:val="21"/>
                <w:highlight w:val="none"/>
              </w:rPr>
              <w:t>12</w:t>
            </w:r>
            <w:r>
              <w:rPr>
                <w:rFonts w:hint="eastAsia" w:ascii="宋体" w:hAnsi="宋体"/>
                <w:szCs w:val="21"/>
                <w:highlight w:val="none"/>
              </w:rPr>
              <w:t>个月</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91E2BE7">
            <w:pPr>
              <w:jc w:val="center"/>
              <w:rPr>
                <w:rFonts w:ascii="宋体" w:hAnsi="宋体"/>
                <w:szCs w:val="21"/>
                <w:highlight w:val="none"/>
              </w:rPr>
            </w:pPr>
            <w:r>
              <w:rPr>
                <w:rFonts w:hint="eastAsia" w:ascii="宋体" w:hAnsi="宋体"/>
                <w:szCs w:val="21"/>
                <w:highlight w:val="none"/>
                <w:lang w:val="en-US" w:eastAsia="zh-CN"/>
              </w:rPr>
              <w:t>/</w:t>
            </w:r>
          </w:p>
        </w:tc>
      </w:tr>
      <w:tr w14:paraId="2FB6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87A5229">
            <w:pPr>
              <w:rPr>
                <w:rFonts w:ascii="宋体" w:hAnsi="宋体"/>
                <w:szCs w:val="21"/>
                <w:highlight w:val="none"/>
              </w:rPr>
            </w:pPr>
            <w:r>
              <w:rPr>
                <w:rFonts w:hint="eastAsia"/>
                <w:szCs w:val="21"/>
                <w:highlight w:val="none"/>
              </w:rPr>
              <w:t>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D7AC9F2">
            <w:pPr>
              <w:rPr>
                <w:rFonts w:ascii="宋体" w:hAnsi="宋体"/>
                <w:szCs w:val="21"/>
                <w:highlight w:val="none"/>
              </w:rPr>
            </w:pPr>
            <w:r>
              <w:rPr>
                <w:rFonts w:hint="eastAsia" w:ascii="宋体" w:hAnsi="宋体"/>
                <w:szCs w:val="21"/>
                <w:highlight w:val="none"/>
              </w:rPr>
              <w:t>免费上门服务期</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AAFAEE8">
            <w:pPr>
              <w:rPr>
                <w:rFonts w:ascii="宋体" w:hAnsi="宋体"/>
                <w:szCs w:val="21"/>
                <w:highlight w:val="none"/>
              </w:rPr>
            </w:pPr>
            <w:r>
              <w:rPr>
                <w:rFonts w:hint="eastAsia" w:ascii="宋体" w:hAnsi="宋体"/>
                <w:szCs w:val="21"/>
                <w:highlight w:val="none"/>
              </w:rPr>
              <w:t>终身。提供随叫随到上门服务，全天候</w:t>
            </w:r>
            <w:r>
              <w:rPr>
                <w:rFonts w:hint="eastAsia"/>
                <w:szCs w:val="21"/>
                <w:highlight w:val="none"/>
              </w:rPr>
              <w:t>24</w:t>
            </w:r>
            <w:r>
              <w:rPr>
                <w:rFonts w:hint="eastAsia" w:ascii="宋体" w:hAnsi="宋体"/>
                <w:szCs w:val="21"/>
                <w:highlight w:val="none"/>
              </w:rPr>
              <w:t>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6F474CA">
            <w:pPr>
              <w:jc w:val="center"/>
              <w:rPr>
                <w:rFonts w:ascii="宋体" w:hAnsi="宋体"/>
                <w:szCs w:val="21"/>
                <w:highlight w:val="none"/>
              </w:rPr>
            </w:pPr>
            <w:r>
              <w:rPr>
                <w:rFonts w:hint="eastAsia" w:ascii="宋体" w:hAnsi="宋体"/>
                <w:szCs w:val="21"/>
                <w:highlight w:val="none"/>
                <w:lang w:val="en-US" w:eastAsia="zh-CN"/>
              </w:rPr>
              <w:t>/</w:t>
            </w:r>
          </w:p>
        </w:tc>
      </w:tr>
      <w:tr w14:paraId="240C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60D188A">
            <w:pPr>
              <w:rPr>
                <w:rFonts w:ascii="宋体" w:hAnsi="宋体"/>
                <w:szCs w:val="21"/>
                <w:highlight w:val="none"/>
              </w:rPr>
            </w:pPr>
            <w:r>
              <w:rPr>
                <w:rFonts w:hint="eastAsia"/>
                <w:szCs w:val="21"/>
                <w:highlight w:val="none"/>
              </w:rPr>
              <w:t>10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1781E2A">
            <w:pPr>
              <w:rPr>
                <w:rFonts w:ascii="宋体" w:hAnsi="宋体"/>
                <w:szCs w:val="21"/>
                <w:highlight w:val="none"/>
              </w:rPr>
            </w:pPr>
            <w:r>
              <w:rPr>
                <w:rFonts w:hint="eastAsia" w:ascii="宋体" w:hAnsi="宋体"/>
                <w:szCs w:val="21"/>
                <w:highlight w:val="none"/>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9298F4D">
            <w:pPr>
              <w:rPr>
                <w:rFonts w:ascii="宋体" w:hAnsi="宋体"/>
                <w:szCs w:val="21"/>
                <w:highlight w:val="none"/>
              </w:rPr>
            </w:pPr>
            <w:r>
              <w:rPr>
                <w:rFonts w:hint="eastAsia"/>
                <w:szCs w:val="21"/>
                <w:highlight w:val="none"/>
              </w:rPr>
              <w:t>2</w:t>
            </w:r>
            <w:r>
              <w:rPr>
                <w:rFonts w:hint="eastAsia" w:ascii="宋体" w:hAnsi="宋体"/>
                <w:szCs w:val="21"/>
                <w:highlight w:val="none"/>
              </w:rPr>
              <w:t>个小时内响应</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C7B3072">
            <w:pPr>
              <w:jc w:val="center"/>
              <w:rPr>
                <w:rFonts w:ascii="宋体" w:hAnsi="宋体"/>
                <w:szCs w:val="21"/>
                <w:highlight w:val="none"/>
              </w:rPr>
            </w:pPr>
            <w:r>
              <w:rPr>
                <w:rFonts w:hint="eastAsia" w:ascii="宋体" w:hAnsi="宋体"/>
                <w:szCs w:val="21"/>
                <w:highlight w:val="none"/>
                <w:lang w:val="en-US" w:eastAsia="zh-CN"/>
              </w:rPr>
              <w:t>/</w:t>
            </w:r>
          </w:p>
        </w:tc>
      </w:tr>
      <w:tr w14:paraId="3EC8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BEDDD9B">
            <w:pPr>
              <w:rPr>
                <w:rFonts w:ascii="宋体" w:hAnsi="宋体"/>
                <w:szCs w:val="21"/>
                <w:highlight w:val="none"/>
              </w:rPr>
            </w:pPr>
            <w:r>
              <w:rPr>
                <w:rFonts w:hint="eastAsia"/>
                <w:szCs w:val="21"/>
                <w:highlight w:val="none"/>
              </w:rPr>
              <w:t>11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DFB23CF">
            <w:pPr>
              <w:rPr>
                <w:rFonts w:ascii="宋体" w:hAnsi="宋体"/>
                <w:szCs w:val="21"/>
                <w:highlight w:val="none"/>
              </w:rPr>
            </w:pPr>
            <w:r>
              <w:rPr>
                <w:rFonts w:hint="eastAsia" w:ascii="宋体" w:hAnsi="宋体"/>
                <w:szCs w:val="21"/>
                <w:highlight w:val="none"/>
              </w:rPr>
              <w:t>服务时间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326186C">
            <w:pPr>
              <w:rPr>
                <w:rFonts w:ascii="宋体" w:hAnsi="宋体"/>
                <w:szCs w:val="21"/>
                <w:highlight w:val="none"/>
              </w:rPr>
            </w:pPr>
            <w:r>
              <w:rPr>
                <w:rFonts w:hint="eastAsia"/>
                <w:szCs w:val="21"/>
                <w:highlight w:val="none"/>
              </w:rPr>
              <w:t>24</w:t>
            </w:r>
            <w:r>
              <w:rPr>
                <w:rFonts w:hint="eastAsia" w:ascii="宋体" w:hAnsi="宋体"/>
                <w:szCs w:val="21"/>
                <w:highlight w:val="none"/>
              </w:rPr>
              <w:t>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DFED285">
            <w:pPr>
              <w:jc w:val="center"/>
              <w:rPr>
                <w:rFonts w:ascii="宋体" w:hAnsi="宋体"/>
                <w:szCs w:val="21"/>
                <w:highlight w:val="none"/>
              </w:rPr>
            </w:pPr>
            <w:r>
              <w:rPr>
                <w:rFonts w:hint="eastAsia" w:ascii="宋体" w:hAnsi="宋体"/>
                <w:szCs w:val="21"/>
                <w:highlight w:val="none"/>
                <w:lang w:val="en-US" w:eastAsia="zh-CN"/>
              </w:rPr>
              <w:t>/</w:t>
            </w:r>
          </w:p>
        </w:tc>
      </w:tr>
      <w:tr w14:paraId="398E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3FBDE46">
            <w:pPr>
              <w:rPr>
                <w:rFonts w:ascii="宋体" w:hAnsi="宋体"/>
                <w:szCs w:val="21"/>
                <w:highlight w:val="none"/>
              </w:rPr>
            </w:pPr>
            <w:r>
              <w:rPr>
                <w:rFonts w:hint="eastAsia"/>
                <w:szCs w:val="21"/>
                <w:highlight w:val="none"/>
              </w:rPr>
              <w:t>12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6EEBD9C">
            <w:pPr>
              <w:rPr>
                <w:rFonts w:ascii="宋体" w:hAnsi="宋体"/>
                <w:szCs w:val="21"/>
                <w:highlight w:val="none"/>
              </w:rPr>
            </w:pPr>
            <w:r>
              <w:rPr>
                <w:rFonts w:hint="eastAsia" w:ascii="宋体" w:hAnsi="宋体"/>
                <w:szCs w:val="21"/>
                <w:highlight w:val="none"/>
              </w:rPr>
              <w:t>上门时间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6073D72">
            <w:pPr>
              <w:rPr>
                <w:rFonts w:ascii="宋体" w:hAnsi="宋体"/>
                <w:szCs w:val="21"/>
                <w:highlight w:val="none"/>
              </w:rPr>
            </w:pPr>
            <w:r>
              <w:rPr>
                <w:rFonts w:hint="eastAsia"/>
                <w:szCs w:val="21"/>
                <w:highlight w:val="none"/>
              </w:rPr>
              <w:t>2</w:t>
            </w:r>
            <w:r>
              <w:rPr>
                <w:rFonts w:hint="eastAsia" w:ascii="宋体" w:hAnsi="宋体"/>
                <w:szCs w:val="21"/>
                <w:highlight w:val="none"/>
              </w:rPr>
              <w:t>小时内响应及时上门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4131538">
            <w:pPr>
              <w:jc w:val="center"/>
              <w:rPr>
                <w:rFonts w:ascii="宋体" w:hAnsi="宋体"/>
                <w:szCs w:val="21"/>
                <w:highlight w:val="none"/>
              </w:rPr>
            </w:pPr>
            <w:r>
              <w:rPr>
                <w:rFonts w:hint="eastAsia" w:ascii="宋体" w:hAnsi="宋体"/>
                <w:szCs w:val="21"/>
                <w:highlight w:val="none"/>
                <w:lang w:val="en-US" w:eastAsia="zh-CN"/>
              </w:rPr>
              <w:t>/</w:t>
            </w:r>
          </w:p>
        </w:tc>
      </w:tr>
      <w:tr w14:paraId="335C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10A7CC0">
            <w:pPr>
              <w:rPr>
                <w:rFonts w:ascii="宋体" w:hAnsi="宋体"/>
                <w:szCs w:val="21"/>
                <w:highlight w:val="none"/>
              </w:rPr>
            </w:pPr>
            <w:r>
              <w:rPr>
                <w:rFonts w:hint="eastAsia"/>
                <w:szCs w:val="21"/>
                <w:highlight w:val="none"/>
              </w:rPr>
              <w:t>13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0122997">
            <w:pPr>
              <w:rPr>
                <w:rFonts w:ascii="宋体" w:hAnsi="宋体"/>
                <w:szCs w:val="21"/>
                <w:highlight w:val="none"/>
              </w:rPr>
            </w:pPr>
            <w:r>
              <w:rPr>
                <w:rFonts w:hint="eastAsia" w:ascii="宋体" w:hAnsi="宋体"/>
                <w:szCs w:val="21"/>
                <w:highlight w:val="none"/>
              </w:rPr>
              <w:t>故障修复时限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D9B890A">
            <w:pPr>
              <w:rPr>
                <w:rFonts w:ascii="宋体" w:hAnsi="宋体"/>
                <w:szCs w:val="21"/>
                <w:highlight w:val="none"/>
              </w:rPr>
            </w:pPr>
            <w:r>
              <w:rPr>
                <w:rFonts w:hint="eastAsia"/>
                <w:szCs w:val="21"/>
                <w:highlight w:val="none"/>
              </w:rPr>
              <w:t>8</w:t>
            </w:r>
            <w:r>
              <w:rPr>
                <w:rFonts w:hint="eastAsia" w:ascii="宋体" w:hAnsi="宋体"/>
                <w:szCs w:val="21"/>
                <w:highlight w:val="none"/>
              </w:rPr>
              <w:t>个小时内修复</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9381DDB">
            <w:pPr>
              <w:jc w:val="center"/>
              <w:rPr>
                <w:rFonts w:ascii="宋体" w:hAnsi="宋体"/>
                <w:szCs w:val="21"/>
                <w:highlight w:val="none"/>
              </w:rPr>
            </w:pPr>
            <w:r>
              <w:rPr>
                <w:rFonts w:hint="eastAsia" w:ascii="宋体" w:hAnsi="宋体"/>
                <w:szCs w:val="21"/>
                <w:highlight w:val="none"/>
                <w:lang w:val="en-US" w:eastAsia="zh-CN"/>
              </w:rPr>
              <w:t>/</w:t>
            </w:r>
          </w:p>
        </w:tc>
      </w:tr>
      <w:tr w14:paraId="600C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9DFB198">
            <w:pPr>
              <w:rPr>
                <w:rFonts w:ascii="宋体" w:hAnsi="宋体"/>
                <w:szCs w:val="21"/>
                <w:highlight w:val="none"/>
              </w:rPr>
            </w:pPr>
            <w:r>
              <w:rPr>
                <w:rFonts w:hint="eastAsia"/>
                <w:szCs w:val="21"/>
                <w:highlight w:val="none"/>
              </w:rPr>
              <w:t>14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13BA772">
            <w:pPr>
              <w:rPr>
                <w:rFonts w:ascii="宋体" w:hAnsi="宋体"/>
                <w:szCs w:val="21"/>
                <w:highlight w:val="none"/>
              </w:rPr>
            </w:pPr>
            <w:r>
              <w:rPr>
                <w:rFonts w:hint="eastAsia" w:ascii="宋体" w:hAnsi="宋体"/>
                <w:szCs w:val="21"/>
                <w:highlight w:val="none"/>
              </w:rPr>
              <w:t>备品配件供应响应时限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4A272CE">
            <w:pPr>
              <w:rPr>
                <w:rFonts w:ascii="宋体" w:hAnsi="宋体"/>
                <w:szCs w:val="21"/>
                <w:highlight w:val="none"/>
              </w:rPr>
            </w:pPr>
            <w:r>
              <w:rPr>
                <w:rFonts w:hint="eastAsia"/>
                <w:szCs w:val="21"/>
                <w:highlight w:val="none"/>
              </w:rPr>
              <w:t>1</w:t>
            </w:r>
            <w:r>
              <w:rPr>
                <w:rFonts w:hint="eastAsia" w:ascii="宋体" w:hAnsi="宋体"/>
                <w:szCs w:val="21"/>
                <w:highlight w:val="none"/>
              </w:rPr>
              <w:t>个工作日内</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8EAE101">
            <w:pPr>
              <w:jc w:val="center"/>
              <w:rPr>
                <w:rFonts w:ascii="宋体" w:hAnsi="宋体"/>
                <w:szCs w:val="21"/>
                <w:highlight w:val="none"/>
              </w:rPr>
            </w:pPr>
            <w:r>
              <w:rPr>
                <w:rFonts w:hint="eastAsia" w:ascii="宋体" w:hAnsi="宋体"/>
                <w:szCs w:val="21"/>
                <w:highlight w:val="none"/>
                <w:lang w:val="en-US" w:eastAsia="zh-CN"/>
              </w:rPr>
              <w:t>/</w:t>
            </w:r>
          </w:p>
        </w:tc>
      </w:tr>
      <w:tr w14:paraId="5D21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7EED2EC">
            <w:pPr>
              <w:rPr>
                <w:rFonts w:ascii="宋体" w:hAnsi="宋体"/>
                <w:szCs w:val="21"/>
                <w:highlight w:val="none"/>
              </w:rPr>
            </w:pPr>
            <w:r>
              <w:rPr>
                <w:rFonts w:hint="eastAsia"/>
                <w:szCs w:val="21"/>
                <w:highlight w:val="none"/>
              </w:rPr>
              <w:t>15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6852AB0">
            <w:pPr>
              <w:rPr>
                <w:rFonts w:ascii="宋体" w:hAnsi="宋体"/>
                <w:szCs w:val="21"/>
                <w:highlight w:val="none"/>
              </w:rPr>
            </w:pPr>
            <w:r>
              <w:rPr>
                <w:rFonts w:hint="eastAsia" w:ascii="宋体" w:hAnsi="宋体"/>
                <w:szCs w:val="21"/>
                <w:highlight w:val="none"/>
              </w:rPr>
              <w:t>保质期满后的保修服务费用</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29470E9">
            <w:pPr>
              <w:rPr>
                <w:rFonts w:ascii="宋体" w:hAnsi="宋体"/>
                <w:szCs w:val="21"/>
                <w:highlight w:val="none"/>
              </w:rPr>
            </w:pPr>
            <w:r>
              <w:rPr>
                <w:rFonts w:hint="eastAsia" w:ascii="宋体" w:hAnsi="宋体"/>
                <w:szCs w:val="21"/>
                <w:highlight w:val="none"/>
              </w:rPr>
              <w:t>详见开标一览表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69285FC">
            <w:pPr>
              <w:jc w:val="center"/>
              <w:rPr>
                <w:rFonts w:ascii="宋体" w:hAnsi="宋体"/>
                <w:szCs w:val="21"/>
                <w:highlight w:val="none"/>
              </w:rPr>
            </w:pPr>
            <w:r>
              <w:rPr>
                <w:rFonts w:hint="eastAsia" w:ascii="宋体" w:hAnsi="宋体"/>
                <w:szCs w:val="21"/>
                <w:highlight w:val="none"/>
                <w:lang w:val="en-US" w:eastAsia="zh-CN"/>
              </w:rPr>
              <w:t>/</w:t>
            </w:r>
          </w:p>
        </w:tc>
      </w:tr>
      <w:tr w14:paraId="3F8F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17BD7F6">
            <w:pPr>
              <w:rPr>
                <w:rFonts w:ascii="宋体" w:hAnsi="宋体"/>
                <w:szCs w:val="21"/>
                <w:highlight w:val="none"/>
              </w:rPr>
            </w:pPr>
            <w:r>
              <w:rPr>
                <w:rFonts w:hint="eastAsia"/>
                <w:szCs w:val="21"/>
                <w:highlight w:val="none"/>
              </w:rPr>
              <w:t>16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2024111">
            <w:pPr>
              <w:rPr>
                <w:rFonts w:ascii="宋体" w:hAnsi="宋体"/>
                <w:szCs w:val="21"/>
                <w:highlight w:val="none"/>
              </w:rPr>
            </w:pPr>
            <w:r>
              <w:rPr>
                <w:rFonts w:hint="eastAsia" w:ascii="宋体" w:hAnsi="宋体"/>
                <w:szCs w:val="21"/>
                <w:highlight w:val="none"/>
              </w:rPr>
              <w:t>免费技术支持</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76204C2">
            <w:pPr>
              <w:rPr>
                <w:rFonts w:ascii="宋体" w:hAnsi="宋体"/>
                <w:szCs w:val="21"/>
                <w:highlight w:val="none"/>
              </w:rPr>
            </w:pPr>
            <w:r>
              <w:rPr>
                <w:rFonts w:hint="eastAsia" w:ascii="宋体" w:hAnsi="宋体"/>
                <w:szCs w:val="21"/>
                <w:highlight w:val="none"/>
              </w:rPr>
              <w:t>终身</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A367FD9">
            <w:pPr>
              <w:jc w:val="center"/>
              <w:rPr>
                <w:rFonts w:ascii="宋体" w:hAnsi="宋体"/>
                <w:szCs w:val="21"/>
                <w:highlight w:val="none"/>
              </w:rPr>
            </w:pPr>
            <w:r>
              <w:rPr>
                <w:rFonts w:hint="eastAsia" w:ascii="宋体" w:hAnsi="宋体"/>
                <w:szCs w:val="21"/>
                <w:highlight w:val="none"/>
                <w:lang w:val="en-US" w:eastAsia="zh-CN"/>
              </w:rPr>
              <w:t>/</w:t>
            </w:r>
          </w:p>
        </w:tc>
      </w:tr>
      <w:tr w14:paraId="3E88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E5A9123">
            <w:pPr>
              <w:rPr>
                <w:rFonts w:ascii="宋体" w:hAnsi="宋体"/>
                <w:szCs w:val="21"/>
                <w:highlight w:val="none"/>
              </w:rPr>
            </w:pPr>
            <w:r>
              <w:rPr>
                <w:rFonts w:hint="eastAsia"/>
                <w:szCs w:val="21"/>
                <w:highlight w:val="none"/>
              </w:rPr>
              <w:t>17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37901C4">
            <w:pPr>
              <w:jc w:val="both"/>
              <w:rPr>
                <w:rFonts w:ascii="宋体" w:hAnsi="宋体"/>
                <w:szCs w:val="21"/>
                <w:highlight w:val="none"/>
              </w:rPr>
            </w:pPr>
            <w:r>
              <w:rPr>
                <w:rFonts w:hint="eastAsia" w:ascii="宋体" w:hAnsi="宋体"/>
                <w:szCs w:val="21"/>
                <w:highlight w:val="none"/>
              </w:rPr>
              <w:t>客户操作人员技术培训</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720C93C">
            <w:pPr>
              <w:jc w:val="both"/>
              <w:rPr>
                <w:rFonts w:ascii="宋体" w:hAnsi="宋体"/>
                <w:szCs w:val="21"/>
                <w:highlight w:val="none"/>
              </w:rPr>
            </w:pPr>
            <w:r>
              <w:rPr>
                <w:rFonts w:hint="eastAsia" w:ascii="宋体" w:hAnsi="宋体"/>
                <w:szCs w:val="21"/>
                <w:highlight w:val="none"/>
              </w:rPr>
              <w:t>免费技术培训至</w:t>
            </w:r>
            <w:r>
              <w:rPr>
                <w:rFonts w:hint="eastAsia" w:ascii="宋体" w:hAnsi="宋体" w:cs="Times New Roman"/>
                <w:szCs w:val="21"/>
                <w:highlight w:val="none"/>
              </w:rPr>
              <w:t>少</w:t>
            </w:r>
            <w:r>
              <w:rPr>
                <w:rFonts w:hint="eastAsia" w:ascii="宋体" w:hAnsi="宋体" w:cs="Times New Roman"/>
                <w:szCs w:val="21"/>
                <w:highlight w:val="none"/>
                <w:lang w:val="en-US" w:eastAsia="zh-CN"/>
              </w:rPr>
              <w:t>10</w:t>
            </w:r>
            <w:r>
              <w:rPr>
                <w:rFonts w:hint="eastAsia" w:ascii="宋体" w:hAnsi="宋体" w:cs="Times New Roman"/>
                <w:szCs w:val="21"/>
                <w:highlight w:val="none"/>
              </w:rPr>
              <w:t>名操作</w:t>
            </w:r>
            <w:r>
              <w:rPr>
                <w:rFonts w:hint="eastAsia" w:ascii="宋体" w:hAnsi="宋体"/>
                <w:szCs w:val="21"/>
                <w:highlight w:val="none"/>
              </w:rPr>
              <w:t>人员，操作和简单故障处理。</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EDCDA60">
            <w:pPr>
              <w:jc w:val="center"/>
              <w:rPr>
                <w:rFonts w:ascii="宋体" w:hAnsi="宋体"/>
                <w:szCs w:val="21"/>
                <w:highlight w:val="none"/>
              </w:rPr>
            </w:pPr>
            <w:r>
              <w:rPr>
                <w:rFonts w:hint="eastAsia" w:ascii="宋体" w:hAnsi="宋体"/>
                <w:szCs w:val="21"/>
                <w:highlight w:val="none"/>
                <w:lang w:val="en-US" w:eastAsia="zh-CN"/>
              </w:rPr>
              <w:t>/</w:t>
            </w:r>
          </w:p>
        </w:tc>
      </w:tr>
      <w:tr w14:paraId="357E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BEC4F6D">
            <w:pPr>
              <w:rPr>
                <w:rFonts w:ascii="宋体" w:hAnsi="宋体"/>
                <w:szCs w:val="21"/>
                <w:highlight w:val="none"/>
              </w:rPr>
            </w:pPr>
            <w:r>
              <w:rPr>
                <w:rFonts w:hint="eastAsia"/>
                <w:szCs w:val="21"/>
                <w:highlight w:val="none"/>
              </w:rPr>
              <w:t>18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2009DBF">
            <w:pPr>
              <w:jc w:val="both"/>
              <w:rPr>
                <w:rFonts w:ascii="宋体" w:hAnsi="宋体"/>
                <w:szCs w:val="21"/>
                <w:highlight w:val="none"/>
              </w:rPr>
            </w:pPr>
            <w:r>
              <w:rPr>
                <w:rFonts w:hint="eastAsia" w:ascii="宋体" w:hAnsi="宋体"/>
                <w:szCs w:val="21"/>
                <w:highlight w:val="none"/>
              </w:rPr>
              <w:t>郑州维修部地址</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1317AB4">
            <w:pPr>
              <w:jc w:val="both"/>
              <w:rPr>
                <w:rFonts w:ascii="宋体" w:hAnsi="宋体"/>
                <w:szCs w:val="21"/>
                <w:highlight w:val="none"/>
              </w:rPr>
            </w:pPr>
            <w:r>
              <w:rPr>
                <w:rFonts w:hint="eastAsia" w:ascii="宋体" w:hAnsi="宋体" w:eastAsia="宋体" w:cs="宋体"/>
                <w:sz w:val="21"/>
                <w:szCs w:val="21"/>
              </w:rPr>
              <w:t>河南省郑州市管城回族区紫东路186号1号楼16层1618号</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EF27256">
            <w:pPr>
              <w:jc w:val="center"/>
              <w:rPr>
                <w:rFonts w:ascii="宋体" w:hAnsi="宋体"/>
                <w:szCs w:val="21"/>
                <w:highlight w:val="none"/>
              </w:rPr>
            </w:pPr>
            <w:r>
              <w:rPr>
                <w:rFonts w:hint="eastAsia" w:ascii="宋体" w:hAnsi="宋体"/>
                <w:szCs w:val="21"/>
                <w:highlight w:val="none"/>
                <w:lang w:val="en-US" w:eastAsia="zh-CN"/>
              </w:rPr>
              <w:t>/</w:t>
            </w:r>
          </w:p>
        </w:tc>
      </w:tr>
      <w:tr w14:paraId="68E9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5DD856E">
            <w:pPr>
              <w:rPr>
                <w:rFonts w:ascii="宋体" w:hAnsi="宋体"/>
                <w:szCs w:val="21"/>
                <w:highlight w:val="none"/>
              </w:rPr>
            </w:pPr>
            <w:r>
              <w:rPr>
                <w:rFonts w:hint="eastAsia"/>
                <w:szCs w:val="21"/>
                <w:highlight w:val="none"/>
              </w:rPr>
              <w:t>19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BED000A">
            <w:pPr>
              <w:spacing w:line="360" w:lineRule="auto"/>
              <w:jc w:val="both"/>
              <w:rPr>
                <w:rFonts w:ascii="宋体" w:hAnsi="宋体"/>
                <w:szCs w:val="21"/>
                <w:highlight w:val="none"/>
              </w:rPr>
            </w:pPr>
            <w:r>
              <w:rPr>
                <w:rFonts w:hint="eastAsia" w:ascii="宋体" w:hAnsi="宋体"/>
                <w:szCs w:val="21"/>
                <w:highlight w:val="none"/>
              </w:rPr>
              <w:t>联系人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14C7FD0">
            <w:pPr>
              <w:jc w:val="both"/>
              <w:rPr>
                <w:rFonts w:ascii="宋体" w:hAnsi="宋体"/>
                <w:szCs w:val="21"/>
                <w:highlight w:val="none"/>
              </w:rPr>
            </w:pPr>
            <w:r>
              <w:rPr>
                <w:rFonts w:hint="eastAsia" w:ascii="宋体" w:hAnsi="宋体" w:eastAsia="宋体" w:cs="宋体"/>
                <w:sz w:val="21"/>
                <w:szCs w:val="21"/>
                <w:lang w:val="en-US" w:eastAsia="zh-CN"/>
              </w:rPr>
              <w:t>彭晶</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4DF3A4C">
            <w:pPr>
              <w:jc w:val="center"/>
              <w:rPr>
                <w:rFonts w:ascii="宋体" w:hAnsi="宋体"/>
                <w:szCs w:val="21"/>
                <w:highlight w:val="none"/>
              </w:rPr>
            </w:pPr>
            <w:r>
              <w:rPr>
                <w:rFonts w:hint="eastAsia" w:ascii="宋体" w:hAnsi="宋体"/>
                <w:szCs w:val="21"/>
                <w:highlight w:val="none"/>
                <w:lang w:val="en-US" w:eastAsia="zh-CN"/>
              </w:rPr>
              <w:t>/</w:t>
            </w:r>
          </w:p>
        </w:tc>
      </w:tr>
      <w:tr w14:paraId="30D0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87E00A2">
            <w:pPr>
              <w:rPr>
                <w:rFonts w:ascii="宋体" w:hAnsi="宋体"/>
                <w:szCs w:val="21"/>
                <w:highlight w:val="none"/>
              </w:rPr>
            </w:pPr>
            <w:r>
              <w:rPr>
                <w:rFonts w:hint="eastAsia"/>
                <w:szCs w:val="21"/>
                <w:highlight w:val="none"/>
              </w:rPr>
              <w:t>20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0FFD1FB">
            <w:pPr>
              <w:spacing w:line="360" w:lineRule="auto"/>
              <w:jc w:val="both"/>
              <w:rPr>
                <w:rFonts w:ascii="宋体" w:hAnsi="宋体"/>
                <w:szCs w:val="21"/>
                <w:highlight w:val="none"/>
              </w:rPr>
            </w:pPr>
            <w:r>
              <w:rPr>
                <w:rFonts w:hint="eastAsia" w:ascii="宋体" w:hAnsi="宋体"/>
                <w:szCs w:val="21"/>
                <w:highlight w:val="none"/>
              </w:rPr>
              <w:t>联系电话</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2DFA63F">
            <w:pPr>
              <w:jc w:val="both"/>
              <w:rPr>
                <w:rFonts w:ascii="宋体" w:hAnsi="宋体"/>
                <w:szCs w:val="21"/>
                <w:highlight w:val="none"/>
              </w:rPr>
            </w:pPr>
            <w:r>
              <w:rPr>
                <w:rFonts w:hint="eastAsia" w:ascii="宋体" w:hAnsi="宋体" w:eastAsia="宋体" w:cs="宋体"/>
                <w:sz w:val="21"/>
                <w:szCs w:val="21"/>
                <w:lang w:val="en-US" w:eastAsia="zh-CN"/>
              </w:rPr>
              <w:t>15290883986</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7CFBA72">
            <w:pPr>
              <w:jc w:val="center"/>
              <w:rPr>
                <w:rFonts w:ascii="宋体" w:hAnsi="宋体"/>
                <w:szCs w:val="21"/>
                <w:highlight w:val="none"/>
              </w:rPr>
            </w:pPr>
            <w:r>
              <w:rPr>
                <w:rFonts w:hint="eastAsia" w:ascii="宋体" w:hAnsi="宋体"/>
                <w:szCs w:val="21"/>
                <w:highlight w:val="none"/>
                <w:lang w:val="en-US" w:eastAsia="zh-CN"/>
              </w:rPr>
              <w:t>/</w:t>
            </w:r>
          </w:p>
        </w:tc>
      </w:tr>
      <w:tr w14:paraId="1F4D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90A1AB7">
            <w:pPr>
              <w:rPr>
                <w:rFonts w:ascii="宋体" w:hAnsi="宋体"/>
                <w:szCs w:val="21"/>
                <w:highlight w:val="none"/>
              </w:rPr>
            </w:pPr>
            <w:r>
              <w:rPr>
                <w:rFonts w:hint="eastAsia"/>
                <w:szCs w:val="21"/>
                <w:highlight w:val="none"/>
              </w:rPr>
              <w:t>21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131A635">
            <w:pPr>
              <w:jc w:val="both"/>
              <w:rPr>
                <w:rFonts w:ascii="宋体" w:hAnsi="宋体"/>
                <w:szCs w:val="21"/>
                <w:highlight w:val="none"/>
              </w:rPr>
            </w:pPr>
            <w:r>
              <w:rPr>
                <w:rFonts w:hint="eastAsia" w:ascii="宋体" w:hAnsi="宋体"/>
                <w:szCs w:val="21"/>
                <w:highlight w:val="none"/>
              </w:rPr>
              <w:t>维修服务热线</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52718CF">
            <w:pPr>
              <w:jc w:val="both"/>
              <w:rPr>
                <w:rFonts w:ascii="宋体" w:hAnsi="宋体"/>
                <w:szCs w:val="21"/>
                <w:highlight w:val="none"/>
              </w:rPr>
            </w:pPr>
            <w:r>
              <w:rPr>
                <w:rFonts w:hint="eastAsia" w:ascii="宋体" w:hAnsi="宋体" w:eastAsia="宋体" w:cs="宋体"/>
                <w:sz w:val="21"/>
                <w:szCs w:val="21"/>
                <w:lang w:val="en-US" w:eastAsia="zh-CN"/>
              </w:rPr>
              <w:t>15290883986</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CC5B2F1">
            <w:pPr>
              <w:jc w:val="center"/>
              <w:rPr>
                <w:rFonts w:ascii="宋体" w:hAnsi="宋体"/>
                <w:szCs w:val="21"/>
                <w:highlight w:val="none"/>
              </w:rPr>
            </w:pPr>
            <w:r>
              <w:rPr>
                <w:rFonts w:hint="eastAsia" w:ascii="宋体" w:hAnsi="宋体"/>
                <w:szCs w:val="21"/>
                <w:highlight w:val="none"/>
                <w:lang w:val="en-US" w:eastAsia="zh-CN"/>
              </w:rPr>
              <w:t>/</w:t>
            </w:r>
          </w:p>
        </w:tc>
      </w:tr>
      <w:tr w14:paraId="392B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CD5E759">
            <w:pPr>
              <w:rPr>
                <w:rFonts w:ascii="宋体" w:hAnsi="宋体"/>
                <w:szCs w:val="21"/>
                <w:highlight w:val="none"/>
              </w:rPr>
            </w:pPr>
            <w:r>
              <w:rPr>
                <w:rFonts w:hint="eastAsia"/>
                <w:szCs w:val="21"/>
                <w:highlight w:val="none"/>
              </w:rPr>
              <w:t>22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8B84E88">
            <w:pPr>
              <w:jc w:val="both"/>
              <w:rPr>
                <w:rFonts w:ascii="宋体" w:hAnsi="宋体"/>
                <w:szCs w:val="21"/>
                <w:highlight w:val="none"/>
              </w:rPr>
            </w:pPr>
            <w:r>
              <w:rPr>
                <w:rFonts w:hint="eastAsia" w:ascii="宋体" w:hAnsi="宋体"/>
                <w:szCs w:val="21"/>
                <w:highlight w:val="none"/>
              </w:rPr>
              <w:t>其他承诺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57EF593">
            <w:pPr>
              <w:jc w:val="both"/>
              <w:rPr>
                <w:rFonts w:ascii="宋体" w:hAnsi="宋体"/>
                <w:szCs w:val="21"/>
                <w:highlight w:val="none"/>
              </w:rPr>
            </w:pPr>
            <w:r>
              <w:rPr>
                <w:rFonts w:hint="eastAsia" w:ascii="宋体" w:hAnsi="宋体" w:eastAsia="宋体" w:cs="宋体"/>
                <w:sz w:val="21"/>
                <w:szCs w:val="21"/>
                <w:lang w:val="en-US" w:eastAsia="zh-CN"/>
              </w:rPr>
              <w:t>无</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0D33D5E">
            <w:pPr>
              <w:jc w:val="center"/>
              <w:rPr>
                <w:rFonts w:ascii="宋体" w:hAnsi="宋体"/>
                <w:szCs w:val="21"/>
                <w:highlight w:val="none"/>
              </w:rPr>
            </w:pPr>
            <w:r>
              <w:rPr>
                <w:rFonts w:hint="eastAsia" w:ascii="宋体" w:hAnsi="宋体"/>
                <w:szCs w:val="21"/>
                <w:highlight w:val="none"/>
                <w:lang w:val="en-US" w:eastAsia="zh-CN"/>
              </w:rPr>
              <w:t>/</w:t>
            </w:r>
          </w:p>
        </w:tc>
      </w:tr>
    </w:tbl>
    <w:p w14:paraId="71C5590D">
      <w:pPr>
        <w:spacing w:line="360" w:lineRule="auto"/>
        <w:rPr>
          <w:rFonts w:ascii="宋体" w:hAnsi="宋体"/>
          <w:b/>
          <w:szCs w:val="21"/>
          <w:highlight w:val="none"/>
        </w:rPr>
      </w:pPr>
      <w:r>
        <w:rPr>
          <w:rFonts w:hint="eastAsia" w:ascii="宋体" w:hAnsi="宋体"/>
          <w:b/>
          <w:szCs w:val="21"/>
          <w:highlight w:val="none"/>
        </w:rPr>
        <w:t>承诺公司签字（盖章）：</w:t>
      </w:r>
    </w:p>
    <w:p w14:paraId="39ABB952">
      <w:pPr>
        <w:bidi w:val="0"/>
        <w:rPr>
          <w:rFonts w:hint="eastAsia"/>
        </w:rPr>
      </w:pPr>
    </w:p>
    <w:p w14:paraId="4E778EB9">
      <w:pPr>
        <w:rPr>
          <w:rFonts w:hint="eastAsia" w:ascii="宋体" w:hAnsi="宋体"/>
          <w:b/>
          <w:sz w:val="24"/>
          <w:szCs w:val="24"/>
          <w:highlight w:val="none"/>
        </w:rPr>
      </w:pPr>
      <w:r>
        <w:rPr>
          <w:rFonts w:hint="eastAsia" w:ascii="宋体" w:hAnsi="宋体"/>
          <w:b/>
          <w:sz w:val="24"/>
          <w:szCs w:val="24"/>
          <w:highlight w:val="none"/>
        </w:rPr>
        <w:br w:type="page"/>
      </w:r>
    </w:p>
    <w:p w14:paraId="60DB7CAD">
      <w:pPr>
        <w:spacing w:line="360" w:lineRule="auto"/>
        <w:rPr>
          <w:rFonts w:ascii="宋体" w:hAnsi="宋体"/>
          <w:b/>
          <w:sz w:val="24"/>
          <w:szCs w:val="24"/>
          <w:highlight w:val="none"/>
        </w:rPr>
      </w:pPr>
      <w:r>
        <w:rPr>
          <w:rFonts w:hint="eastAsia" w:ascii="宋体" w:hAnsi="宋体"/>
          <w:b/>
          <w:sz w:val="24"/>
          <w:szCs w:val="24"/>
          <w:highlight w:val="none"/>
        </w:rPr>
        <w:t>附件6：</w:t>
      </w:r>
    </w:p>
    <w:p w14:paraId="25EEC470">
      <w:pPr>
        <w:jc w:val="center"/>
        <w:rPr>
          <w:rFonts w:ascii="宋体" w:hAnsi="宋体"/>
          <w:b/>
          <w:sz w:val="32"/>
          <w:szCs w:val="32"/>
          <w:highlight w:val="none"/>
        </w:rPr>
      </w:pPr>
      <w:r>
        <w:rPr>
          <w:rFonts w:hint="eastAsia"/>
          <w:b/>
          <w:sz w:val="32"/>
          <w:szCs w:val="32"/>
          <w:highlight w:val="none"/>
        </w:rPr>
        <w:t>豫财招标采购-2024-1538</w:t>
      </w:r>
      <w:r>
        <w:rPr>
          <w:rFonts w:hint="eastAsia" w:ascii="宋体" w:hAnsi="宋体"/>
          <w:b/>
          <w:sz w:val="32"/>
          <w:szCs w:val="32"/>
          <w:highlight w:val="none"/>
        </w:rPr>
        <w:t>号合同（或</w:t>
      </w:r>
      <w:r>
        <w:rPr>
          <w:rFonts w:hint="eastAsia"/>
          <w:b/>
          <w:sz w:val="32"/>
          <w:szCs w:val="32"/>
          <w:highlight w:val="none"/>
        </w:rPr>
        <w:t>高效液相色谱仪</w:t>
      </w:r>
      <w:r>
        <w:rPr>
          <w:rFonts w:hint="eastAsia" w:ascii="宋体" w:hAnsi="宋体"/>
          <w:b/>
          <w:sz w:val="32"/>
          <w:szCs w:val="32"/>
          <w:highlight w:val="none"/>
        </w:rPr>
        <w:t>仪器）安装培训计划表</w:t>
      </w:r>
    </w:p>
    <w:p w14:paraId="30FB0526">
      <w:pPr>
        <w:snapToGrid w:val="0"/>
        <w:spacing w:line="240" w:lineRule="auto"/>
        <w:rPr>
          <w:rFonts w:ascii="宋体" w:hAnsi="宋体"/>
          <w:b/>
          <w:szCs w:val="21"/>
          <w:highlight w:val="none"/>
        </w:rPr>
      </w:pPr>
    </w:p>
    <w:tbl>
      <w:tblPr>
        <w:tblStyle w:val="14"/>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0E33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334CD83">
            <w:pPr>
              <w:spacing w:line="720" w:lineRule="auto"/>
              <w:jc w:val="center"/>
              <w:rPr>
                <w:rFonts w:ascii="宋体" w:hAnsi="宋体"/>
                <w:szCs w:val="21"/>
                <w:highlight w:val="none"/>
              </w:rPr>
            </w:pPr>
            <w:r>
              <w:rPr>
                <w:rFonts w:hint="eastAsia" w:ascii="宋体" w:hAnsi="宋体"/>
                <w:szCs w:val="21"/>
                <w:highlight w:val="none"/>
              </w:rPr>
              <w:t>序号</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A2186B6">
            <w:pPr>
              <w:spacing w:line="720" w:lineRule="auto"/>
              <w:jc w:val="center"/>
              <w:rPr>
                <w:rFonts w:ascii="宋体" w:hAnsi="宋体"/>
                <w:szCs w:val="21"/>
                <w:highlight w:val="none"/>
              </w:rPr>
            </w:pPr>
            <w:r>
              <w:rPr>
                <w:rFonts w:hint="eastAsia" w:ascii="宋体" w:hAnsi="宋体"/>
                <w:szCs w:val="21"/>
                <w:highlight w:val="none"/>
              </w:rPr>
              <w:t>项目</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70A58074">
            <w:pPr>
              <w:jc w:val="center"/>
              <w:rPr>
                <w:rFonts w:ascii="宋体" w:hAnsi="宋体"/>
                <w:szCs w:val="21"/>
                <w:highlight w:val="none"/>
              </w:rPr>
            </w:pPr>
            <w:r>
              <w:rPr>
                <w:rFonts w:hint="eastAsia" w:ascii="宋体" w:hAnsi="宋体"/>
                <w:szCs w:val="21"/>
                <w:highlight w:val="none"/>
              </w:rPr>
              <w:t>具体内容</w:t>
            </w:r>
          </w:p>
        </w:tc>
      </w:tr>
      <w:tr w14:paraId="256B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8A055A6">
            <w:pPr>
              <w:spacing w:line="720" w:lineRule="auto"/>
              <w:jc w:val="center"/>
              <w:rPr>
                <w:rFonts w:ascii="宋体" w:hAnsi="宋体"/>
                <w:szCs w:val="21"/>
                <w:highlight w:val="none"/>
              </w:rPr>
            </w:pPr>
            <w:r>
              <w:rPr>
                <w:rFonts w:hint="eastAsia" w:ascii="宋体" w:hAnsi="宋体"/>
                <w:szCs w:val="21"/>
                <w:highlight w:val="none"/>
              </w:rPr>
              <w:t>一</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A329345">
            <w:pPr>
              <w:spacing w:line="720" w:lineRule="auto"/>
              <w:jc w:val="center"/>
              <w:rPr>
                <w:rFonts w:ascii="宋体" w:hAnsi="宋体"/>
                <w:szCs w:val="21"/>
                <w:highlight w:val="none"/>
              </w:rPr>
            </w:pPr>
            <w:r>
              <w:rPr>
                <w:rFonts w:hint="eastAsia" w:ascii="宋体" w:hAnsi="宋体"/>
                <w:szCs w:val="21"/>
                <w:highlight w:val="none"/>
              </w:rPr>
              <w:t>培训所要达到的目标</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1A7398">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通过培训，使受训者熟练掌握相关操作和管理，能够处理货物日常运行中遇到的一般问题。</w:t>
            </w:r>
          </w:p>
        </w:tc>
      </w:tr>
      <w:tr w14:paraId="605F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46B7E61">
            <w:pPr>
              <w:spacing w:line="720" w:lineRule="auto"/>
              <w:jc w:val="center"/>
              <w:rPr>
                <w:rFonts w:ascii="宋体" w:hAnsi="宋体"/>
                <w:szCs w:val="21"/>
                <w:highlight w:val="none"/>
              </w:rPr>
            </w:pPr>
            <w:r>
              <w:rPr>
                <w:rFonts w:hint="eastAsia" w:ascii="宋体" w:hAnsi="宋体"/>
                <w:szCs w:val="21"/>
                <w:highlight w:val="none"/>
              </w:rPr>
              <w:t>二</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5E2601A">
            <w:pPr>
              <w:spacing w:line="720" w:lineRule="auto"/>
              <w:jc w:val="center"/>
              <w:rPr>
                <w:rFonts w:ascii="宋体" w:hAnsi="宋体"/>
                <w:szCs w:val="21"/>
                <w:highlight w:val="none"/>
              </w:rPr>
            </w:pPr>
            <w:r>
              <w:rPr>
                <w:rFonts w:hint="eastAsia" w:ascii="宋体" w:hAnsi="宋体"/>
                <w:szCs w:val="21"/>
                <w:highlight w:val="none"/>
              </w:rPr>
              <w:t>培训内容</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59D1F0">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货物的基本结构、性能、主要部件的构造及原理，日常使用操作、保养与管理，常见故障的排除，紧急情况的处理等，培训地点主要在货物安装现场或按甲乙双方协商安排</w:t>
            </w:r>
            <w:r>
              <w:rPr>
                <w:rFonts w:hint="eastAsia" w:ascii="宋体" w:hAnsi="宋体" w:eastAsia="宋体" w:cs="宋体"/>
                <w:sz w:val="21"/>
                <w:szCs w:val="21"/>
                <w:lang w:val="en-US" w:eastAsia="zh-CN"/>
              </w:rPr>
              <w:t>。</w:t>
            </w:r>
          </w:p>
        </w:tc>
      </w:tr>
      <w:tr w14:paraId="1209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45AC225A">
            <w:pPr>
              <w:spacing w:line="720" w:lineRule="auto"/>
              <w:jc w:val="center"/>
              <w:rPr>
                <w:rFonts w:ascii="宋体" w:hAnsi="宋体"/>
                <w:szCs w:val="21"/>
                <w:highlight w:val="none"/>
              </w:rPr>
            </w:pPr>
            <w:r>
              <w:rPr>
                <w:rFonts w:hint="eastAsia" w:ascii="宋体" w:hAnsi="宋体"/>
                <w:szCs w:val="21"/>
                <w:highlight w:val="none"/>
              </w:rPr>
              <w:t>三</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A6D27C8">
            <w:pPr>
              <w:spacing w:line="720" w:lineRule="auto"/>
              <w:jc w:val="center"/>
              <w:rPr>
                <w:rFonts w:ascii="宋体" w:hAnsi="宋体"/>
                <w:szCs w:val="21"/>
                <w:highlight w:val="none"/>
              </w:rPr>
            </w:pPr>
            <w:r>
              <w:rPr>
                <w:rFonts w:hint="eastAsia" w:ascii="宋体" w:hAnsi="宋体"/>
                <w:szCs w:val="21"/>
                <w:highlight w:val="none"/>
              </w:rPr>
              <w:t>培训标准</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0AEB36">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通过培训，使受训者熟练掌握相关操作和管理，能够处理货物日常运行中遇到的一般问题。</w:t>
            </w:r>
          </w:p>
        </w:tc>
      </w:tr>
      <w:tr w14:paraId="2FAD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9951961">
            <w:pPr>
              <w:spacing w:line="720" w:lineRule="auto"/>
              <w:jc w:val="center"/>
              <w:rPr>
                <w:rFonts w:ascii="宋体" w:hAnsi="宋体"/>
                <w:szCs w:val="21"/>
                <w:highlight w:val="none"/>
              </w:rPr>
            </w:pPr>
            <w:r>
              <w:rPr>
                <w:rFonts w:hint="eastAsia" w:ascii="宋体" w:hAnsi="宋体"/>
                <w:szCs w:val="21"/>
                <w:highlight w:val="none"/>
              </w:rPr>
              <w:t>四</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A6D079A">
            <w:pPr>
              <w:spacing w:line="720" w:lineRule="auto"/>
              <w:jc w:val="center"/>
              <w:rPr>
                <w:rFonts w:ascii="宋体" w:hAnsi="宋体"/>
                <w:szCs w:val="21"/>
                <w:highlight w:val="none"/>
              </w:rPr>
            </w:pPr>
            <w:r>
              <w:rPr>
                <w:rFonts w:hint="eastAsia" w:ascii="宋体" w:hAnsi="宋体"/>
                <w:szCs w:val="21"/>
                <w:highlight w:val="none"/>
              </w:rPr>
              <w:t>培训时间</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2694FB">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5天（视现场情况而定）</w:t>
            </w:r>
            <w:r>
              <w:rPr>
                <w:rFonts w:hint="eastAsia" w:ascii="宋体" w:hAnsi="宋体" w:eastAsia="宋体" w:cs="宋体"/>
                <w:sz w:val="21"/>
                <w:szCs w:val="21"/>
                <w:lang w:eastAsia="zh-CN"/>
              </w:rPr>
              <w:t>。</w:t>
            </w:r>
          </w:p>
        </w:tc>
      </w:tr>
      <w:tr w14:paraId="54D9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0B3B02F">
            <w:pPr>
              <w:spacing w:line="720" w:lineRule="auto"/>
              <w:jc w:val="center"/>
              <w:rPr>
                <w:rFonts w:ascii="宋体" w:hAnsi="宋体"/>
                <w:szCs w:val="21"/>
                <w:highlight w:val="none"/>
              </w:rPr>
            </w:pPr>
            <w:r>
              <w:rPr>
                <w:rFonts w:hint="eastAsia" w:ascii="宋体" w:hAnsi="宋体"/>
                <w:szCs w:val="21"/>
                <w:highlight w:val="none"/>
              </w:rPr>
              <w:t>五</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B0C1182">
            <w:pPr>
              <w:spacing w:line="720" w:lineRule="auto"/>
              <w:jc w:val="center"/>
              <w:rPr>
                <w:rFonts w:ascii="宋体" w:hAnsi="宋体"/>
                <w:szCs w:val="21"/>
                <w:highlight w:val="none"/>
              </w:rPr>
            </w:pPr>
            <w:r>
              <w:rPr>
                <w:rFonts w:hint="eastAsia" w:ascii="宋体" w:hAnsi="宋体"/>
                <w:szCs w:val="21"/>
                <w:highlight w:val="none"/>
              </w:rPr>
              <w:t>培训人数</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1FC41E">
            <w:pPr>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highlight w:val="none"/>
                <w:vertAlign w:val="baseline"/>
                <w:lang w:val="en-US" w:eastAsia="zh-CN"/>
              </w:rPr>
              <w:t>10人（视用户安排而定）。</w:t>
            </w:r>
          </w:p>
        </w:tc>
      </w:tr>
      <w:tr w14:paraId="5856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4561357E">
            <w:pPr>
              <w:spacing w:line="720" w:lineRule="auto"/>
              <w:jc w:val="center"/>
              <w:rPr>
                <w:rFonts w:ascii="宋体" w:hAnsi="宋体"/>
                <w:szCs w:val="21"/>
                <w:highlight w:val="none"/>
              </w:rPr>
            </w:pPr>
            <w:r>
              <w:rPr>
                <w:rFonts w:hint="eastAsia" w:ascii="宋体" w:hAnsi="宋体"/>
                <w:szCs w:val="21"/>
                <w:highlight w:val="none"/>
              </w:rPr>
              <w:t>六</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C958C4B">
            <w:pPr>
              <w:spacing w:line="720" w:lineRule="auto"/>
              <w:jc w:val="center"/>
              <w:rPr>
                <w:rFonts w:ascii="宋体" w:hAnsi="宋体"/>
                <w:szCs w:val="21"/>
                <w:highlight w:val="none"/>
              </w:rPr>
            </w:pPr>
            <w:r>
              <w:rPr>
                <w:rFonts w:hint="eastAsia" w:ascii="宋体" w:hAnsi="宋体"/>
                <w:szCs w:val="21"/>
                <w:highlight w:val="none"/>
              </w:rPr>
              <w:t>培训费用</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F089AF">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所有费用均包含在本次投标总报价中。</w:t>
            </w:r>
          </w:p>
        </w:tc>
      </w:tr>
      <w:tr w14:paraId="5D639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B4147C3">
            <w:pPr>
              <w:spacing w:line="720" w:lineRule="auto"/>
              <w:jc w:val="center"/>
              <w:rPr>
                <w:rFonts w:ascii="宋体" w:hAnsi="宋体"/>
                <w:szCs w:val="21"/>
                <w:highlight w:val="none"/>
              </w:rPr>
            </w:pPr>
            <w:r>
              <w:rPr>
                <w:rFonts w:hint="eastAsia" w:ascii="宋体" w:hAnsi="宋体"/>
                <w:szCs w:val="21"/>
                <w:highlight w:val="none"/>
              </w:rPr>
              <w:t>七</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246E874">
            <w:pPr>
              <w:spacing w:line="720" w:lineRule="auto"/>
              <w:jc w:val="center"/>
              <w:rPr>
                <w:rFonts w:ascii="宋体" w:hAnsi="宋体"/>
                <w:szCs w:val="21"/>
                <w:highlight w:val="none"/>
              </w:rPr>
            </w:pPr>
            <w:r>
              <w:rPr>
                <w:rFonts w:hint="eastAsia" w:ascii="宋体" w:hAnsi="宋体"/>
                <w:szCs w:val="21"/>
                <w:highlight w:val="none"/>
              </w:rPr>
              <w:t>培训地点</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D687A1">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采购人指定地点</w:t>
            </w:r>
            <w:r>
              <w:rPr>
                <w:rFonts w:hint="eastAsia" w:ascii="宋体" w:hAnsi="宋体" w:eastAsia="宋体" w:cs="宋体"/>
                <w:sz w:val="21"/>
                <w:szCs w:val="21"/>
                <w:lang w:eastAsia="zh-CN"/>
              </w:rPr>
              <w:t>。</w:t>
            </w:r>
          </w:p>
        </w:tc>
      </w:tr>
      <w:tr w14:paraId="4EDE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87C6B5A">
            <w:pPr>
              <w:spacing w:line="720" w:lineRule="auto"/>
              <w:jc w:val="center"/>
              <w:rPr>
                <w:rFonts w:ascii="宋体" w:hAnsi="宋体"/>
                <w:szCs w:val="21"/>
                <w:highlight w:val="none"/>
              </w:rPr>
            </w:pPr>
            <w:r>
              <w:rPr>
                <w:rFonts w:hint="eastAsia" w:ascii="宋体" w:hAnsi="宋体"/>
                <w:szCs w:val="21"/>
                <w:highlight w:val="none"/>
              </w:rPr>
              <w:t>八</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988D910">
            <w:pPr>
              <w:spacing w:line="720" w:lineRule="auto"/>
              <w:jc w:val="center"/>
              <w:rPr>
                <w:rFonts w:ascii="宋体" w:hAnsi="宋体"/>
                <w:szCs w:val="21"/>
                <w:highlight w:val="none"/>
              </w:rPr>
            </w:pPr>
            <w:r>
              <w:rPr>
                <w:rFonts w:hint="eastAsia" w:ascii="宋体" w:hAnsi="宋体"/>
                <w:szCs w:val="21"/>
                <w:highlight w:val="none"/>
              </w:rPr>
              <w:t>其他优惠政策</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99BE2E">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我单位提供所供产品的终身维护和保养</w:t>
            </w:r>
            <w:r>
              <w:rPr>
                <w:rFonts w:hint="eastAsia" w:ascii="宋体" w:hAnsi="宋体" w:eastAsia="宋体" w:cs="宋体"/>
                <w:sz w:val="21"/>
                <w:szCs w:val="21"/>
                <w:lang w:eastAsia="zh-CN"/>
              </w:rPr>
              <w:t>。</w:t>
            </w:r>
          </w:p>
        </w:tc>
      </w:tr>
    </w:tbl>
    <w:p w14:paraId="0CB837AA">
      <w:pPr>
        <w:adjustRightInd w:val="0"/>
        <w:snapToGrid w:val="0"/>
        <w:spacing w:line="440" w:lineRule="exact"/>
        <w:rPr>
          <w:rFonts w:ascii="宋体" w:hAnsi="宋体"/>
          <w:b/>
          <w:szCs w:val="21"/>
          <w:highlight w:val="none"/>
        </w:rPr>
      </w:pPr>
    </w:p>
    <w:p w14:paraId="68588AE1">
      <w:pPr>
        <w:spacing w:line="360" w:lineRule="auto"/>
        <w:rPr>
          <w:rFonts w:ascii="宋体" w:hAnsi="宋体"/>
          <w:b/>
          <w:szCs w:val="21"/>
          <w:highlight w:val="none"/>
        </w:rPr>
      </w:pPr>
      <w:r>
        <w:rPr>
          <w:rFonts w:hint="eastAsia" w:ascii="宋体" w:hAnsi="宋体"/>
          <w:b/>
          <w:szCs w:val="21"/>
          <w:highlight w:val="none"/>
        </w:rPr>
        <w:t>承诺公司签字（盖章）：</w:t>
      </w:r>
    </w:p>
    <w:p w14:paraId="3F374825">
      <w:pPr>
        <w:spacing w:line="360" w:lineRule="auto"/>
        <w:rPr>
          <w:rFonts w:ascii="宋体" w:hAnsi="宋体"/>
          <w:b/>
          <w:szCs w:val="21"/>
          <w:highlight w:val="none"/>
        </w:rPr>
      </w:pPr>
      <w:r>
        <w:rPr>
          <w:rFonts w:hint="eastAsia" w:ascii="宋体" w:hAnsi="宋体"/>
          <w:b/>
          <w:szCs w:val="21"/>
          <w:highlight w:val="none"/>
        </w:rPr>
        <w:t>联系人：</w:t>
      </w:r>
      <w:r>
        <w:rPr>
          <w:rFonts w:hint="eastAsia" w:ascii="宋体" w:hAnsi="宋体" w:eastAsia="宋体" w:cs="宋体"/>
          <w:b/>
          <w:sz w:val="21"/>
          <w:szCs w:val="21"/>
          <w:lang w:val="en-US" w:eastAsia="zh-CN"/>
        </w:rPr>
        <w:t>彭晶</w:t>
      </w:r>
    </w:p>
    <w:p w14:paraId="4BD8D9D6">
      <w:pPr>
        <w:spacing w:line="360" w:lineRule="auto"/>
        <w:rPr>
          <w:rFonts w:ascii="宋体" w:hAnsi="宋体"/>
          <w:b/>
          <w:szCs w:val="21"/>
          <w:highlight w:val="none"/>
        </w:rPr>
      </w:pPr>
      <w:r>
        <w:rPr>
          <w:rFonts w:hint="eastAsia" w:ascii="宋体" w:hAnsi="宋体"/>
          <w:b/>
          <w:szCs w:val="21"/>
          <w:highlight w:val="none"/>
        </w:rPr>
        <w:t>联系电话：</w:t>
      </w:r>
      <w:r>
        <w:rPr>
          <w:rFonts w:hint="eastAsia" w:ascii="宋体" w:hAnsi="宋体" w:eastAsia="宋体" w:cs="宋体"/>
          <w:b/>
          <w:sz w:val="21"/>
          <w:szCs w:val="21"/>
          <w:lang w:val="en-US" w:eastAsia="zh-CN"/>
        </w:rPr>
        <w:t>15290883986</w:t>
      </w:r>
    </w:p>
    <w:p w14:paraId="5AD784AE">
      <w:pPr>
        <w:spacing w:line="360" w:lineRule="auto"/>
        <w:rPr>
          <w:rFonts w:ascii="宋体" w:hAnsi="宋体"/>
          <w:b/>
          <w:szCs w:val="21"/>
          <w:highlight w:val="none"/>
        </w:rPr>
      </w:pPr>
      <w:r>
        <w:rPr>
          <w:rFonts w:hint="eastAsia" w:ascii="宋体" w:hAnsi="宋体"/>
          <w:b/>
          <w:szCs w:val="21"/>
          <w:highlight w:val="none"/>
        </w:rPr>
        <w:t>维修服务热线：</w:t>
      </w:r>
      <w:r>
        <w:rPr>
          <w:rFonts w:hint="eastAsia" w:ascii="宋体" w:hAnsi="宋体" w:eastAsia="宋体" w:cs="宋体"/>
          <w:b/>
          <w:sz w:val="21"/>
          <w:szCs w:val="21"/>
          <w:lang w:val="en-US" w:eastAsia="zh-CN"/>
        </w:rPr>
        <w:t>15290883986</w:t>
      </w:r>
    </w:p>
    <w:p w14:paraId="1EA3684C">
      <w:pPr>
        <w:spacing w:line="240" w:lineRule="auto"/>
        <w:rPr>
          <w:rFonts w:ascii="宋体" w:hAnsi="宋体"/>
          <w:b/>
          <w:sz w:val="24"/>
          <w:szCs w:val="24"/>
          <w:highlight w:val="none"/>
        </w:rPr>
      </w:pPr>
    </w:p>
    <w:p w14:paraId="386F0A0D">
      <w:pPr>
        <w:rPr>
          <w:rFonts w:hint="eastAsia" w:ascii="宋体" w:hAnsi="宋体"/>
          <w:b/>
          <w:szCs w:val="21"/>
          <w:highlight w:val="none"/>
        </w:rPr>
      </w:pPr>
      <w:r>
        <w:rPr>
          <w:rFonts w:hint="eastAsia" w:ascii="宋体" w:hAnsi="宋体"/>
          <w:b/>
          <w:szCs w:val="21"/>
          <w:highlight w:val="none"/>
        </w:rPr>
        <w:br w:type="page"/>
      </w:r>
    </w:p>
    <w:p w14:paraId="169CE8C2">
      <w:pPr>
        <w:spacing w:line="360" w:lineRule="auto"/>
        <w:rPr>
          <w:rFonts w:ascii="宋体" w:hAnsi="宋体"/>
          <w:b/>
          <w:szCs w:val="21"/>
          <w:highlight w:val="none"/>
        </w:rPr>
      </w:pPr>
      <w:r>
        <w:rPr>
          <w:rFonts w:hint="eastAsia" w:ascii="宋体" w:hAnsi="宋体"/>
          <w:b/>
          <w:szCs w:val="21"/>
          <w:highlight w:val="none"/>
        </w:rPr>
        <w:t>附件7：              高效液相色谱仪制造商售后其它服务承诺</w:t>
      </w:r>
    </w:p>
    <w:p w14:paraId="56C64624">
      <w:pPr>
        <w:spacing w:line="360" w:lineRule="auto"/>
        <w:jc w:val="center"/>
        <w:rPr>
          <w:rFonts w:ascii="宋体" w:hAnsi="宋体"/>
          <w:b/>
          <w:szCs w:val="21"/>
          <w:highlight w:val="none"/>
        </w:rPr>
      </w:pPr>
      <w:r>
        <w:rPr>
          <w:rFonts w:hint="eastAsia" w:ascii="宋体" w:hAnsi="宋体" w:eastAsia="宋体" w:cs="宋体"/>
          <w:lang w:val="en-US" w:eastAsia="zh-CN"/>
        </w:rPr>
        <w:drawing>
          <wp:inline distT="0" distB="0" distL="114300" distR="114300">
            <wp:extent cx="5507355" cy="7146290"/>
            <wp:effectExtent l="0" t="0" r="17145" b="16510"/>
            <wp:docPr id="4" name="图片 3" descr="沃特世售后及技术证明文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沃特世售后及技术证明文件_00"/>
                    <pic:cNvPicPr>
                      <a:picLocks noChangeAspect="1"/>
                    </pic:cNvPicPr>
                  </pic:nvPicPr>
                  <pic:blipFill>
                    <a:blip r:embed="rId10"/>
                    <a:srcRect l="4697" t="6107" r="5666" b="11276"/>
                    <a:stretch>
                      <a:fillRect/>
                    </a:stretch>
                  </pic:blipFill>
                  <pic:spPr>
                    <a:xfrm>
                      <a:off x="0" y="0"/>
                      <a:ext cx="5507355" cy="7146290"/>
                    </a:xfrm>
                    <a:prstGeom prst="rect">
                      <a:avLst/>
                    </a:prstGeom>
                    <a:noFill/>
                    <a:ln>
                      <a:noFill/>
                    </a:ln>
                  </pic:spPr>
                </pic:pic>
              </a:graphicData>
            </a:graphic>
          </wp:inline>
        </w:drawing>
      </w:r>
    </w:p>
    <w:p w14:paraId="1054CCA2">
      <w:pPr>
        <w:spacing w:line="360" w:lineRule="auto"/>
        <w:rPr>
          <w:rFonts w:ascii="宋体" w:hAnsi="宋体"/>
          <w:b/>
          <w:szCs w:val="21"/>
          <w:highlight w:val="none"/>
        </w:rPr>
      </w:pPr>
    </w:p>
    <w:p w14:paraId="059D690F">
      <w:pPr>
        <w:rPr>
          <w:rFonts w:ascii="宋体" w:hAnsi="宋体"/>
          <w:b/>
          <w:szCs w:val="21"/>
          <w:highlight w:val="none"/>
        </w:rPr>
      </w:pPr>
      <w:r>
        <w:rPr>
          <w:rFonts w:ascii="宋体" w:hAnsi="宋体"/>
          <w:b/>
          <w:szCs w:val="21"/>
          <w:highlight w:val="none"/>
        </w:rPr>
        <w:br w:type="page"/>
      </w:r>
    </w:p>
    <w:p w14:paraId="25291651">
      <w:pPr>
        <w:pStyle w:val="2"/>
      </w:pPr>
    </w:p>
    <w:p w14:paraId="2F899794">
      <w:pPr>
        <w:spacing w:line="360" w:lineRule="auto"/>
        <w:rPr>
          <w:rFonts w:ascii="宋体" w:hAnsi="宋体"/>
          <w:b/>
          <w:szCs w:val="21"/>
          <w:highlight w:val="none"/>
        </w:rPr>
      </w:pPr>
      <w:r>
        <w:rPr>
          <w:rFonts w:hint="eastAsia" w:ascii="宋体" w:hAnsi="宋体" w:eastAsia="宋体" w:cs="宋体"/>
          <w:lang w:val="en-US" w:eastAsia="zh-CN"/>
        </w:rPr>
        <w:drawing>
          <wp:inline distT="0" distB="0" distL="114300" distR="114300">
            <wp:extent cx="5499100" cy="7454265"/>
            <wp:effectExtent l="0" t="0" r="6350" b="13335"/>
            <wp:docPr id="5" name="图片 4" descr="沃特世售后及技术证明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沃特世售后及技术证明文件_01"/>
                    <pic:cNvPicPr>
                      <a:picLocks noChangeAspect="1"/>
                    </pic:cNvPicPr>
                  </pic:nvPicPr>
                  <pic:blipFill>
                    <a:blip r:embed="rId11"/>
                    <a:srcRect l="5171" t="8324" r="12502" b="12408"/>
                    <a:stretch>
                      <a:fillRect/>
                    </a:stretch>
                  </pic:blipFill>
                  <pic:spPr>
                    <a:xfrm>
                      <a:off x="0" y="0"/>
                      <a:ext cx="5499100" cy="7454265"/>
                    </a:xfrm>
                    <a:prstGeom prst="rect">
                      <a:avLst/>
                    </a:prstGeom>
                    <a:noFill/>
                    <a:ln>
                      <a:noFill/>
                    </a:ln>
                  </pic:spPr>
                </pic:pic>
              </a:graphicData>
            </a:graphic>
          </wp:inline>
        </w:drawing>
      </w:r>
    </w:p>
    <w:p w14:paraId="340E4E33">
      <w:pPr>
        <w:rPr>
          <w:rFonts w:ascii="宋体" w:hAnsi="宋体"/>
          <w:b/>
          <w:szCs w:val="21"/>
          <w:highlight w:val="none"/>
        </w:rPr>
      </w:pPr>
      <w:r>
        <w:rPr>
          <w:rFonts w:ascii="宋体" w:hAnsi="宋体"/>
          <w:b/>
          <w:szCs w:val="21"/>
          <w:highlight w:val="none"/>
        </w:rPr>
        <w:br w:type="page"/>
      </w:r>
    </w:p>
    <w:p w14:paraId="2261805C">
      <w:pPr>
        <w:pStyle w:val="2"/>
      </w:pPr>
    </w:p>
    <w:p w14:paraId="77FE4A43">
      <w:pPr>
        <w:pStyle w:val="2"/>
      </w:pPr>
      <w:r>
        <w:rPr>
          <w:rFonts w:hint="eastAsia" w:ascii="宋体" w:hAnsi="宋体" w:eastAsia="宋体" w:cs="宋体"/>
          <w:lang w:val="en-US" w:eastAsia="zh-CN"/>
        </w:rPr>
        <w:drawing>
          <wp:inline distT="0" distB="0" distL="114300" distR="114300">
            <wp:extent cx="5516880" cy="8019415"/>
            <wp:effectExtent l="0" t="0" r="7620" b="635"/>
            <wp:docPr id="6" name="图片 5" descr="沃特世售后及技术证明文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沃特世售后及技术证明文件_02"/>
                    <pic:cNvPicPr>
                      <a:picLocks noChangeAspect="1"/>
                    </pic:cNvPicPr>
                  </pic:nvPicPr>
                  <pic:blipFill>
                    <a:blip r:embed="rId12"/>
                    <a:srcRect l="3966" t="7648" r="10091" b="3613"/>
                    <a:stretch>
                      <a:fillRect/>
                    </a:stretch>
                  </pic:blipFill>
                  <pic:spPr>
                    <a:xfrm>
                      <a:off x="0" y="0"/>
                      <a:ext cx="5516880" cy="8019415"/>
                    </a:xfrm>
                    <a:prstGeom prst="rect">
                      <a:avLst/>
                    </a:prstGeom>
                    <a:noFill/>
                    <a:ln>
                      <a:noFill/>
                    </a:ln>
                  </pic:spPr>
                </pic:pic>
              </a:graphicData>
            </a:graphic>
          </wp:inline>
        </w:drawing>
      </w:r>
    </w:p>
    <w:p w14:paraId="0BA33560">
      <w:r>
        <w:br w:type="page"/>
      </w:r>
    </w:p>
    <w:p w14:paraId="11C94E5F">
      <w:pPr>
        <w:pStyle w:val="2"/>
      </w:pPr>
    </w:p>
    <w:p w14:paraId="57BB3C8B">
      <w:pPr>
        <w:pStyle w:val="2"/>
      </w:pPr>
      <w:r>
        <w:rPr>
          <w:rFonts w:hint="eastAsia" w:ascii="宋体" w:hAnsi="宋体" w:eastAsia="宋体" w:cs="宋体"/>
          <w:lang w:val="en-US" w:eastAsia="zh-CN"/>
        </w:rPr>
        <w:drawing>
          <wp:inline distT="0" distB="0" distL="114300" distR="114300">
            <wp:extent cx="5500370" cy="8110855"/>
            <wp:effectExtent l="0" t="0" r="5080" b="4445"/>
            <wp:docPr id="7" name="图片 6" descr="沃特世售后及技术证明文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沃特世售后及技术证明文件_03"/>
                    <pic:cNvPicPr>
                      <a:picLocks noChangeAspect="1"/>
                    </pic:cNvPicPr>
                  </pic:nvPicPr>
                  <pic:blipFill>
                    <a:blip r:embed="rId13"/>
                    <a:srcRect l="4774" t="6834" r="10283" b="4196"/>
                    <a:stretch>
                      <a:fillRect/>
                    </a:stretch>
                  </pic:blipFill>
                  <pic:spPr>
                    <a:xfrm>
                      <a:off x="0" y="0"/>
                      <a:ext cx="5500370" cy="8110855"/>
                    </a:xfrm>
                    <a:prstGeom prst="rect">
                      <a:avLst/>
                    </a:prstGeom>
                    <a:noFill/>
                    <a:ln>
                      <a:noFill/>
                    </a:ln>
                  </pic:spPr>
                </pic:pic>
              </a:graphicData>
            </a:graphic>
          </wp:inline>
        </w:drawing>
      </w:r>
    </w:p>
    <w:p w14:paraId="6603B9E2">
      <w:r>
        <w:br w:type="page"/>
      </w:r>
    </w:p>
    <w:p w14:paraId="5A0A73F6">
      <w:pPr>
        <w:pStyle w:val="2"/>
      </w:pPr>
    </w:p>
    <w:p w14:paraId="35A30619">
      <w:pPr>
        <w:pStyle w:val="2"/>
        <w:jc w:val="center"/>
      </w:pPr>
      <w:r>
        <w:rPr>
          <w:rFonts w:hint="eastAsia" w:ascii="宋体" w:hAnsi="宋体" w:eastAsia="宋体" w:cs="宋体"/>
          <w:lang w:val="en-US" w:eastAsia="zh-CN"/>
        </w:rPr>
        <w:drawing>
          <wp:inline distT="0" distB="0" distL="114300" distR="114300">
            <wp:extent cx="5463540" cy="7832090"/>
            <wp:effectExtent l="0" t="0" r="3810" b="16510"/>
            <wp:docPr id="8" name="图片 7" descr="沃特世售后及技术证明文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沃特世售后及技术证明文件_04"/>
                    <pic:cNvPicPr>
                      <a:picLocks noChangeAspect="1"/>
                    </pic:cNvPicPr>
                  </pic:nvPicPr>
                  <pic:blipFill>
                    <a:blip r:embed="rId14"/>
                    <a:srcRect l="3151" t="7280" r="9680" b="3957"/>
                    <a:stretch>
                      <a:fillRect/>
                    </a:stretch>
                  </pic:blipFill>
                  <pic:spPr>
                    <a:xfrm>
                      <a:off x="0" y="0"/>
                      <a:ext cx="5463540" cy="7832090"/>
                    </a:xfrm>
                    <a:prstGeom prst="rect">
                      <a:avLst/>
                    </a:prstGeom>
                    <a:noFill/>
                    <a:ln>
                      <a:noFill/>
                    </a:ln>
                  </pic:spPr>
                </pic:pic>
              </a:graphicData>
            </a:graphic>
          </wp:inline>
        </w:drawing>
      </w:r>
    </w:p>
    <w:p w14:paraId="16BD1E55">
      <w:r>
        <w:br w:type="page"/>
      </w:r>
    </w:p>
    <w:p w14:paraId="709182CB">
      <w:pPr>
        <w:pStyle w:val="2"/>
      </w:pPr>
    </w:p>
    <w:p w14:paraId="1BC3026E">
      <w:pPr>
        <w:pStyle w:val="2"/>
        <w:jc w:val="center"/>
      </w:pPr>
      <w:r>
        <w:rPr>
          <w:rFonts w:hint="eastAsia" w:ascii="宋体" w:hAnsi="宋体" w:eastAsia="宋体" w:cs="宋体"/>
          <w:lang w:val="en-US" w:eastAsia="zh-CN"/>
        </w:rPr>
        <w:drawing>
          <wp:inline distT="0" distB="0" distL="114300" distR="114300">
            <wp:extent cx="5467985" cy="7366000"/>
            <wp:effectExtent l="0" t="0" r="18415" b="6350"/>
            <wp:docPr id="9" name="图片 8" descr="沃特世售后及技术证明文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沃特世售后及技术证明文件_05"/>
                    <pic:cNvPicPr>
                      <a:picLocks noChangeAspect="1"/>
                    </pic:cNvPicPr>
                  </pic:nvPicPr>
                  <pic:blipFill>
                    <a:blip r:embed="rId15"/>
                    <a:srcRect l="1158" t="7167" r="6007" b="11980"/>
                    <a:stretch>
                      <a:fillRect/>
                    </a:stretch>
                  </pic:blipFill>
                  <pic:spPr>
                    <a:xfrm>
                      <a:off x="0" y="0"/>
                      <a:ext cx="5467985" cy="7366000"/>
                    </a:xfrm>
                    <a:prstGeom prst="rect">
                      <a:avLst/>
                    </a:prstGeom>
                    <a:noFill/>
                    <a:ln>
                      <a:noFill/>
                    </a:ln>
                  </pic:spPr>
                </pic:pic>
              </a:graphicData>
            </a:graphic>
          </wp:inline>
        </w:drawing>
      </w:r>
    </w:p>
    <w:p w14:paraId="7D6599CD">
      <w:pPr>
        <w:spacing w:line="360" w:lineRule="auto"/>
        <w:rPr>
          <w:rFonts w:ascii="宋体" w:hAnsi="宋体"/>
          <w:b/>
          <w:color w:val="FF0000"/>
          <w:szCs w:val="21"/>
          <w:highlight w:val="none"/>
        </w:rPr>
      </w:pPr>
    </w:p>
    <w:p w14:paraId="783FFCEA"/>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DB2BB">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FA23E">
                          <w:pPr>
                            <w:pStyle w:val="1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87FA23E">
                    <w:pPr>
                      <w:pStyle w:val="1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22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CE936"/>
    <w:multiLevelType w:val="multilevel"/>
    <w:tmpl w:val="86FCE936"/>
    <w:lvl w:ilvl="0" w:tentative="0">
      <w:start w:val="1"/>
      <w:numFmt w:val="decimal"/>
      <w:suff w:val="space"/>
      <w:lvlText w:val="%1."/>
      <w:lvlJc w:val="left"/>
      <w:pPr>
        <w:ind w:left="425" w:hanging="425"/>
      </w:pPr>
      <w:rPr>
        <w:rFonts w:hint="eastAsia" w:ascii="宋体" w:hAnsi="宋体" w:eastAsia="宋体"/>
        <w:sz w:val="32"/>
      </w:rPr>
    </w:lvl>
    <w:lvl w:ilvl="1" w:tentative="0">
      <w:start w:val="1"/>
      <w:numFmt w:val="decimal"/>
      <w:lvlText w:val="%1.%2"/>
      <w:lvlJc w:val="left"/>
      <w:pPr>
        <w:ind w:left="3261" w:hanging="567"/>
      </w:pPr>
      <w:rPr>
        <w:rFonts w:hint="eastAsia" w:ascii="宋体" w:hAnsi="宋体" w:eastAsia="宋体"/>
      </w:rPr>
    </w:lvl>
    <w:lvl w:ilvl="2" w:tentative="0">
      <w:start w:val="1"/>
      <w:numFmt w:val="decimal"/>
      <w:isLgl/>
      <w:lvlText w:val="%1.%2.%3"/>
      <w:lvlJc w:val="left"/>
      <w:pPr>
        <w:ind w:left="1418" w:hanging="567"/>
      </w:pPr>
      <w:rPr>
        <w:rFonts w:hint="eastAsia" w:ascii="宋体" w:hAnsi="宋体" w:eastAsia="宋体"/>
      </w:rPr>
    </w:lvl>
    <w:lvl w:ilvl="3" w:tentative="0">
      <w:start w:val="1"/>
      <w:numFmt w:val="decimal"/>
      <w:isLgl/>
      <w:lvlText w:val="%1.%2.%3.%4"/>
      <w:lvlJc w:val="left"/>
      <w:pPr>
        <w:ind w:left="1984" w:hanging="708"/>
      </w:pPr>
      <w:rPr>
        <w:rFonts w:hint="eastAsia"/>
      </w:rPr>
    </w:lvl>
    <w:lvl w:ilvl="4" w:tentative="0">
      <w:start w:val="1"/>
      <w:numFmt w:val="decimal"/>
      <w:pStyle w:val="8"/>
      <w:isLgl/>
      <w:lvlText w:val="%1.%2.%3.%4.%5"/>
      <w:lvlJc w:val="left"/>
      <w:pPr>
        <w:ind w:left="2551" w:hanging="850"/>
      </w:pPr>
      <w:rPr>
        <w:rFonts w:hint="eastAsia"/>
      </w:rPr>
    </w:lvl>
    <w:lvl w:ilvl="5" w:tentative="0">
      <w:start w:val="1"/>
      <w:numFmt w:val="decimal"/>
      <w:pStyle w:val="9"/>
      <w:isLg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613FA4"/>
    <w:rsid w:val="005F44CC"/>
    <w:rsid w:val="00F431B9"/>
    <w:rsid w:val="010E208D"/>
    <w:rsid w:val="03625D69"/>
    <w:rsid w:val="03A13A21"/>
    <w:rsid w:val="03CB2EED"/>
    <w:rsid w:val="044F4A11"/>
    <w:rsid w:val="046D2BA0"/>
    <w:rsid w:val="05052CB7"/>
    <w:rsid w:val="05CE40D8"/>
    <w:rsid w:val="06091890"/>
    <w:rsid w:val="07ED2985"/>
    <w:rsid w:val="08560309"/>
    <w:rsid w:val="0B6404D7"/>
    <w:rsid w:val="0B73233A"/>
    <w:rsid w:val="0B9648B7"/>
    <w:rsid w:val="0BA7412C"/>
    <w:rsid w:val="0BC32105"/>
    <w:rsid w:val="0BD936D7"/>
    <w:rsid w:val="0C6A19BE"/>
    <w:rsid w:val="0F6E644E"/>
    <w:rsid w:val="1086496D"/>
    <w:rsid w:val="10B868C0"/>
    <w:rsid w:val="117512AE"/>
    <w:rsid w:val="138E21AA"/>
    <w:rsid w:val="13E24F3E"/>
    <w:rsid w:val="155D6D0C"/>
    <w:rsid w:val="1607243D"/>
    <w:rsid w:val="181F6915"/>
    <w:rsid w:val="19281857"/>
    <w:rsid w:val="1B110D07"/>
    <w:rsid w:val="1BF64EA5"/>
    <w:rsid w:val="1CBB7970"/>
    <w:rsid w:val="1EC42C8E"/>
    <w:rsid w:val="1F4D63E2"/>
    <w:rsid w:val="1F744151"/>
    <w:rsid w:val="1F7E71F6"/>
    <w:rsid w:val="1FC82B9D"/>
    <w:rsid w:val="210D6219"/>
    <w:rsid w:val="219D6234"/>
    <w:rsid w:val="21A32365"/>
    <w:rsid w:val="21C555F1"/>
    <w:rsid w:val="221A7F66"/>
    <w:rsid w:val="22C40D79"/>
    <w:rsid w:val="23C10E7F"/>
    <w:rsid w:val="2574793C"/>
    <w:rsid w:val="25CD39E7"/>
    <w:rsid w:val="266B71CA"/>
    <w:rsid w:val="26BE651E"/>
    <w:rsid w:val="26C81325"/>
    <w:rsid w:val="26DB77E6"/>
    <w:rsid w:val="26DE2D96"/>
    <w:rsid w:val="290B6FC0"/>
    <w:rsid w:val="2AA75E47"/>
    <w:rsid w:val="2B065713"/>
    <w:rsid w:val="2B5E72FD"/>
    <w:rsid w:val="2B7F66C5"/>
    <w:rsid w:val="2C4F21A4"/>
    <w:rsid w:val="2DCD224F"/>
    <w:rsid w:val="2DE4177C"/>
    <w:rsid w:val="2E55535A"/>
    <w:rsid w:val="30291A13"/>
    <w:rsid w:val="30464145"/>
    <w:rsid w:val="32C51386"/>
    <w:rsid w:val="331A2444"/>
    <w:rsid w:val="33335E20"/>
    <w:rsid w:val="34BA6825"/>
    <w:rsid w:val="373830F8"/>
    <w:rsid w:val="37CE4634"/>
    <w:rsid w:val="381579F8"/>
    <w:rsid w:val="39212B64"/>
    <w:rsid w:val="39500B8C"/>
    <w:rsid w:val="3A045513"/>
    <w:rsid w:val="3A572E98"/>
    <w:rsid w:val="3AC90F18"/>
    <w:rsid w:val="3B5A530A"/>
    <w:rsid w:val="3BA26B7E"/>
    <w:rsid w:val="3C322BF3"/>
    <w:rsid w:val="3C7659F4"/>
    <w:rsid w:val="3D1D110B"/>
    <w:rsid w:val="3D6E460A"/>
    <w:rsid w:val="3DFB13A9"/>
    <w:rsid w:val="3E0E5FDB"/>
    <w:rsid w:val="3F8631CE"/>
    <w:rsid w:val="42E36726"/>
    <w:rsid w:val="454B0319"/>
    <w:rsid w:val="460D47A6"/>
    <w:rsid w:val="475F67C2"/>
    <w:rsid w:val="4980469A"/>
    <w:rsid w:val="49FE7627"/>
    <w:rsid w:val="4B5F3196"/>
    <w:rsid w:val="4CB956E8"/>
    <w:rsid w:val="4D2B6F16"/>
    <w:rsid w:val="4DE2744D"/>
    <w:rsid w:val="4F802895"/>
    <w:rsid w:val="50B272C7"/>
    <w:rsid w:val="5145194F"/>
    <w:rsid w:val="515728A5"/>
    <w:rsid w:val="5167665C"/>
    <w:rsid w:val="52AA4C92"/>
    <w:rsid w:val="54377C9A"/>
    <w:rsid w:val="54D95CCC"/>
    <w:rsid w:val="584D0684"/>
    <w:rsid w:val="5C0E00AC"/>
    <w:rsid w:val="5C576822"/>
    <w:rsid w:val="5DD76F9A"/>
    <w:rsid w:val="5E2C4A49"/>
    <w:rsid w:val="60613FA4"/>
    <w:rsid w:val="609C5D83"/>
    <w:rsid w:val="62296862"/>
    <w:rsid w:val="62B155DA"/>
    <w:rsid w:val="64E5537B"/>
    <w:rsid w:val="65652494"/>
    <w:rsid w:val="691136AF"/>
    <w:rsid w:val="69FD43AF"/>
    <w:rsid w:val="6A5D3174"/>
    <w:rsid w:val="6A72749C"/>
    <w:rsid w:val="6C596212"/>
    <w:rsid w:val="6CD402AD"/>
    <w:rsid w:val="6E0856A4"/>
    <w:rsid w:val="6F454464"/>
    <w:rsid w:val="6F8C1DC9"/>
    <w:rsid w:val="70B462F1"/>
    <w:rsid w:val="70FD431D"/>
    <w:rsid w:val="71070572"/>
    <w:rsid w:val="7152223F"/>
    <w:rsid w:val="7194666D"/>
    <w:rsid w:val="72AE12E3"/>
    <w:rsid w:val="73E15177"/>
    <w:rsid w:val="74F4133D"/>
    <w:rsid w:val="78F53CDE"/>
    <w:rsid w:val="78F9457F"/>
    <w:rsid w:val="7B867B78"/>
    <w:rsid w:val="7B9A0CC1"/>
    <w:rsid w:val="7BED7B28"/>
    <w:rsid w:val="7C69597B"/>
    <w:rsid w:val="7CF82A98"/>
    <w:rsid w:val="7D372D01"/>
    <w:rsid w:val="7DCE1330"/>
    <w:rsid w:val="7ED03198"/>
    <w:rsid w:val="7F1A5EF0"/>
    <w:rsid w:val="7F752532"/>
    <w:rsid w:val="7FEF7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17"/>
    <w:qFormat/>
    <w:uiPriority w:val="0"/>
    <w:pPr>
      <w:keepNext/>
      <w:keepLines/>
      <w:spacing w:before="120" w:after="120" w:line="240" w:lineRule="auto"/>
      <w:jc w:val="center"/>
      <w:outlineLvl w:val="0"/>
    </w:pPr>
    <w:rPr>
      <w:rFonts w:ascii="楷体" w:hAnsi="楷体" w:eastAsia="宋体"/>
      <w:b/>
      <w:bCs/>
      <w:kern w:val="44"/>
      <w:sz w:val="44"/>
      <w:szCs w:val="44"/>
    </w:rPr>
  </w:style>
  <w:style w:type="paragraph" w:styleId="5">
    <w:name w:val="heading 2"/>
    <w:basedOn w:val="1"/>
    <w:next w:val="1"/>
    <w:link w:val="18"/>
    <w:semiHidden/>
    <w:unhideWhenUsed/>
    <w:qFormat/>
    <w:uiPriority w:val="0"/>
    <w:pPr>
      <w:keepNext/>
      <w:keepLines/>
      <w:spacing w:before="120" w:after="120" w:line="240" w:lineRule="auto"/>
      <w:ind w:firstLine="0" w:firstLineChars="0"/>
      <w:jc w:val="center"/>
      <w:outlineLvl w:val="1"/>
    </w:pPr>
    <w:rPr>
      <w:rFonts w:ascii="楷体" w:hAnsi="楷体" w:eastAsia="宋体"/>
      <w:b/>
      <w:bCs/>
      <w:sz w:val="32"/>
      <w:szCs w:val="32"/>
    </w:rPr>
  </w:style>
  <w:style w:type="paragraph" w:styleId="6">
    <w:name w:val="heading 3"/>
    <w:basedOn w:val="1"/>
    <w:next w:val="1"/>
    <w:link w:val="19"/>
    <w:autoRedefine/>
    <w:semiHidden/>
    <w:unhideWhenUsed/>
    <w:qFormat/>
    <w:uiPriority w:val="0"/>
    <w:pPr>
      <w:keepNext/>
      <w:keepLines/>
      <w:spacing w:before="120" w:after="120" w:line="240" w:lineRule="auto"/>
      <w:jc w:val="center"/>
      <w:outlineLvl w:val="2"/>
    </w:pPr>
    <w:rPr>
      <w:rFonts w:ascii="楷体" w:hAnsi="楷体" w:eastAsia="宋体" w:cstheme="minorBidi"/>
      <w:b/>
      <w:sz w:val="28"/>
    </w:rPr>
  </w:style>
  <w:style w:type="paragraph" w:styleId="7">
    <w:name w:val="heading 4"/>
    <w:basedOn w:val="1"/>
    <w:next w:val="1"/>
    <w:semiHidden/>
    <w:unhideWhenUsed/>
    <w:qFormat/>
    <w:uiPriority w:val="0"/>
    <w:pPr>
      <w:keepNext/>
      <w:keepLines/>
      <w:spacing w:before="240" w:beforeLines="0" w:beforeAutospacing="0" w:after="240" w:afterLines="0" w:afterAutospacing="0" w:line="240" w:lineRule="auto"/>
      <w:ind w:left="0" w:firstLine="0"/>
      <w:jc w:val="center"/>
      <w:outlineLvl w:val="3"/>
    </w:pPr>
    <w:rPr>
      <w:rFonts w:ascii="宋体" w:hAnsi="宋体" w:eastAsia="宋体" w:cs="Times New Roman"/>
      <w:b/>
      <w:sz w:val="24"/>
      <w:szCs w:val="32"/>
    </w:rPr>
  </w:style>
  <w:style w:type="paragraph" w:styleId="8">
    <w:name w:val="heading 5"/>
    <w:basedOn w:val="1"/>
    <w:next w:val="1"/>
    <w:autoRedefine/>
    <w:semiHidden/>
    <w:unhideWhenUsed/>
    <w:qFormat/>
    <w:uiPriority w:val="0"/>
    <w:pPr>
      <w:keepNext/>
      <w:keepLines/>
      <w:numPr>
        <w:ilvl w:val="4"/>
        <w:numId w:val="1"/>
      </w:numPr>
      <w:spacing w:before="280" w:beforeLines="0" w:beforeAutospacing="0" w:after="290" w:afterLines="0" w:afterAutospacing="0" w:line="372" w:lineRule="auto"/>
      <w:ind w:left="2551" w:hanging="850"/>
      <w:outlineLvl w:val="4"/>
    </w:pPr>
    <w:rPr>
      <w:b/>
      <w:sz w:val="28"/>
    </w:rPr>
  </w:style>
  <w:style w:type="paragraph" w:styleId="9">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3260" w:hanging="1134"/>
      <w:outlineLvl w:val="5"/>
    </w:pPr>
    <w:rPr>
      <w:rFonts w:ascii="Arial" w:hAnsi="Arial" w:eastAsia="黑体"/>
      <w:b/>
      <w:sz w:val="24"/>
    </w:rPr>
  </w:style>
  <w:style w:type="character" w:default="1" w:styleId="16">
    <w:name w:val="Default Paragraph Font"/>
    <w:semiHidden/>
    <w:unhideWhenUsed/>
    <w:qFormat/>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left="0" w:leftChars="0" w:firstLine="0" w:firstLineChars="0"/>
    </w:pPr>
    <w:rPr>
      <w:rFonts w:ascii="宋体" w:hAnsi="宋体" w:eastAsia="宋体"/>
    </w:rPr>
  </w:style>
  <w:style w:type="paragraph" w:styleId="3">
    <w:name w:val="Body Text Indent"/>
    <w:basedOn w:val="1"/>
    <w:qFormat/>
    <w:uiPriority w:val="0"/>
    <w:pPr>
      <w:spacing w:afterLines="0" w:afterAutospacing="0" w:line="360" w:lineRule="auto"/>
      <w:ind w:left="0" w:leftChars="0" w:firstLine="480" w:firstLineChars="200"/>
    </w:pPr>
    <w:rPr>
      <w:rFonts w:ascii="宋体" w:hAnsi="宋体" w:eastAsia="宋体"/>
    </w:rPr>
  </w:style>
  <w:style w:type="paragraph" w:styleId="10">
    <w:name w:val="Normal Indent"/>
    <w:basedOn w:val="1"/>
    <w:qFormat/>
    <w:uiPriority w:val="0"/>
    <w:pPr>
      <w:ind w:firstLine="420" w:firstLineChars="200"/>
    </w:pPr>
  </w:style>
  <w:style w:type="paragraph" w:styleId="11">
    <w:name w:val="Body Text"/>
    <w:basedOn w:val="1"/>
    <w:autoRedefine/>
    <w:qFormat/>
    <w:uiPriority w:val="0"/>
    <w:pPr>
      <w:spacing w:after="120" w:afterLines="0" w:afterAutospacing="0"/>
    </w:pPr>
  </w:style>
  <w:style w:type="paragraph" w:styleId="12">
    <w:name w:val="footer"/>
    <w:basedOn w:val="1"/>
    <w:qFormat/>
    <w:uiPriority w:val="0"/>
    <w:pPr>
      <w:tabs>
        <w:tab w:val="center" w:pos="4153"/>
        <w:tab w:val="right" w:pos="8306"/>
      </w:tabs>
      <w:snapToGrid w:val="0"/>
      <w:jc w:val="left"/>
    </w:pPr>
    <w:rPr>
      <w:rFonts w:eastAsia="Times New Roman"/>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360" w:lineRule="auto"/>
      <w:jc w:val="left"/>
      <w:outlineLvl w:val="9"/>
    </w:pPr>
    <w:rPr>
      <w:rFonts w:ascii="Times New Roman" w:hAnsi="Times New Roman" w:eastAsia="宋体" w:cs="Times New Roman"/>
      <w:b/>
      <w:sz w:val="21"/>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标题 1 Char"/>
    <w:basedOn w:val="16"/>
    <w:link w:val="4"/>
    <w:autoRedefine/>
    <w:qFormat/>
    <w:uiPriority w:val="0"/>
    <w:rPr>
      <w:rFonts w:ascii="楷体" w:hAnsi="楷体" w:eastAsia="宋体" w:cs="Times New Roman"/>
      <w:b/>
      <w:bCs/>
      <w:kern w:val="44"/>
      <w:sz w:val="44"/>
      <w:szCs w:val="44"/>
    </w:rPr>
  </w:style>
  <w:style w:type="character" w:customStyle="1" w:styleId="18">
    <w:name w:val="标题 2 Char"/>
    <w:basedOn w:val="16"/>
    <w:link w:val="5"/>
    <w:qFormat/>
    <w:uiPriority w:val="0"/>
    <w:rPr>
      <w:rFonts w:ascii="楷体" w:hAnsi="楷体" w:eastAsia="宋体" w:cs="Times New Roman"/>
      <w:b/>
      <w:bCs/>
      <w:sz w:val="32"/>
      <w:szCs w:val="32"/>
    </w:rPr>
  </w:style>
  <w:style w:type="character" w:customStyle="1" w:styleId="19">
    <w:name w:val="标题 3 Char"/>
    <w:link w:val="6"/>
    <w:qFormat/>
    <w:uiPriority w:val="0"/>
    <w:rPr>
      <w:rFonts w:ascii="楷体" w:hAnsi="楷体" w:eastAsia="宋体" w:cstheme="minorBidi"/>
      <w:b/>
      <w:sz w:val="28"/>
      <w:szCs w:val="24"/>
    </w:rPr>
  </w:style>
  <w:style w:type="paragraph" w:customStyle="1" w:styleId="20">
    <w:name w:val="样式1"/>
    <w:basedOn w:val="1"/>
    <w:qFormat/>
    <w:uiPriority w:val="0"/>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7855</Words>
  <Characters>8391</Characters>
  <Lines>0</Lines>
  <Paragraphs>0</Paragraphs>
  <TotalTime>6</TotalTime>
  <ScaleCrop>false</ScaleCrop>
  <LinksUpToDate>false</LinksUpToDate>
  <CharactersWithSpaces>9009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2025-02-20T03:49:00Z</dcterms:created>
  <dc:creator>木</dc:creator>
  <cp:lastModifiedBy>木</cp:lastModifiedBy>
  <dcterms:modified xsi:type="dcterms:W3CDTF">2025-04-01T05:56:19Z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D53771B618D641708D42B5859F27AB43_11</vt:lpwstr>
  </property>
  <property fmtid="{D5CDD505-2E9C-101B-9397-08002B2CF9AE}" pid="4" name="KSOTemplateDocerSaveRecord">
    <vt:lpwstr>eyJoZGlkIjoiN2FkOTkzN2JlYjEwMjhmMjBkMDNmMzk4ZmU1ZTM3YzEiLCJ1c2VySWQiOiI0NDYxNzg0MDMifQ==</vt:lpwstr>
  </property>
</Properties>
</file>