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B807FF">
      <w:pPr>
        <w:spacing w:line="311" w:lineRule="auto"/>
        <w:rPr>
          <w:rFonts w:hint="eastAsia" w:ascii="Arial" w:eastAsia="宋体"/>
          <w:sz w:val="21"/>
          <w:lang w:eastAsia="zh-CN"/>
        </w:rPr>
      </w:pPr>
    </w:p>
    <w:p w14:paraId="1AEF162D">
      <w:pPr>
        <w:spacing w:line="311" w:lineRule="auto"/>
        <w:rPr>
          <w:rFonts w:hint="eastAsia" w:ascii="Arial" w:eastAsia="宋体"/>
          <w:sz w:val="21"/>
          <w:lang w:eastAsia="zh-CN"/>
        </w:rPr>
      </w:pPr>
      <w:bookmarkStart w:id="468" w:name="_GoBack"/>
      <w:bookmarkEnd w:id="468"/>
      <w:r>
        <w:rPr>
          <w:rFonts w:hint="eastAsia" w:ascii="Arial" w:eastAsia="宋体"/>
          <w:sz w:val="21"/>
          <w:lang w:eastAsia="zh-CN"/>
        </w:rPr>
        <w:drawing>
          <wp:anchor distT="0" distB="0" distL="114300" distR="114300" simplePos="0" relativeHeight="251666432" behindDoc="0" locked="0" layoutInCell="1" allowOverlap="1">
            <wp:simplePos x="0" y="0"/>
            <wp:positionH relativeFrom="column">
              <wp:posOffset>-452755</wp:posOffset>
            </wp:positionH>
            <wp:positionV relativeFrom="paragraph">
              <wp:posOffset>191135</wp:posOffset>
            </wp:positionV>
            <wp:extent cx="6791325" cy="9498330"/>
            <wp:effectExtent l="0" t="0" r="0" b="0"/>
            <wp:wrapNone/>
            <wp:docPr id="1" name="图片 1" descr="CCF2025020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CF20250206_00"/>
                    <pic:cNvPicPr>
                      <a:picLocks noChangeAspect="1"/>
                    </pic:cNvPicPr>
                  </pic:nvPicPr>
                  <pic:blipFill>
                    <a:blip r:embed="rId38"/>
                    <a:srcRect t="1973" r="47"/>
                    <a:stretch>
                      <a:fillRect/>
                    </a:stretch>
                  </pic:blipFill>
                  <pic:spPr>
                    <a:xfrm>
                      <a:off x="0" y="0"/>
                      <a:ext cx="6791325" cy="9498330"/>
                    </a:xfrm>
                    <a:prstGeom prst="rect">
                      <a:avLst/>
                    </a:prstGeom>
                  </pic:spPr>
                </pic:pic>
              </a:graphicData>
            </a:graphic>
          </wp:anchor>
        </w:drawing>
      </w:r>
    </w:p>
    <w:p w14:paraId="020DC4E0">
      <w:pPr>
        <w:spacing w:line="311" w:lineRule="auto"/>
        <w:rPr>
          <w:rFonts w:hint="eastAsia" w:ascii="Arial" w:eastAsia="宋体"/>
          <w:sz w:val="21"/>
          <w:lang w:eastAsia="zh-CN"/>
        </w:rPr>
      </w:pPr>
    </w:p>
    <w:p w14:paraId="0AB8A63A">
      <w:pPr>
        <w:spacing w:line="311" w:lineRule="auto"/>
        <w:rPr>
          <w:rFonts w:ascii="Arial"/>
          <w:sz w:val="21"/>
        </w:rPr>
      </w:pPr>
      <w:r>
        <w:pict>
          <v:rect id="_x0000_s1025" o:spid="_x0000_s1025" o:spt="1" style="position:absolute;left:0pt;margin-left:70.85pt;margin-top:784.8pt;height:0.45pt;width:453.95pt;mso-position-horizontal-relative:page;mso-position-vertical-relative:page;z-index:251659264;mso-width-relative:page;mso-height-relative:page;" fillcolor="#000000" filled="t" stroked="f" coordsize="21600,21600" o:allowincell="f">
            <v:path/>
            <v:fill on="t" focussize="0,0"/>
            <v:stroke on="f"/>
            <v:imagedata o:title=""/>
            <o:lock v:ext="edit"/>
          </v:rect>
        </w:pict>
      </w:r>
    </w:p>
    <w:p w14:paraId="20675490">
      <w:pPr>
        <w:spacing w:line="312" w:lineRule="auto"/>
        <w:rPr>
          <w:rFonts w:ascii="Arial"/>
          <w:sz w:val="21"/>
        </w:rPr>
      </w:pPr>
    </w:p>
    <w:p w14:paraId="38B71224">
      <w:pPr>
        <w:pStyle w:val="3"/>
        <w:spacing w:before="143" w:line="222" w:lineRule="auto"/>
        <w:ind w:left="4084"/>
      </w:pPr>
      <w:r>
        <w:rPr>
          <w:spacing w:val="-51"/>
          <w14:textOutline w14:w="7982">
            <w14:solidFill>
              <w14:srgbClr w14:val="000000"/>
            </w14:solidFill>
            <w14:prstDash w14:val="solid"/>
            <w14:miter w14:val="0"/>
          </w14:textOutline>
        </w:rPr>
        <w:t>目</w:t>
      </w:r>
      <w:r>
        <w:rPr>
          <w:spacing w:val="20"/>
        </w:rPr>
        <w:t xml:space="preserve"> </w:t>
      </w:r>
      <w:r>
        <w:rPr>
          <w:spacing w:val="-51"/>
          <w14:textOutline w14:w="7982">
            <w14:solidFill>
              <w14:srgbClr w14:val="000000"/>
            </w14:solidFill>
            <w14:prstDash w14:val="solid"/>
            <w14:miter w14:val="0"/>
          </w14:textOutline>
        </w:rPr>
        <w:t>录</w:t>
      </w:r>
    </w:p>
    <w:p w14:paraId="5D329D9C">
      <w:pPr>
        <w:spacing w:line="319" w:lineRule="auto"/>
        <w:rPr>
          <w:rFonts w:ascii="Arial"/>
          <w:sz w:val="21"/>
        </w:rPr>
      </w:pPr>
    </w:p>
    <w:p w14:paraId="028C0404">
      <w:pPr>
        <w:spacing w:line="320" w:lineRule="auto"/>
        <w:rPr>
          <w:rFonts w:ascii="Arial"/>
          <w:sz w:val="21"/>
        </w:rPr>
      </w:pPr>
    </w:p>
    <w:sdt>
      <w:sdtPr>
        <w:rPr>
          <w:rFonts w:ascii="宋体" w:hAnsi="宋体" w:eastAsia="宋体" w:cs="宋体"/>
          <w:sz w:val="24"/>
          <w:szCs w:val="24"/>
        </w:rPr>
        <w:id w:val="8"/>
        <w:docPartObj>
          <w:docPartGallery w:val="Table of Contents"/>
          <w:docPartUnique/>
        </w:docPartObj>
      </w:sdtPr>
      <w:sdtEndPr>
        <w:rPr>
          <w:rFonts w:ascii="宋体" w:hAnsi="宋体" w:eastAsia="宋体" w:cs="宋体"/>
          <w:spacing w:val="-1"/>
          <w:sz w:val="24"/>
          <w:szCs w:val="24"/>
          <w14:textOutline w14:w="4354">
            <w14:solidFill>
              <w14:srgbClr w14:val="000000"/>
            </w14:solidFill>
            <w14:prstDash w14:val="solid"/>
            <w14:miter w14:val="0"/>
          </w14:textOutline>
        </w:rPr>
      </w:sdtEndPr>
      <w:sdtContent>
        <w:p w14:paraId="2FD7B80F">
          <w:pPr>
            <w:pStyle w:val="3"/>
            <w:tabs>
              <w:tab w:val="right" w:leader="dot" w:pos="9014"/>
            </w:tabs>
            <w:spacing w:before="78" w:line="219" w:lineRule="auto"/>
            <w:ind w:left="65"/>
            <w:rPr>
              <w:spacing w:val="-1"/>
              <w:sz w:val="24"/>
              <w:szCs w:val="24"/>
              <w14:textOutline w14:w="4354">
                <w14:solidFill>
                  <w14:srgbClr w14:val="000000"/>
                </w14:solidFill>
                <w14:prstDash w14:val="solid"/>
                <w14:miter w14:val="0"/>
              </w14:textOutline>
            </w:rPr>
          </w:pPr>
          <w:r>
            <w:rPr>
              <w:spacing w:val="-1"/>
              <w:sz w:val="24"/>
              <w:szCs w:val="24"/>
              <w14:textOutline w14:w="4354">
                <w14:solidFill>
                  <w14:srgbClr w14:val="000000"/>
                </w14:solidFill>
                <w14:prstDash w14:val="solid"/>
                <w14:miter w14:val="0"/>
              </w14:textOutline>
            </w:rPr>
            <w:t xml:space="preserve">第一章  招标公告 </w:t>
          </w:r>
          <w:r>
            <w:rPr>
              <w:spacing w:val="-1"/>
              <w:sz w:val="24"/>
              <w:szCs w:val="24"/>
              <w14:textOutline w14:w="4354">
                <w14:solidFill>
                  <w14:srgbClr w14:val="000000"/>
                </w14:solidFill>
                <w14:prstDash w14:val="solid"/>
                <w14:miter w14:val="0"/>
              </w14:textOutline>
            </w:rPr>
            <w:tab/>
          </w:r>
          <w:r>
            <w:rPr>
              <w:spacing w:val="-1"/>
              <w:sz w:val="24"/>
              <w:szCs w:val="24"/>
              <w14:textOutline w14:w="4354">
                <w14:solidFill>
                  <w14:srgbClr w14:val="000000"/>
                </w14:solidFill>
                <w14:prstDash w14:val="solid"/>
                <w14:miter w14:val="0"/>
              </w14:textOutline>
            </w:rPr>
            <w:t>2</w:t>
          </w:r>
        </w:p>
        <w:p w14:paraId="586AB278">
          <w:pPr>
            <w:pStyle w:val="3"/>
            <w:tabs>
              <w:tab w:val="right" w:leader="dot" w:pos="9014"/>
            </w:tabs>
            <w:spacing w:before="78" w:line="219" w:lineRule="auto"/>
            <w:ind w:left="65"/>
            <w:rPr>
              <w:spacing w:val="-1"/>
              <w:sz w:val="24"/>
              <w:szCs w:val="24"/>
              <w14:textOutline w14:w="4354">
                <w14:solidFill>
                  <w14:srgbClr w14:val="000000"/>
                </w14:solidFill>
                <w14:prstDash w14:val="solid"/>
                <w14:miter w14:val="0"/>
              </w14:textOutline>
            </w:rPr>
          </w:pPr>
        </w:p>
        <w:p w14:paraId="090413FE">
          <w:pPr>
            <w:pStyle w:val="3"/>
            <w:tabs>
              <w:tab w:val="right" w:leader="dot" w:pos="9014"/>
            </w:tabs>
            <w:spacing w:before="78" w:line="219" w:lineRule="auto"/>
            <w:ind w:left="65"/>
            <w:rPr>
              <w:rFonts w:hint="eastAsia" w:eastAsia="宋体"/>
              <w:spacing w:val="-1"/>
              <w:sz w:val="24"/>
              <w:szCs w:val="24"/>
              <w:lang w:eastAsia="zh-CN"/>
              <w14:textOutline w14:w="4354">
                <w14:solidFill>
                  <w14:srgbClr w14:val="000000"/>
                </w14:solidFill>
                <w14:prstDash w14:val="solid"/>
                <w14:miter w14:val="0"/>
              </w14:textOutline>
            </w:rPr>
          </w:pPr>
          <w:r>
            <w:rPr>
              <w:spacing w:val="-1"/>
              <w:sz w:val="24"/>
              <w:szCs w:val="24"/>
              <w14:textOutline w14:w="4354">
                <w14:solidFill>
                  <w14:srgbClr w14:val="000000"/>
                </w14:solidFill>
                <w14:prstDash w14:val="solid"/>
                <w14:miter w14:val="0"/>
              </w14:textOutline>
            </w:rPr>
            <w:t>第</w:t>
          </w:r>
          <w:r>
            <w:rPr>
              <w:rFonts w:hint="eastAsia"/>
              <w:spacing w:val="-1"/>
              <w:sz w:val="24"/>
              <w:szCs w:val="24"/>
              <w:lang w:val="en-US" w:eastAsia="zh-CN"/>
              <w14:textOutline w14:w="4354">
                <w14:solidFill>
                  <w14:srgbClr w14:val="000000"/>
                </w14:solidFill>
                <w14:prstDash w14:val="solid"/>
                <w14:miter w14:val="0"/>
              </w14:textOutline>
            </w:rPr>
            <w:t>二</w:t>
          </w:r>
          <w:r>
            <w:rPr>
              <w:spacing w:val="-1"/>
              <w:sz w:val="24"/>
              <w:szCs w:val="24"/>
              <w14:textOutline w14:w="4354">
                <w14:solidFill>
                  <w14:srgbClr w14:val="000000"/>
                </w14:solidFill>
                <w14:prstDash w14:val="solid"/>
                <w14:miter w14:val="0"/>
              </w14:textOutline>
            </w:rPr>
            <w:t xml:space="preserve">章  </w:t>
          </w:r>
          <w:r>
            <w:rPr>
              <w:rFonts w:hint="eastAsia"/>
              <w:spacing w:val="-1"/>
              <w:sz w:val="24"/>
              <w:szCs w:val="24"/>
              <w:lang w:eastAsia="zh-CN"/>
              <w14:textOutline w14:w="4354">
                <w14:solidFill>
                  <w14:srgbClr w14:val="000000"/>
                </w14:solidFill>
                <w14:prstDash w14:val="solid"/>
                <w14:miter w14:val="0"/>
              </w14:textOutline>
            </w:rPr>
            <w:t>供应商</w:t>
          </w:r>
          <w:r>
            <w:rPr>
              <w:spacing w:val="-1"/>
              <w:sz w:val="24"/>
              <w:szCs w:val="24"/>
              <w14:textOutline w14:w="4354">
                <w14:solidFill>
                  <w14:srgbClr w14:val="000000"/>
                </w14:solidFill>
                <w14:prstDash w14:val="solid"/>
                <w14:miter w14:val="0"/>
              </w14:textOutline>
            </w:rPr>
            <w:t xml:space="preserve">须知 </w:t>
          </w:r>
          <w:r>
            <w:rPr>
              <w:spacing w:val="-1"/>
              <w:sz w:val="24"/>
              <w:szCs w:val="24"/>
              <w14:textOutline w14:w="4354">
                <w14:solidFill>
                  <w14:srgbClr w14:val="000000"/>
                </w14:solidFill>
                <w14:prstDash w14:val="solid"/>
                <w14:miter w14:val="0"/>
              </w14:textOutline>
            </w:rPr>
            <w:tab/>
          </w:r>
          <w:r>
            <w:rPr>
              <w:rFonts w:hint="eastAsia"/>
              <w:spacing w:val="-1"/>
              <w:sz w:val="24"/>
              <w:szCs w:val="24"/>
              <w:lang w:val="en-US" w:eastAsia="zh-CN"/>
              <w14:textOutline w14:w="4354">
                <w14:solidFill>
                  <w14:srgbClr w14:val="000000"/>
                </w14:solidFill>
                <w14:prstDash w14:val="solid"/>
                <w14:miter w14:val="0"/>
              </w14:textOutline>
            </w:rPr>
            <w:t>8</w:t>
          </w:r>
        </w:p>
        <w:p w14:paraId="3089E55A">
          <w:pPr>
            <w:pStyle w:val="3"/>
            <w:tabs>
              <w:tab w:val="right" w:leader="dot" w:pos="9014"/>
            </w:tabs>
            <w:spacing w:before="78" w:line="219" w:lineRule="auto"/>
            <w:ind w:left="65"/>
            <w:rPr>
              <w:spacing w:val="-1"/>
              <w:sz w:val="24"/>
              <w:szCs w:val="24"/>
              <w14:textOutline w14:w="4354">
                <w14:solidFill>
                  <w14:srgbClr w14:val="000000"/>
                </w14:solidFill>
                <w14:prstDash w14:val="solid"/>
                <w14:miter w14:val="0"/>
              </w14:textOutline>
            </w:rPr>
          </w:pPr>
        </w:p>
        <w:p w14:paraId="3F1CD4C8">
          <w:pPr>
            <w:pStyle w:val="3"/>
            <w:tabs>
              <w:tab w:val="right" w:leader="dot" w:pos="9014"/>
            </w:tabs>
            <w:spacing w:before="78" w:line="219" w:lineRule="auto"/>
            <w:ind w:left="65"/>
            <w:rPr>
              <w:rFonts w:hint="default" w:eastAsia="宋体"/>
              <w:spacing w:val="-1"/>
              <w:sz w:val="24"/>
              <w:szCs w:val="24"/>
              <w:lang w:val="en-US" w:eastAsia="zh-CN"/>
              <w14:textOutline w14:w="4354">
                <w14:solidFill>
                  <w14:srgbClr w14:val="000000"/>
                </w14:solidFill>
                <w14:prstDash w14:val="solid"/>
                <w14:miter w14:val="0"/>
              </w14:textOutline>
            </w:rPr>
          </w:pPr>
          <w:r>
            <w:rPr>
              <w:spacing w:val="-1"/>
              <w:sz w:val="24"/>
              <w:szCs w:val="24"/>
              <w14:textOutline w14:w="4354">
                <w14:solidFill>
                  <w14:srgbClr w14:val="000000"/>
                </w14:solidFill>
                <w14:prstDash w14:val="solid"/>
                <w14:miter w14:val="0"/>
              </w14:textOutline>
            </w:rPr>
            <w:t>第</w:t>
          </w:r>
          <w:r>
            <w:rPr>
              <w:rFonts w:hint="eastAsia"/>
              <w:spacing w:val="-1"/>
              <w:sz w:val="24"/>
              <w:szCs w:val="24"/>
              <w:lang w:val="en-US" w:eastAsia="zh-CN"/>
              <w14:textOutline w14:w="4354">
                <w14:solidFill>
                  <w14:srgbClr w14:val="000000"/>
                </w14:solidFill>
                <w14:prstDash w14:val="solid"/>
                <w14:miter w14:val="0"/>
              </w14:textOutline>
            </w:rPr>
            <w:t>三</w:t>
          </w:r>
          <w:r>
            <w:rPr>
              <w:spacing w:val="-1"/>
              <w:sz w:val="24"/>
              <w:szCs w:val="24"/>
              <w14:textOutline w14:w="4354">
                <w14:solidFill>
                  <w14:srgbClr w14:val="000000"/>
                </w14:solidFill>
                <w14:prstDash w14:val="solid"/>
                <w14:miter w14:val="0"/>
              </w14:textOutline>
            </w:rPr>
            <w:t xml:space="preserve">章  </w:t>
          </w:r>
          <w:r>
            <w:rPr>
              <w:rFonts w:hint="eastAsia"/>
              <w:spacing w:val="-1"/>
              <w:sz w:val="24"/>
              <w:szCs w:val="24"/>
              <w:lang w:val="en-US" w:eastAsia="zh-CN"/>
              <w14:textOutline w14:w="4354">
                <w14:solidFill>
                  <w14:srgbClr w14:val="000000"/>
                </w14:solidFill>
                <w14:prstDash w14:val="solid"/>
                <w14:miter w14:val="0"/>
              </w14:textOutline>
            </w:rPr>
            <w:t>资格审查</w:t>
          </w:r>
          <w:r>
            <w:rPr>
              <w:spacing w:val="-1"/>
              <w:sz w:val="24"/>
              <w:szCs w:val="24"/>
              <w14:textOutline w14:w="4354">
                <w14:solidFill>
                  <w14:srgbClr w14:val="000000"/>
                </w14:solidFill>
                <w14:prstDash w14:val="solid"/>
                <w14:miter w14:val="0"/>
              </w14:textOutline>
            </w:rPr>
            <w:t xml:space="preserve"> </w:t>
          </w:r>
          <w:r>
            <w:rPr>
              <w:spacing w:val="-1"/>
              <w:sz w:val="24"/>
              <w:szCs w:val="24"/>
              <w14:textOutline w14:w="4354">
                <w14:solidFill>
                  <w14:srgbClr w14:val="000000"/>
                </w14:solidFill>
                <w14:prstDash w14:val="solid"/>
                <w14:miter w14:val="0"/>
              </w14:textOutline>
            </w:rPr>
            <w:tab/>
          </w:r>
          <w:r>
            <w:rPr>
              <w:rFonts w:hint="eastAsia"/>
              <w:spacing w:val="-1"/>
              <w:sz w:val="24"/>
              <w:szCs w:val="24"/>
              <w:lang w:val="en-US" w:eastAsia="zh-CN"/>
              <w14:textOutline w14:w="4354">
                <w14:solidFill>
                  <w14:srgbClr w14:val="000000"/>
                </w14:solidFill>
                <w14:prstDash w14:val="solid"/>
                <w14:miter w14:val="0"/>
              </w14:textOutline>
            </w:rPr>
            <w:t>24</w:t>
          </w:r>
        </w:p>
        <w:p w14:paraId="192D0622">
          <w:pPr>
            <w:pStyle w:val="3"/>
            <w:tabs>
              <w:tab w:val="right" w:leader="dot" w:pos="9014"/>
            </w:tabs>
            <w:spacing w:before="78" w:line="219" w:lineRule="auto"/>
            <w:ind w:left="65"/>
            <w:rPr>
              <w:rFonts w:hint="eastAsia"/>
              <w:spacing w:val="-1"/>
              <w:sz w:val="24"/>
              <w:szCs w:val="24"/>
              <w:lang w:val="en-US" w:eastAsia="en-US"/>
              <w14:textOutline w14:w="4354">
                <w14:solidFill>
                  <w14:srgbClr w14:val="000000"/>
                </w14:solidFill>
                <w14:prstDash w14:val="solid"/>
                <w14:miter w14:val="0"/>
              </w14:textOutline>
            </w:rPr>
          </w:pPr>
        </w:p>
        <w:p w14:paraId="7C357AD7">
          <w:pPr>
            <w:pStyle w:val="3"/>
            <w:tabs>
              <w:tab w:val="right" w:leader="dot" w:pos="9014"/>
            </w:tabs>
            <w:spacing w:before="78" w:line="219" w:lineRule="auto"/>
            <w:ind w:left="65"/>
            <w:rPr>
              <w:rFonts w:hint="default" w:eastAsia="宋体"/>
              <w:spacing w:val="-1"/>
              <w:sz w:val="24"/>
              <w:szCs w:val="24"/>
              <w:lang w:val="en-US" w:eastAsia="zh-CN"/>
              <w14:textOutline w14:w="4354">
                <w14:solidFill>
                  <w14:srgbClr w14:val="000000"/>
                </w14:solidFill>
                <w14:prstDash w14:val="solid"/>
                <w14:miter w14:val="0"/>
              </w14:textOutline>
            </w:rPr>
          </w:pPr>
          <w:r>
            <w:rPr>
              <w:spacing w:val="-1"/>
              <w:sz w:val="24"/>
              <w:szCs w:val="24"/>
              <w14:textOutline w14:w="4354">
                <w14:solidFill>
                  <w14:srgbClr w14:val="000000"/>
                </w14:solidFill>
                <w14:prstDash w14:val="solid"/>
                <w14:miter w14:val="0"/>
              </w14:textOutline>
            </w:rPr>
            <w:t>第</w:t>
          </w:r>
          <w:r>
            <w:rPr>
              <w:rFonts w:hint="eastAsia"/>
              <w:spacing w:val="-1"/>
              <w:sz w:val="24"/>
              <w:szCs w:val="24"/>
              <w:lang w:val="en-US" w:eastAsia="zh-CN"/>
              <w14:textOutline w14:w="4354">
                <w14:solidFill>
                  <w14:srgbClr w14:val="000000"/>
                </w14:solidFill>
                <w14:prstDash w14:val="solid"/>
                <w14:miter w14:val="0"/>
              </w14:textOutline>
            </w:rPr>
            <w:t>四</w:t>
          </w:r>
          <w:r>
            <w:rPr>
              <w:spacing w:val="-1"/>
              <w:sz w:val="24"/>
              <w:szCs w:val="24"/>
              <w14:textOutline w14:w="4354">
                <w14:solidFill>
                  <w14:srgbClr w14:val="000000"/>
                </w14:solidFill>
                <w14:prstDash w14:val="solid"/>
                <w14:miter w14:val="0"/>
              </w14:textOutline>
            </w:rPr>
            <w:t xml:space="preserve">章  </w:t>
          </w:r>
          <w:r>
            <w:rPr>
              <w:rFonts w:hint="eastAsia"/>
              <w:spacing w:val="-1"/>
              <w:sz w:val="24"/>
              <w:szCs w:val="24"/>
              <w:lang w:val="en-US" w:eastAsia="zh-CN"/>
              <w14:textOutline w14:w="4354">
                <w14:solidFill>
                  <w14:srgbClr w14:val="000000"/>
                </w14:solidFill>
                <w14:prstDash w14:val="solid"/>
                <w14:miter w14:val="0"/>
              </w14:textOutline>
            </w:rPr>
            <w:t>评标办法（综合评标法）</w:t>
          </w:r>
          <w:r>
            <w:rPr>
              <w:spacing w:val="-1"/>
              <w:sz w:val="24"/>
              <w:szCs w:val="24"/>
              <w14:textOutline w14:w="4354">
                <w14:solidFill>
                  <w14:srgbClr w14:val="000000"/>
                </w14:solidFill>
                <w14:prstDash w14:val="solid"/>
                <w14:miter w14:val="0"/>
              </w14:textOutline>
            </w:rPr>
            <w:t xml:space="preserve"> </w:t>
          </w:r>
          <w:r>
            <w:rPr>
              <w:spacing w:val="-1"/>
              <w:sz w:val="24"/>
              <w:szCs w:val="24"/>
              <w14:textOutline w14:w="4354">
                <w14:solidFill>
                  <w14:srgbClr w14:val="000000"/>
                </w14:solidFill>
                <w14:prstDash w14:val="solid"/>
                <w14:miter w14:val="0"/>
              </w14:textOutline>
            </w:rPr>
            <w:tab/>
          </w:r>
          <w:r>
            <w:rPr>
              <w:rFonts w:hint="eastAsia"/>
              <w:spacing w:val="-1"/>
              <w:sz w:val="24"/>
              <w:szCs w:val="24"/>
              <w:lang w:val="en-US" w:eastAsia="zh-CN"/>
              <w14:textOutline w14:w="4354">
                <w14:solidFill>
                  <w14:srgbClr w14:val="000000"/>
                </w14:solidFill>
                <w14:prstDash w14:val="solid"/>
                <w14:miter w14:val="0"/>
              </w14:textOutline>
            </w:rPr>
            <w:t>27</w:t>
          </w:r>
        </w:p>
        <w:p w14:paraId="2D65AEE3">
          <w:pPr>
            <w:pStyle w:val="3"/>
            <w:tabs>
              <w:tab w:val="right" w:leader="dot" w:pos="9014"/>
            </w:tabs>
            <w:spacing w:before="78" w:line="219" w:lineRule="auto"/>
            <w:ind w:left="65"/>
            <w:rPr>
              <w:spacing w:val="-1"/>
              <w:sz w:val="24"/>
              <w:szCs w:val="24"/>
              <w14:textOutline w14:w="4354">
                <w14:solidFill>
                  <w14:srgbClr w14:val="000000"/>
                </w14:solidFill>
                <w14:prstDash w14:val="solid"/>
                <w14:miter w14:val="0"/>
              </w14:textOutline>
            </w:rPr>
          </w:pPr>
        </w:p>
        <w:p w14:paraId="12316C4A">
          <w:pPr>
            <w:pStyle w:val="3"/>
            <w:tabs>
              <w:tab w:val="right" w:leader="dot" w:pos="9014"/>
            </w:tabs>
            <w:spacing w:before="78" w:line="219" w:lineRule="auto"/>
            <w:ind w:left="65"/>
            <w:rPr>
              <w:rFonts w:hint="eastAsia"/>
              <w:spacing w:val="-1"/>
              <w:sz w:val="24"/>
              <w:szCs w:val="24"/>
              <w:lang w:val="en-US" w:eastAsia="zh-CN"/>
              <w14:textOutline w14:w="4354">
                <w14:solidFill>
                  <w14:srgbClr w14:val="000000"/>
                </w14:solidFill>
                <w14:prstDash w14:val="solid"/>
                <w14:miter w14:val="0"/>
              </w14:textOutline>
            </w:rPr>
          </w:pPr>
          <w:r>
            <w:rPr>
              <w:spacing w:val="-1"/>
              <w:sz w:val="24"/>
              <w:szCs w:val="24"/>
              <w14:textOutline w14:w="4354">
                <w14:solidFill>
                  <w14:srgbClr w14:val="000000"/>
                </w14:solidFill>
                <w14:prstDash w14:val="solid"/>
                <w14:miter w14:val="0"/>
              </w14:textOutline>
            </w:rPr>
            <w:t>第</w:t>
          </w:r>
          <w:r>
            <w:rPr>
              <w:rFonts w:hint="eastAsia"/>
              <w:spacing w:val="-1"/>
              <w:sz w:val="24"/>
              <w:szCs w:val="24"/>
              <w:lang w:val="en-US" w:eastAsia="zh-CN"/>
              <w14:textOutline w14:w="4354">
                <w14:solidFill>
                  <w14:srgbClr w14:val="000000"/>
                </w14:solidFill>
                <w14:prstDash w14:val="solid"/>
                <w14:miter w14:val="0"/>
              </w14:textOutline>
            </w:rPr>
            <w:t>五</w:t>
          </w:r>
          <w:r>
            <w:rPr>
              <w:spacing w:val="-1"/>
              <w:sz w:val="24"/>
              <w:szCs w:val="24"/>
              <w14:textOutline w14:w="4354">
                <w14:solidFill>
                  <w14:srgbClr w14:val="000000"/>
                </w14:solidFill>
                <w14:prstDash w14:val="solid"/>
                <w14:miter w14:val="0"/>
              </w14:textOutline>
            </w:rPr>
            <w:t>章  项目内容及要求</w:t>
          </w:r>
          <w:r>
            <w:rPr>
              <w:spacing w:val="-1"/>
              <w:sz w:val="24"/>
              <w:szCs w:val="24"/>
              <w14:textOutline w14:w="4354">
                <w14:solidFill>
                  <w14:srgbClr w14:val="000000"/>
                </w14:solidFill>
                <w14:prstDash w14:val="solid"/>
                <w14:miter w14:val="0"/>
              </w14:textOutline>
            </w:rPr>
            <w:tab/>
          </w:r>
          <w:r>
            <w:rPr>
              <w:spacing w:val="-1"/>
              <w:sz w:val="24"/>
              <w:szCs w:val="24"/>
              <w14:textOutline w14:w="4354">
                <w14:solidFill>
                  <w14:srgbClr w14:val="000000"/>
                </w14:solidFill>
                <w14:prstDash w14:val="solid"/>
                <w14:miter w14:val="0"/>
              </w14:textOutline>
            </w:rPr>
            <w:t>3</w:t>
          </w:r>
          <w:r>
            <w:rPr>
              <w:rFonts w:hint="eastAsia"/>
              <w:spacing w:val="-1"/>
              <w:sz w:val="24"/>
              <w:szCs w:val="24"/>
              <w:lang w:val="en-US" w:eastAsia="zh-CN"/>
              <w14:textOutline w14:w="4354">
                <w14:solidFill>
                  <w14:srgbClr w14:val="000000"/>
                </w14:solidFill>
                <w14:prstDash w14:val="solid"/>
                <w14:miter w14:val="0"/>
              </w14:textOutline>
            </w:rPr>
            <w:t>2</w:t>
          </w:r>
        </w:p>
        <w:p w14:paraId="4C3B8BD9">
          <w:pPr>
            <w:pStyle w:val="3"/>
            <w:tabs>
              <w:tab w:val="right" w:leader="dot" w:pos="9014"/>
            </w:tabs>
            <w:spacing w:before="78" w:line="219" w:lineRule="auto"/>
            <w:rPr>
              <w:spacing w:val="-1"/>
              <w:sz w:val="24"/>
              <w:szCs w:val="24"/>
              <w14:textOutline w14:w="4354">
                <w14:solidFill>
                  <w14:srgbClr w14:val="000000"/>
                </w14:solidFill>
                <w14:prstDash w14:val="solid"/>
                <w14:miter w14:val="0"/>
              </w14:textOutline>
            </w:rPr>
          </w:pPr>
        </w:p>
        <w:p w14:paraId="7413BD60">
          <w:pPr>
            <w:pStyle w:val="3"/>
            <w:tabs>
              <w:tab w:val="right" w:leader="dot" w:pos="9014"/>
            </w:tabs>
            <w:spacing w:before="78" w:line="219" w:lineRule="auto"/>
            <w:ind w:left="65"/>
            <w:rPr>
              <w:rFonts w:hint="default"/>
              <w:spacing w:val="-1"/>
              <w:sz w:val="24"/>
              <w:szCs w:val="24"/>
              <w:lang w:val="en-US" w:eastAsia="zh-CN"/>
              <w14:textOutline w14:w="4354">
                <w14:solidFill>
                  <w14:srgbClr w14:val="000000"/>
                </w14:solidFill>
                <w14:prstDash w14:val="solid"/>
                <w14:miter w14:val="0"/>
              </w14:textOutline>
            </w:rPr>
          </w:pPr>
          <w:r>
            <w:rPr>
              <w:spacing w:val="-1"/>
              <w:sz w:val="24"/>
              <w:szCs w:val="24"/>
              <w14:textOutline w14:w="4354">
                <w14:solidFill>
                  <w14:srgbClr w14:val="000000"/>
                </w14:solidFill>
                <w14:prstDash w14:val="solid"/>
                <w14:miter w14:val="0"/>
              </w14:textOutline>
            </w:rPr>
            <w:t>第</w:t>
          </w:r>
          <w:r>
            <w:rPr>
              <w:rFonts w:hint="eastAsia"/>
              <w:spacing w:val="-1"/>
              <w:sz w:val="24"/>
              <w:szCs w:val="24"/>
              <w:lang w:val="en-US" w:eastAsia="zh-CN"/>
              <w14:textOutline w14:w="4354">
                <w14:solidFill>
                  <w14:srgbClr w14:val="000000"/>
                </w14:solidFill>
                <w14:prstDash w14:val="solid"/>
                <w14:miter w14:val="0"/>
              </w14:textOutline>
            </w:rPr>
            <w:t>六</w:t>
          </w:r>
          <w:r>
            <w:rPr>
              <w:spacing w:val="-1"/>
              <w:sz w:val="24"/>
              <w:szCs w:val="24"/>
              <w14:textOutline w14:w="4354">
                <w14:solidFill>
                  <w14:srgbClr w14:val="000000"/>
                </w14:solidFill>
                <w14:prstDash w14:val="solid"/>
                <w14:miter w14:val="0"/>
              </w14:textOutline>
            </w:rPr>
            <w:t xml:space="preserve">章  合同条款（格式） </w:t>
          </w:r>
          <w:r>
            <w:rPr>
              <w:spacing w:val="-1"/>
              <w:sz w:val="24"/>
              <w:szCs w:val="24"/>
              <w14:textOutline w14:w="4354">
                <w14:solidFill>
                  <w14:srgbClr w14:val="000000"/>
                </w14:solidFill>
                <w14:prstDash w14:val="solid"/>
                <w14:miter w14:val="0"/>
              </w14:textOutline>
            </w:rPr>
            <w:tab/>
          </w:r>
          <w:r>
            <w:rPr>
              <w:rFonts w:hint="eastAsia"/>
              <w:spacing w:val="-1"/>
              <w:sz w:val="24"/>
              <w:szCs w:val="24"/>
              <w:lang w:val="en-US" w:eastAsia="zh-CN"/>
              <w14:textOutline w14:w="4354">
                <w14:solidFill>
                  <w14:srgbClr w14:val="000000"/>
                </w14:solidFill>
                <w14:prstDash w14:val="solid"/>
                <w14:miter w14:val="0"/>
              </w14:textOutline>
            </w:rPr>
            <w:t>68</w:t>
          </w:r>
        </w:p>
        <w:p w14:paraId="69024D8C">
          <w:pPr>
            <w:pStyle w:val="3"/>
            <w:tabs>
              <w:tab w:val="right" w:leader="dot" w:pos="9014"/>
            </w:tabs>
            <w:spacing w:before="78" w:line="219" w:lineRule="auto"/>
            <w:rPr>
              <w:spacing w:val="-1"/>
              <w:sz w:val="24"/>
              <w:szCs w:val="24"/>
              <w14:textOutline w14:w="4354">
                <w14:solidFill>
                  <w14:srgbClr w14:val="000000"/>
                </w14:solidFill>
                <w14:prstDash w14:val="solid"/>
                <w14:miter w14:val="0"/>
              </w14:textOutline>
            </w:rPr>
          </w:pPr>
        </w:p>
        <w:p w14:paraId="50F11A6F">
          <w:pPr>
            <w:pStyle w:val="3"/>
            <w:tabs>
              <w:tab w:val="right" w:leader="dot" w:pos="9014"/>
            </w:tabs>
            <w:spacing w:before="78" w:line="219" w:lineRule="auto"/>
            <w:ind w:left="65"/>
            <w:rPr>
              <w:rFonts w:hint="default" w:eastAsia="宋体"/>
              <w:spacing w:val="-1"/>
              <w:sz w:val="24"/>
              <w:szCs w:val="24"/>
              <w:lang w:val="en-US" w:eastAsia="zh-CN"/>
              <w14:textOutline w14:w="4354">
                <w14:solidFill>
                  <w14:srgbClr w14:val="000000"/>
                </w14:solidFill>
                <w14:prstDash w14:val="solid"/>
                <w14:miter w14:val="0"/>
              </w14:textOutline>
            </w:rPr>
          </w:pPr>
          <w:r>
            <w:rPr>
              <w:spacing w:val="-1"/>
              <w:sz w:val="24"/>
              <w:szCs w:val="24"/>
              <w14:textOutline w14:w="4354">
                <w14:solidFill>
                  <w14:srgbClr w14:val="000000"/>
                </w14:solidFill>
                <w14:prstDash w14:val="solid"/>
                <w14:miter w14:val="0"/>
              </w14:textOutline>
            </w:rPr>
            <w:t>第</w:t>
          </w:r>
          <w:r>
            <w:rPr>
              <w:rFonts w:hint="eastAsia"/>
              <w:spacing w:val="-1"/>
              <w:sz w:val="24"/>
              <w:szCs w:val="24"/>
              <w:lang w:val="en-US" w:eastAsia="zh-CN"/>
              <w14:textOutline w14:w="4354">
                <w14:solidFill>
                  <w14:srgbClr w14:val="000000"/>
                </w14:solidFill>
                <w14:prstDash w14:val="solid"/>
                <w14:miter w14:val="0"/>
              </w14:textOutline>
            </w:rPr>
            <w:t>七</w:t>
          </w:r>
          <w:r>
            <w:rPr>
              <w:spacing w:val="-1"/>
              <w:sz w:val="24"/>
              <w:szCs w:val="24"/>
              <w14:textOutline w14:w="4354">
                <w14:solidFill>
                  <w14:srgbClr w14:val="000000"/>
                </w14:solidFill>
                <w14:prstDash w14:val="solid"/>
                <w14:miter w14:val="0"/>
              </w14:textOutline>
            </w:rPr>
            <w:t xml:space="preserve">章   投标文件格式 </w:t>
          </w:r>
          <w:r>
            <w:rPr>
              <w:spacing w:val="-1"/>
              <w:sz w:val="24"/>
              <w:szCs w:val="24"/>
              <w14:textOutline w14:w="4354">
                <w14:solidFill>
                  <w14:srgbClr w14:val="000000"/>
                </w14:solidFill>
                <w14:prstDash w14:val="solid"/>
                <w14:miter w14:val="0"/>
              </w14:textOutline>
            </w:rPr>
            <w:tab/>
          </w:r>
          <w:r>
            <w:rPr>
              <w:rFonts w:hint="eastAsia"/>
              <w:spacing w:val="-1"/>
              <w:sz w:val="24"/>
              <w:szCs w:val="24"/>
              <w:lang w:val="en-US" w:eastAsia="zh-CN"/>
              <w14:textOutline w14:w="4354">
                <w14:solidFill>
                  <w14:srgbClr w14:val="000000"/>
                </w14:solidFill>
                <w14:prstDash w14:val="solid"/>
                <w14:miter w14:val="0"/>
              </w14:textOutline>
            </w:rPr>
            <w:t>89</w:t>
          </w:r>
        </w:p>
        <w:p w14:paraId="0BA05948">
          <w:pPr>
            <w:pStyle w:val="3"/>
            <w:tabs>
              <w:tab w:val="right" w:leader="dot" w:pos="9014"/>
            </w:tabs>
            <w:spacing w:before="78" w:line="219" w:lineRule="auto"/>
            <w:rPr>
              <w:spacing w:val="-1"/>
              <w:sz w:val="24"/>
              <w:szCs w:val="24"/>
              <w14:textOutline w14:w="4354">
                <w14:solidFill>
                  <w14:srgbClr w14:val="000000"/>
                </w14:solidFill>
                <w14:prstDash w14:val="solid"/>
                <w14:miter w14:val="0"/>
              </w14:textOutline>
            </w:rPr>
          </w:pPr>
        </w:p>
        <w:p w14:paraId="53D7FBEB">
          <w:pPr>
            <w:pStyle w:val="3"/>
            <w:tabs>
              <w:tab w:val="right" w:leader="dot" w:pos="9014"/>
            </w:tabs>
            <w:spacing w:before="78" w:line="219" w:lineRule="auto"/>
            <w:ind w:left="65"/>
            <w:rPr>
              <w:spacing w:val="-1"/>
              <w:sz w:val="24"/>
              <w:szCs w:val="24"/>
              <w14:textOutline w14:w="4354">
                <w14:solidFill>
                  <w14:srgbClr w14:val="000000"/>
                </w14:solidFill>
                <w14:prstDash w14:val="solid"/>
                <w14:miter w14:val="0"/>
              </w14:textOutline>
            </w:rPr>
            <w:sectPr>
              <w:footerReference r:id="rId5" w:type="default"/>
              <w:pgSz w:w="11905" w:h="16838"/>
              <w:pgMar w:top="841" w:right="1368" w:bottom="799" w:left="1417" w:header="0" w:footer="548" w:gutter="0"/>
              <w:pgNumType w:fmt="decimal" w:start="1"/>
              <w:cols w:space="720" w:num="1"/>
            </w:sectPr>
          </w:pPr>
          <w:r>
            <w:rPr>
              <w:spacing w:val="-1"/>
              <w:sz w:val="24"/>
              <w:szCs w:val="24"/>
              <w14:textOutline w14:w="4354">
                <w14:solidFill>
                  <w14:srgbClr w14:val="000000"/>
                </w14:solidFill>
                <w14:prstDash w14:val="solid"/>
                <w14:miter w14:val="0"/>
              </w14:textOutline>
            </w:rPr>
            <w:t>第</w:t>
          </w:r>
          <w:r>
            <w:rPr>
              <w:rFonts w:hint="eastAsia"/>
              <w:spacing w:val="-1"/>
              <w:sz w:val="24"/>
              <w:szCs w:val="24"/>
              <w:lang w:val="en-US" w:eastAsia="zh-CN"/>
              <w14:textOutline w14:w="4354">
                <w14:solidFill>
                  <w14:srgbClr w14:val="000000"/>
                </w14:solidFill>
                <w14:prstDash w14:val="solid"/>
                <w14:miter w14:val="0"/>
              </w14:textOutline>
            </w:rPr>
            <w:t>八</w:t>
          </w:r>
          <w:r>
            <w:rPr>
              <w:spacing w:val="-1"/>
              <w:sz w:val="24"/>
              <w:szCs w:val="24"/>
              <w14:textOutline w14:w="4354">
                <w14:solidFill>
                  <w14:srgbClr w14:val="000000"/>
                </w14:solidFill>
                <w14:prstDash w14:val="solid"/>
                <w14:miter w14:val="0"/>
              </w14:textOutline>
            </w:rPr>
            <w:t>章   附件</w:t>
          </w:r>
          <w:r>
            <w:rPr>
              <w:spacing w:val="-1"/>
              <w:sz w:val="24"/>
              <w:szCs w:val="24"/>
              <w14:textOutline w14:w="4354">
                <w14:solidFill>
                  <w14:srgbClr w14:val="000000"/>
                </w14:solidFill>
                <w14:prstDash w14:val="solid"/>
                <w14:miter w14:val="0"/>
              </w14:textOutline>
            </w:rPr>
            <w:tab/>
          </w:r>
          <w:r>
            <w:rPr>
              <w:rFonts w:hint="eastAsia"/>
              <w:spacing w:val="-1"/>
              <w:sz w:val="24"/>
              <w:szCs w:val="24"/>
              <w:lang w:val="en-US" w:eastAsia="zh-CN"/>
              <w14:textOutline w14:w="4354">
                <w14:solidFill>
                  <w14:srgbClr w14:val="000000"/>
                </w14:solidFill>
                <w14:prstDash w14:val="solid"/>
                <w14:miter w14:val="0"/>
              </w14:textOutline>
            </w:rPr>
            <w:t>107</w:t>
          </w:r>
        </w:p>
      </w:sdtContent>
    </w:sdt>
    <w:p w14:paraId="325063A8">
      <w:pPr>
        <w:pStyle w:val="3"/>
        <w:spacing w:before="98" w:line="219" w:lineRule="auto"/>
        <w:ind w:left="3420"/>
        <w:rPr>
          <w:sz w:val="30"/>
          <w:szCs w:val="30"/>
        </w:rPr>
      </w:pPr>
      <w:r>
        <w:rPr>
          <w:spacing w:val="-1"/>
          <w:sz w:val="30"/>
          <w:szCs w:val="30"/>
          <w14:textOutline w14:w="5442">
            <w14:solidFill>
              <w14:srgbClr w14:val="000000"/>
            </w14:solidFill>
            <w14:prstDash w14:val="solid"/>
            <w14:miter w14:val="0"/>
          </w14:textOutline>
        </w:rPr>
        <w:t>第一章</w:t>
      </w:r>
      <w:r>
        <w:rPr>
          <w:spacing w:val="-1"/>
          <w:sz w:val="30"/>
          <w:szCs w:val="30"/>
        </w:rPr>
        <w:t xml:space="preserve">  </w:t>
      </w:r>
      <w:r>
        <w:rPr>
          <w:spacing w:val="-1"/>
          <w:sz w:val="30"/>
          <w:szCs w:val="30"/>
          <w14:textOutline w14:w="5442">
            <w14:solidFill>
              <w14:srgbClr w14:val="000000"/>
            </w14:solidFill>
            <w14:prstDash w14:val="solid"/>
            <w14:miter w14:val="0"/>
          </w14:textOutline>
        </w:rPr>
        <w:t>招标公告</w:t>
      </w:r>
    </w:p>
    <w:p w14:paraId="01B67E6A">
      <w:pPr>
        <w:spacing w:line="284" w:lineRule="auto"/>
        <w:rPr>
          <w:rFonts w:ascii="Arial"/>
          <w:sz w:val="21"/>
        </w:rPr>
      </w:pPr>
    </w:p>
    <w:p w14:paraId="6C984C03">
      <w:pPr>
        <w:spacing w:line="283" w:lineRule="auto"/>
        <w:jc w:val="center"/>
        <w:rPr>
          <w:rFonts w:ascii="Arial"/>
          <w:sz w:val="21"/>
        </w:rPr>
      </w:pPr>
      <w:r>
        <w:rPr>
          <w:rFonts w:hint="eastAsia"/>
          <w:sz w:val="30"/>
          <w:szCs w:val="30"/>
          <w:lang w:eastAsia="zh-CN"/>
          <w14:textOutline w14:w="5442">
            <w14:solidFill>
              <w14:srgbClr w14:val="000000"/>
            </w14:solidFill>
            <w14:prstDash w14:val="solid"/>
            <w14:miter w14:val="0"/>
          </w14:textOutline>
        </w:rPr>
        <w:t>林州市公安局2024年道路交通技术监控更新维护项目</w:t>
      </w:r>
    </w:p>
    <w:p w14:paraId="53E91FB9">
      <w:pPr>
        <w:pStyle w:val="3"/>
        <w:spacing w:before="98" w:line="219" w:lineRule="auto"/>
        <w:ind w:left="4023"/>
        <w:rPr>
          <w:sz w:val="30"/>
          <w:szCs w:val="30"/>
        </w:rPr>
      </w:pPr>
      <w:r>
        <w:rPr>
          <w:spacing w:val="-3"/>
          <w:sz w:val="30"/>
          <w:szCs w:val="30"/>
          <w14:textOutline w14:w="5442">
            <w14:solidFill>
              <w14:srgbClr w14:val="000000"/>
            </w14:solidFill>
            <w14:prstDash w14:val="solid"/>
            <w14:miter w14:val="0"/>
          </w14:textOutline>
        </w:rPr>
        <w:t>招标公告</w:t>
      </w:r>
    </w:p>
    <w:p w14:paraId="4DB9DA61">
      <w:pPr>
        <w:pStyle w:val="3"/>
        <w:spacing w:before="78" w:line="220" w:lineRule="auto"/>
        <w:ind w:left="521"/>
        <w:rPr>
          <w:sz w:val="24"/>
          <w:szCs w:val="24"/>
        </w:rPr>
      </w:pPr>
      <w:r>
        <w:rPr>
          <w:spacing w:val="-3"/>
          <w:sz w:val="24"/>
          <w:szCs w:val="24"/>
          <w14:textOutline w14:w="4354">
            <w14:solidFill>
              <w14:srgbClr w14:val="000000"/>
            </w14:solidFill>
            <w14:prstDash w14:val="solid"/>
            <w14:miter w14:val="0"/>
          </w14:textOutline>
        </w:rPr>
        <w:t>项目概况</w:t>
      </w:r>
    </w:p>
    <w:p w14:paraId="1145C5DF">
      <w:pPr>
        <w:keepNext w:val="0"/>
        <w:keepLines w:val="0"/>
        <w:widowControl/>
        <w:suppressLineNumbers w:val="0"/>
        <w:jc w:val="left"/>
        <w:rPr>
          <w:sz w:val="24"/>
          <w:szCs w:val="24"/>
        </w:rPr>
      </w:pPr>
      <w:r>
        <w:rPr>
          <w:rFonts w:hint="eastAsia"/>
          <w:spacing w:val="-2"/>
          <w:sz w:val="24"/>
          <w:szCs w:val="24"/>
          <w:lang w:eastAsia="zh-CN"/>
        </w:rPr>
        <w:t>林州市公安局</w:t>
      </w:r>
      <w:r>
        <w:rPr>
          <w:rFonts w:hint="eastAsia"/>
          <w:spacing w:val="-2"/>
          <w:sz w:val="24"/>
          <w:szCs w:val="24"/>
          <w:lang w:val="en-US" w:eastAsia="zh-CN"/>
        </w:rPr>
        <w:t>2024年</w:t>
      </w:r>
      <w:r>
        <w:rPr>
          <w:rFonts w:hint="eastAsia"/>
          <w:spacing w:val="-2"/>
          <w:sz w:val="24"/>
          <w:szCs w:val="24"/>
          <w:lang w:eastAsia="zh-CN"/>
        </w:rPr>
        <w:t>道路交通技术监控更新维护项目</w:t>
      </w:r>
      <w:r>
        <w:rPr>
          <w:spacing w:val="-2"/>
          <w:sz w:val="24"/>
          <w:szCs w:val="24"/>
        </w:rPr>
        <w:t>的潜在</w:t>
      </w:r>
      <w:r>
        <w:rPr>
          <w:rFonts w:hint="eastAsia"/>
          <w:spacing w:val="-2"/>
          <w:sz w:val="24"/>
          <w:szCs w:val="24"/>
          <w:lang w:eastAsia="zh-CN"/>
        </w:rPr>
        <w:t>供应商</w:t>
      </w:r>
      <w:r>
        <w:rPr>
          <w:spacing w:val="-2"/>
          <w:sz w:val="24"/>
          <w:szCs w:val="24"/>
        </w:rPr>
        <w:t>（申请</w:t>
      </w:r>
      <w:r>
        <w:rPr>
          <w:spacing w:val="-3"/>
          <w:sz w:val="24"/>
          <w:szCs w:val="24"/>
        </w:rPr>
        <w:t>人，下同）</w:t>
      </w:r>
      <w:r>
        <w:rPr>
          <w:spacing w:val="-24"/>
          <w:sz w:val="24"/>
          <w:szCs w:val="24"/>
        </w:rPr>
        <w:t xml:space="preserve"> </w:t>
      </w:r>
      <w:r>
        <w:rPr>
          <w:spacing w:val="-3"/>
          <w:sz w:val="24"/>
          <w:szCs w:val="24"/>
        </w:rPr>
        <w:t>应</w:t>
      </w:r>
      <w:r>
        <w:rPr>
          <w:rFonts w:ascii="Segoe UI" w:hAnsi="Segoe UI" w:eastAsia="Segoe UI" w:cs="Segoe UI"/>
          <w:i w:val="0"/>
          <w:iCs w:val="0"/>
          <w:caps w:val="0"/>
          <w:color w:val="333333"/>
          <w:spacing w:val="0"/>
          <w:sz w:val="24"/>
          <w:szCs w:val="24"/>
          <w:shd w:val="clear" w:fill="FFFFFF"/>
        </w:rPr>
        <w:t>在</w:t>
      </w:r>
      <w:r>
        <w:rPr>
          <w:rFonts w:hint="eastAsia" w:ascii="宋体" w:hAnsi="宋体" w:eastAsia="宋体" w:cs="宋体"/>
          <w:snapToGrid w:val="0"/>
          <w:color w:val="000000"/>
          <w:kern w:val="0"/>
          <w:sz w:val="24"/>
          <w:szCs w:val="24"/>
          <w:lang w:val="en-US" w:eastAsia="zh-CN" w:bidi="ar"/>
        </w:rPr>
        <w:t>林州市公共资源交易中心网站（https://ggzy.anyang.gov.cn/lzggzy/）</w:t>
      </w:r>
      <w:r>
        <w:rPr>
          <w:rFonts w:ascii="Segoe UI" w:hAnsi="Segoe UI" w:eastAsia="Segoe UI" w:cs="Segoe UI"/>
          <w:i w:val="0"/>
          <w:iCs w:val="0"/>
          <w:caps w:val="0"/>
          <w:color w:val="333333"/>
          <w:spacing w:val="0"/>
          <w:sz w:val="24"/>
          <w:szCs w:val="24"/>
          <w:shd w:val="clear" w:fill="FFFFFF"/>
        </w:rPr>
        <w:t>网站，凭企业数字证书获取</w:t>
      </w:r>
      <w:r>
        <w:rPr>
          <w:rFonts w:hint="eastAsia" w:ascii="Segoe UI" w:hAnsi="Segoe UI" w:eastAsia="宋体" w:cs="Segoe UI"/>
          <w:i w:val="0"/>
          <w:iCs w:val="0"/>
          <w:caps w:val="0"/>
          <w:color w:val="333333"/>
          <w:spacing w:val="0"/>
          <w:sz w:val="24"/>
          <w:szCs w:val="24"/>
          <w:shd w:val="clear" w:fill="FFFFFF"/>
          <w:lang w:eastAsia="zh-CN"/>
        </w:rPr>
        <w:t>招标文件</w:t>
      </w:r>
      <w:r>
        <w:rPr>
          <w:rFonts w:ascii="Segoe UI" w:hAnsi="Segoe UI" w:eastAsia="Segoe UI" w:cs="Segoe UI"/>
          <w:i w:val="0"/>
          <w:iCs w:val="0"/>
          <w:caps w:val="0"/>
          <w:color w:val="333333"/>
          <w:spacing w:val="0"/>
          <w:sz w:val="24"/>
          <w:szCs w:val="24"/>
          <w:shd w:val="clear" w:fill="FFFFFF"/>
        </w:rPr>
        <w:t>。</w:t>
      </w:r>
      <w:r>
        <w:rPr>
          <w:rFonts w:hint="eastAsia" w:ascii="Segoe UI" w:hAnsi="Segoe UI" w:eastAsia="宋体" w:cs="Segoe UI"/>
          <w:i w:val="0"/>
          <w:iCs w:val="0"/>
          <w:caps w:val="0"/>
          <w:color w:val="333333"/>
          <w:spacing w:val="0"/>
          <w:sz w:val="24"/>
          <w:szCs w:val="24"/>
          <w:shd w:val="clear" w:fill="FFFFFF"/>
          <w:lang w:eastAsia="zh-CN"/>
        </w:rPr>
        <w:t>并于 20</w:t>
      </w:r>
      <w:r>
        <w:rPr>
          <w:rFonts w:hint="eastAsia" w:ascii="Segoe UI" w:hAnsi="Segoe UI" w:eastAsia="宋体" w:cs="Segoe UI"/>
          <w:i w:val="0"/>
          <w:iCs w:val="0"/>
          <w:caps w:val="0"/>
          <w:color w:val="333333"/>
          <w:spacing w:val="0"/>
          <w:sz w:val="24"/>
          <w:szCs w:val="24"/>
          <w:shd w:val="clear" w:fill="FFFFFF"/>
          <w:lang w:val="en-US" w:eastAsia="zh-CN"/>
        </w:rPr>
        <w:t>25</w:t>
      </w:r>
      <w:r>
        <w:rPr>
          <w:rFonts w:hint="eastAsia" w:ascii="Segoe UI" w:hAnsi="Segoe UI" w:eastAsia="宋体" w:cs="Segoe UI"/>
          <w:i w:val="0"/>
          <w:iCs w:val="0"/>
          <w:caps w:val="0"/>
          <w:color w:val="333333"/>
          <w:spacing w:val="0"/>
          <w:sz w:val="24"/>
          <w:szCs w:val="24"/>
          <w:shd w:val="clear" w:fill="FFFFFF"/>
          <w:lang w:eastAsia="zh-CN"/>
        </w:rPr>
        <w:t xml:space="preserve"> 年</w:t>
      </w:r>
      <w:r>
        <w:rPr>
          <w:rFonts w:hint="eastAsia" w:ascii="Segoe UI" w:hAnsi="Segoe UI" w:eastAsia="宋体" w:cs="Segoe UI"/>
          <w:i w:val="0"/>
          <w:iCs w:val="0"/>
          <w:caps w:val="0"/>
          <w:color w:val="333333"/>
          <w:spacing w:val="0"/>
          <w:sz w:val="24"/>
          <w:szCs w:val="24"/>
          <w:shd w:val="clear" w:fill="FFFFFF"/>
          <w:lang w:val="en-US" w:eastAsia="zh-CN"/>
        </w:rPr>
        <w:t>2</w:t>
      </w:r>
      <w:r>
        <w:rPr>
          <w:rFonts w:hint="eastAsia" w:ascii="Segoe UI" w:hAnsi="Segoe UI" w:eastAsia="宋体" w:cs="Segoe UI"/>
          <w:i w:val="0"/>
          <w:iCs w:val="0"/>
          <w:caps w:val="0"/>
          <w:color w:val="333333"/>
          <w:spacing w:val="0"/>
          <w:sz w:val="24"/>
          <w:szCs w:val="24"/>
          <w:shd w:val="clear" w:fill="FFFFFF"/>
          <w:lang w:eastAsia="zh-CN"/>
        </w:rPr>
        <w:t>月</w:t>
      </w:r>
      <w:r>
        <w:rPr>
          <w:rFonts w:hint="eastAsia" w:ascii="Segoe UI" w:hAnsi="Segoe UI" w:eastAsia="宋体" w:cs="Segoe UI"/>
          <w:i w:val="0"/>
          <w:iCs w:val="0"/>
          <w:caps w:val="0"/>
          <w:color w:val="333333"/>
          <w:spacing w:val="0"/>
          <w:sz w:val="24"/>
          <w:szCs w:val="24"/>
          <w:shd w:val="clear" w:fill="FFFFFF"/>
          <w:lang w:val="en-US" w:eastAsia="zh-CN"/>
        </w:rPr>
        <w:t>27</w:t>
      </w:r>
      <w:r>
        <w:rPr>
          <w:rFonts w:hint="eastAsia" w:ascii="Segoe UI" w:hAnsi="Segoe UI" w:eastAsia="宋体" w:cs="Segoe UI"/>
          <w:i w:val="0"/>
          <w:iCs w:val="0"/>
          <w:caps w:val="0"/>
          <w:color w:val="333333"/>
          <w:spacing w:val="0"/>
          <w:sz w:val="24"/>
          <w:szCs w:val="24"/>
          <w:shd w:val="clear" w:fill="FFFFFF"/>
          <w:lang w:eastAsia="zh-CN"/>
        </w:rPr>
        <w:t>日上午 9 时 00 分</w:t>
      </w:r>
      <w:r>
        <w:rPr>
          <w:spacing w:val="-10"/>
          <w:sz w:val="24"/>
          <w:szCs w:val="24"/>
        </w:rPr>
        <w:t>前递交投标文件。</w:t>
      </w:r>
    </w:p>
    <w:p w14:paraId="6464163A">
      <w:pPr>
        <w:pStyle w:val="3"/>
        <w:spacing w:before="213" w:line="220" w:lineRule="auto"/>
        <w:ind w:left="521"/>
        <w:outlineLvl w:val="0"/>
        <w:rPr>
          <w:sz w:val="24"/>
          <w:szCs w:val="24"/>
        </w:rPr>
      </w:pPr>
      <w:r>
        <w:rPr>
          <w:spacing w:val="-1"/>
          <w:sz w:val="24"/>
          <w:szCs w:val="24"/>
          <w14:textOutline w14:w="4354">
            <w14:solidFill>
              <w14:srgbClr w14:val="000000"/>
            </w14:solidFill>
            <w14:prstDash w14:val="solid"/>
            <w14:miter w14:val="0"/>
          </w14:textOutline>
        </w:rPr>
        <w:t>一、项目基本情况</w:t>
      </w:r>
    </w:p>
    <w:p w14:paraId="57A80143">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1.项目编号：</w:t>
      </w:r>
      <w:r>
        <w:rPr>
          <w:rFonts w:hint="default" w:ascii="宋体" w:hAnsi="宋体" w:eastAsia="宋体" w:cs="宋体"/>
          <w:spacing w:val="-2"/>
          <w:sz w:val="24"/>
          <w:szCs w:val="24"/>
          <w:lang w:val="en-US" w:eastAsia="zh-CN"/>
        </w:rPr>
        <w:t xml:space="preserve">  </w:t>
      </w:r>
      <w:r>
        <w:rPr>
          <w:rFonts w:hint="eastAsia" w:ascii="宋体" w:hAnsi="宋体" w:eastAsia="宋体" w:cs="宋体"/>
          <w:spacing w:val="-2"/>
          <w:sz w:val="24"/>
          <w:szCs w:val="24"/>
          <w:lang w:eastAsia="zh-CN"/>
        </w:rPr>
        <w:t>林财公开采购</w:t>
      </w:r>
      <w:r>
        <w:rPr>
          <w:rFonts w:hint="eastAsia" w:ascii="宋体" w:hAnsi="宋体" w:eastAsia="宋体" w:cs="宋体"/>
          <w:spacing w:val="-2"/>
          <w:sz w:val="24"/>
          <w:szCs w:val="24"/>
          <w:lang w:val="en-US" w:eastAsia="zh-CN"/>
        </w:rPr>
        <w:t>-</w:t>
      </w:r>
      <w:r>
        <w:rPr>
          <w:rFonts w:hint="eastAsia" w:ascii="宋体" w:hAnsi="宋体" w:eastAsia="宋体" w:cs="宋体"/>
          <w:spacing w:val="-2"/>
          <w:sz w:val="24"/>
          <w:szCs w:val="24"/>
          <w:lang w:eastAsia="zh-CN"/>
        </w:rPr>
        <w:t>2025-GK2；</w:t>
      </w:r>
    </w:p>
    <w:p w14:paraId="4A149788">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2.项目名称：</w:t>
      </w:r>
      <w:r>
        <w:rPr>
          <w:rFonts w:hint="eastAsia" w:ascii="宋体" w:hAnsi="宋体" w:eastAsia="宋体" w:cs="宋体"/>
          <w:spacing w:val="-2"/>
          <w:sz w:val="24"/>
          <w:szCs w:val="24"/>
          <w:lang w:val="en-US" w:eastAsia="zh-CN"/>
        </w:rPr>
        <w:t>林州市公安局</w:t>
      </w:r>
      <w:r>
        <w:rPr>
          <w:rFonts w:hint="eastAsia" w:cs="宋体"/>
          <w:spacing w:val="-2"/>
          <w:sz w:val="24"/>
          <w:szCs w:val="24"/>
          <w:lang w:val="en-US" w:eastAsia="zh-CN"/>
        </w:rPr>
        <w:t>2024年</w:t>
      </w:r>
      <w:r>
        <w:rPr>
          <w:rFonts w:hint="eastAsia" w:ascii="宋体" w:hAnsi="宋体" w:eastAsia="宋体" w:cs="宋体"/>
          <w:spacing w:val="-2"/>
          <w:sz w:val="24"/>
          <w:szCs w:val="24"/>
          <w:lang w:val="en-US" w:eastAsia="zh-CN"/>
        </w:rPr>
        <w:t>道路交通技术监控更新维护项目</w:t>
      </w:r>
      <w:r>
        <w:rPr>
          <w:rFonts w:hint="eastAsia" w:ascii="宋体" w:hAnsi="宋体" w:eastAsia="宋体" w:cs="宋体"/>
          <w:spacing w:val="-2"/>
          <w:sz w:val="24"/>
          <w:szCs w:val="24"/>
          <w:lang w:eastAsia="zh-CN"/>
        </w:rPr>
        <w:t>；</w:t>
      </w:r>
    </w:p>
    <w:p w14:paraId="423237F0">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3.采购方式：公开招标；</w:t>
      </w:r>
    </w:p>
    <w:p w14:paraId="576163DC">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4.预算金额：</w:t>
      </w:r>
      <w:r>
        <w:rPr>
          <w:rFonts w:hint="eastAsia" w:ascii="宋体" w:hAnsi="宋体" w:eastAsia="宋体" w:cs="宋体"/>
          <w:spacing w:val="-2"/>
          <w:sz w:val="24"/>
          <w:szCs w:val="24"/>
          <w:lang w:val="en-US" w:eastAsia="zh-CN"/>
        </w:rPr>
        <w:t xml:space="preserve"> 2,800,000.00</w:t>
      </w:r>
      <w:r>
        <w:rPr>
          <w:rFonts w:hint="eastAsia" w:ascii="宋体" w:hAnsi="宋体" w:eastAsia="宋体" w:cs="宋体"/>
          <w:spacing w:val="-2"/>
          <w:sz w:val="24"/>
          <w:szCs w:val="24"/>
          <w:lang w:eastAsia="zh-CN"/>
        </w:rPr>
        <w:t>元/年</w:t>
      </w:r>
    </w:p>
    <w:p w14:paraId="5299A763">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 xml:space="preserve">最高限价： </w:t>
      </w:r>
      <w:r>
        <w:rPr>
          <w:rFonts w:hint="eastAsia" w:ascii="宋体" w:hAnsi="宋体" w:eastAsia="宋体" w:cs="宋体"/>
          <w:spacing w:val="-2"/>
          <w:sz w:val="24"/>
          <w:szCs w:val="24"/>
          <w:lang w:val="en-US" w:eastAsia="zh-CN"/>
        </w:rPr>
        <w:t>2,800,000.00</w:t>
      </w:r>
      <w:r>
        <w:rPr>
          <w:rFonts w:hint="eastAsia" w:ascii="宋体" w:hAnsi="宋体" w:eastAsia="宋体" w:cs="宋体"/>
          <w:spacing w:val="-2"/>
          <w:sz w:val="24"/>
          <w:szCs w:val="24"/>
          <w:lang w:eastAsia="zh-CN"/>
        </w:rPr>
        <w:t>元/年</w:t>
      </w:r>
      <w:r>
        <w:rPr>
          <w:rFonts w:hint="default" w:ascii="仿宋" w:hAnsi="仿宋" w:eastAsia="仿宋" w:cs="仿宋"/>
          <w:color w:val="auto"/>
          <w:sz w:val="24"/>
          <w:szCs w:val="24"/>
          <w:highlight w:val="none"/>
          <w:u w:val="none"/>
          <w:vertAlign w:val="baseline"/>
          <w:lang w:val="en-US" w:eastAsia="zh-CN"/>
        </w:rPr>
        <w:t xml:space="preserve">(本项目采用单价招标，采购预算单价的最高限为 </w:t>
      </w:r>
      <w:r>
        <w:rPr>
          <w:rFonts w:hint="eastAsia" w:ascii="仿宋" w:hAnsi="仿宋" w:eastAsia="仿宋" w:cs="仿宋"/>
          <w:color w:val="auto"/>
          <w:sz w:val="24"/>
          <w:szCs w:val="24"/>
          <w:highlight w:val="none"/>
          <w:u w:val="none"/>
          <w:vertAlign w:val="baseline"/>
          <w:lang w:val="en-US" w:eastAsia="zh-CN"/>
        </w:rPr>
        <w:t>1980369.49</w:t>
      </w:r>
      <w:r>
        <w:rPr>
          <w:rFonts w:hint="default" w:ascii="仿宋" w:hAnsi="仿宋" w:eastAsia="仿宋" w:cs="仿宋"/>
          <w:color w:val="auto"/>
          <w:sz w:val="24"/>
          <w:szCs w:val="24"/>
          <w:highlight w:val="none"/>
          <w:u w:val="none"/>
          <w:vertAlign w:val="baseline"/>
          <w:lang w:val="en-US" w:eastAsia="zh-CN"/>
        </w:rPr>
        <w:t>元)</w:t>
      </w:r>
    </w:p>
    <w:p w14:paraId="3F78952C">
      <w:pPr>
        <w:spacing w:line="141" w:lineRule="exact"/>
      </w:pPr>
    </w:p>
    <w:tbl>
      <w:tblPr>
        <w:tblStyle w:val="24"/>
        <w:tblW w:w="94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
        <w:gridCol w:w="700"/>
        <w:gridCol w:w="2992"/>
        <w:gridCol w:w="1460"/>
        <w:gridCol w:w="1638"/>
        <w:gridCol w:w="1078"/>
        <w:gridCol w:w="1078"/>
      </w:tblGrid>
      <w:tr w14:paraId="6D209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454" w:type="dxa"/>
            <w:vAlign w:val="center"/>
          </w:tcPr>
          <w:p w14:paraId="7C742EC9">
            <w:pPr>
              <w:pStyle w:val="25"/>
              <w:spacing w:before="270" w:line="222" w:lineRule="auto"/>
              <w:jc w:val="center"/>
              <w:rPr>
                <w:rFonts w:hint="eastAsia"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zh-CN" w:bidi="ar-SA"/>
              </w:rPr>
              <w:t>序号</w:t>
            </w:r>
          </w:p>
        </w:tc>
        <w:tc>
          <w:tcPr>
            <w:tcW w:w="700" w:type="dxa"/>
            <w:vAlign w:val="center"/>
          </w:tcPr>
          <w:p w14:paraId="2016D9C8">
            <w:pPr>
              <w:pStyle w:val="25"/>
              <w:spacing w:before="270" w:line="222" w:lineRule="auto"/>
              <w:jc w:val="center"/>
              <w:rPr>
                <w:rFonts w:hint="eastAsia"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zh-CN" w:bidi="ar-SA"/>
              </w:rPr>
              <w:t>包号</w:t>
            </w:r>
          </w:p>
        </w:tc>
        <w:tc>
          <w:tcPr>
            <w:tcW w:w="2992" w:type="dxa"/>
            <w:vAlign w:val="center"/>
          </w:tcPr>
          <w:p w14:paraId="31961323">
            <w:pPr>
              <w:pStyle w:val="25"/>
              <w:spacing w:before="271" w:line="222" w:lineRule="auto"/>
              <w:jc w:val="center"/>
              <w:rPr>
                <w:rFonts w:hint="eastAsia"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zh-CN" w:bidi="ar-SA"/>
              </w:rPr>
              <w:t>包名称</w:t>
            </w:r>
          </w:p>
        </w:tc>
        <w:tc>
          <w:tcPr>
            <w:tcW w:w="1460" w:type="dxa"/>
            <w:vAlign w:val="center"/>
          </w:tcPr>
          <w:p w14:paraId="29DADFF8">
            <w:pPr>
              <w:pStyle w:val="25"/>
              <w:spacing w:before="68" w:line="182" w:lineRule="auto"/>
              <w:ind w:left="337"/>
              <w:jc w:val="center"/>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包预算（元/年）</w:t>
            </w:r>
          </w:p>
        </w:tc>
        <w:tc>
          <w:tcPr>
            <w:tcW w:w="1638" w:type="dxa"/>
            <w:vAlign w:val="center"/>
          </w:tcPr>
          <w:p w14:paraId="5D7AA5BA">
            <w:pPr>
              <w:pStyle w:val="25"/>
              <w:spacing w:before="68" w:line="182" w:lineRule="auto"/>
              <w:ind w:left="337"/>
              <w:jc w:val="center"/>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包最高限价</w:t>
            </w:r>
          </w:p>
          <w:p w14:paraId="12F8DC12">
            <w:pPr>
              <w:pStyle w:val="25"/>
              <w:spacing w:before="68" w:line="182" w:lineRule="auto"/>
              <w:ind w:left="337"/>
              <w:jc w:val="center"/>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（元/年）</w:t>
            </w:r>
          </w:p>
        </w:tc>
        <w:tc>
          <w:tcPr>
            <w:tcW w:w="1078" w:type="dxa"/>
            <w:vAlign w:val="center"/>
          </w:tcPr>
          <w:p w14:paraId="5BD7F6D6">
            <w:pPr>
              <w:pStyle w:val="25"/>
              <w:spacing w:before="68" w:line="182" w:lineRule="auto"/>
              <w:jc w:val="both"/>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是否专门面向中小企业</w:t>
            </w:r>
          </w:p>
          <w:p w14:paraId="6D7BC6F4">
            <w:pPr>
              <w:pStyle w:val="25"/>
              <w:spacing w:before="68" w:line="182" w:lineRule="auto"/>
              <w:ind w:left="337"/>
              <w:jc w:val="center"/>
              <w:rPr>
                <w:rFonts w:hint="eastAsia" w:ascii="仿宋" w:hAnsi="仿宋" w:eastAsia="仿宋" w:cs="仿宋"/>
                <w:color w:val="auto"/>
                <w:sz w:val="24"/>
                <w:szCs w:val="24"/>
                <w:highlight w:val="none"/>
                <w:u w:val="none"/>
                <w:vertAlign w:val="baseline"/>
                <w:lang w:val="en-US" w:eastAsia="zh-CN"/>
              </w:rPr>
            </w:pPr>
          </w:p>
        </w:tc>
        <w:tc>
          <w:tcPr>
            <w:tcW w:w="1078" w:type="dxa"/>
            <w:vAlign w:val="center"/>
          </w:tcPr>
          <w:p w14:paraId="34E6FDBA">
            <w:pPr>
              <w:pStyle w:val="25"/>
              <w:spacing w:before="68" w:line="182" w:lineRule="auto"/>
              <w:jc w:val="both"/>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 xml:space="preserve">采购预留金 </w:t>
            </w:r>
          </w:p>
          <w:p w14:paraId="335C81BB">
            <w:pPr>
              <w:pStyle w:val="25"/>
              <w:spacing w:before="68" w:line="182" w:lineRule="auto"/>
              <w:ind w:left="337"/>
              <w:jc w:val="center"/>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额（元）</w:t>
            </w:r>
          </w:p>
          <w:p w14:paraId="6A402F58">
            <w:pPr>
              <w:pStyle w:val="25"/>
              <w:spacing w:before="68" w:line="182" w:lineRule="auto"/>
              <w:ind w:left="337"/>
              <w:jc w:val="center"/>
              <w:rPr>
                <w:rFonts w:hint="eastAsia" w:ascii="仿宋" w:hAnsi="仿宋" w:eastAsia="仿宋" w:cs="仿宋"/>
                <w:color w:val="auto"/>
                <w:sz w:val="24"/>
                <w:szCs w:val="24"/>
                <w:highlight w:val="none"/>
                <w:u w:val="none"/>
                <w:vertAlign w:val="baseline"/>
                <w:lang w:val="en-US" w:eastAsia="zh-CN"/>
              </w:rPr>
            </w:pPr>
          </w:p>
        </w:tc>
      </w:tr>
      <w:tr w14:paraId="1948F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5" w:hRule="atLeast"/>
        </w:trPr>
        <w:tc>
          <w:tcPr>
            <w:tcW w:w="454" w:type="dxa"/>
            <w:vAlign w:val="center"/>
          </w:tcPr>
          <w:p w14:paraId="20E09C0C">
            <w:pPr>
              <w:pStyle w:val="25"/>
              <w:spacing w:before="68" w:line="182" w:lineRule="auto"/>
              <w:jc w:val="center"/>
              <w:rPr>
                <w:rFonts w:hint="eastAsia"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zh-CN" w:bidi="ar-SA"/>
              </w:rPr>
              <w:t>1</w:t>
            </w:r>
          </w:p>
        </w:tc>
        <w:tc>
          <w:tcPr>
            <w:tcW w:w="700" w:type="dxa"/>
            <w:vAlign w:val="center"/>
          </w:tcPr>
          <w:p w14:paraId="6374142A">
            <w:pPr>
              <w:spacing w:line="358" w:lineRule="auto"/>
              <w:jc w:val="center"/>
              <w:rPr>
                <w:rFonts w:hint="eastAsia" w:ascii="宋体" w:hAnsi="宋体" w:eastAsia="宋体" w:cs="宋体"/>
                <w:snapToGrid w:val="0"/>
                <w:color w:val="000000"/>
                <w:spacing w:val="-2"/>
                <w:kern w:val="0"/>
                <w:sz w:val="24"/>
                <w:szCs w:val="24"/>
                <w:lang w:val="en-US" w:eastAsia="zh-CN" w:bidi="ar-SA"/>
              </w:rPr>
            </w:pPr>
          </w:p>
          <w:p w14:paraId="0283424F">
            <w:pPr>
              <w:spacing w:line="358" w:lineRule="auto"/>
              <w:jc w:val="center"/>
              <w:rPr>
                <w:rFonts w:hint="eastAsia"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zh-CN" w:bidi="ar-SA"/>
              </w:rPr>
              <w:t>1</w:t>
            </w:r>
          </w:p>
        </w:tc>
        <w:tc>
          <w:tcPr>
            <w:tcW w:w="2992" w:type="dxa"/>
            <w:vAlign w:val="center"/>
          </w:tcPr>
          <w:p w14:paraId="66C74A0E">
            <w:pPr>
              <w:pStyle w:val="25"/>
              <w:spacing w:before="75" w:line="256" w:lineRule="auto"/>
              <w:ind w:left="110" w:right="102"/>
              <w:jc w:val="center"/>
              <w:rPr>
                <w:rFonts w:hint="eastAsia"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zh-CN" w:bidi="ar-SA"/>
              </w:rPr>
              <w:t>林州市公安局2024年道路交通技术监控更新维护项目</w:t>
            </w:r>
          </w:p>
        </w:tc>
        <w:tc>
          <w:tcPr>
            <w:tcW w:w="1460" w:type="dxa"/>
            <w:vAlign w:val="center"/>
          </w:tcPr>
          <w:p w14:paraId="521E619E">
            <w:pPr>
              <w:pStyle w:val="25"/>
              <w:spacing w:before="68" w:line="182" w:lineRule="auto"/>
              <w:jc w:val="both"/>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2,800,000.00</w:t>
            </w:r>
          </w:p>
        </w:tc>
        <w:tc>
          <w:tcPr>
            <w:tcW w:w="1638" w:type="dxa"/>
            <w:vAlign w:val="center"/>
          </w:tcPr>
          <w:p w14:paraId="155C9B8B">
            <w:pPr>
              <w:pStyle w:val="25"/>
              <w:spacing w:before="68" w:line="182" w:lineRule="auto"/>
              <w:jc w:val="both"/>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280</w:t>
            </w:r>
            <w:r>
              <w:rPr>
                <w:rFonts w:hint="default" w:ascii="仿宋" w:hAnsi="仿宋" w:eastAsia="仿宋" w:cs="仿宋"/>
                <w:color w:val="auto"/>
                <w:sz w:val="24"/>
                <w:szCs w:val="24"/>
                <w:highlight w:val="none"/>
                <w:u w:val="none"/>
                <w:vertAlign w:val="baseline"/>
                <w:lang w:val="en-US" w:eastAsia="zh-CN"/>
              </w:rPr>
              <w:t xml:space="preserve">0000.00(本项目采用单价招标，采购预算单价的最高限为 </w:t>
            </w:r>
            <w:r>
              <w:rPr>
                <w:rFonts w:hint="eastAsia" w:ascii="仿宋" w:hAnsi="仿宋" w:eastAsia="仿宋" w:cs="仿宋"/>
                <w:color w:val="auto"/>
                <w:sz w:val="24"/>
                <w:szCs w:val="24"/>
                <w:highlight w:val="none"/>
                <w:u w:val="none"/>
                <w:vertAlign w:val="baseline"/>
                <w:lang w:val="en-US" w:eastAsia="zh-CN"/>
              </w:rPr>
              <w:t>1980369.49</w:t>
            </w:r>
            <w:r>
              <w:rPr>
                <w:rFonts w:hint="default" w:ascii="仿宋" w:hAnsi="仿宋" w:eastAsia="仿宋" w:cs="仿宋"/>
                <w:color w:val="auto"/>
                <w:sz w:val="24"/>
                <w:szCs w:val="24"/>
                <w:highlight w:val="none"/>
                <w:u w:val="none"/>
                <w:vertAlign w:val="baseline"/>
                <w:lang w:val="en-US" w:eastAsia="zh-CN"/>
              </w:rPr>
              <w:t>元)</w:t>
            </w:r>
          </w:p>
        </w:tc>
        <w:tc>
          <w:tcPr>
            <w:tcW w:w="1078" w:type="dxa"/>
            <w:vAlign w:val="center"/>
          </w:tcPr>
          <w:p w14:paraId="46EF1AD1">
            <w:pPr>
              <w:pStyle w:val="25"/>
              <w:spacing w:before="68" w:line="182" w:lineRule="auto"/>
              <w:ind w:left="337"/>
              <w:jc w:val="both"/>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否</w:t>
            </w:r>
          </w:p>
        </w:tc>
        <w:tc>
          <w:tcPr>
            <w:tcW w:w="1078" w:type="dxa"/>
            <w:vAlign w:val="center"/>
          </w:tcPr>
          <w:p w14:paraId="7EE76858">
            <w:pPr>
              <w:pStyle w:val="25"/>
              <w:spacing w:before="68" w:line="182" w:lineRule="auto"/>
              <w:ind w:left="337"/>
              <w:jc w:val="both"/>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0</w:t>
            </w:r>
          </w:p>
        </w:tc>
      </w:tr>
    </w:tbl>
    <w:p w14:paraId="3CFC917B">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5.采购需求</w:t>
      </w:r>
    </w:p>
    <w:p w14:paraId="62737E4B">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5.1 采购内容：</w:t>
      </w:r>
      <w:r>
        <w:rPr>
          <w:rFonts w:hint="eastAsia" w:ascii="宋体" w:hAnsi="宋体" w:eastAsia="宋体" w:cs="宋体"/>
          <w:spacing w:val="-2"/>
          <w:sz w:val="24"/>
          <w:szCs w:val="24"/>
          <w:lang w:val="en-US" w:eastAsia="en-US"/>
        </w:rPr>
        <w:t>道路交通技术监控（电子警察）维护、保养、</w:t>
      </w:r>
      <w:r>
        <w:rPr>
          <w:rFonts w:hint="eastAsia" w:cs="宋体"/>
          <w:spacing w:val="-2"/>
          <w:sz w:val="24"/>
          <w:szCs w:val="24"/>
          <w:lang w:val="en-US" w:eastAsia="zh-CN"/>
        </w:rPr>
        <w:t>更新、</w:t>
      </w:r>
      <w:r>
        <w:rPr>
          <w:rFonts w:hint="eastAsia" w:ascii="宋体" w:hAnsi="宋体" w:eastAsia="宋体" w:cs="宋体"/>
          <w:spacing w:val="-2"/>
          <w:sz w:val="24"/>
          <w:szCs w:val="24"/>
          <w:lang w:val="en-US" w:eastAsia="en-US"/>
        </w:rPr>
        <w:t>升级、信息系统集成、优化、服务等。</w:t>
      </w:r>
    </w:p>
    <w:p w14:paraId="2B71F4E8">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5.2 作业范围：林州市行政区域内（采购人指定地点）；</w:t>
      </w:r>
    </w:p>
    <w:p w14:paraId="5835DF4A">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5.3 资金来源：财政资金；</w:t>
      </w:r>
    </w:p>
    <w:p w14:paraId="1E5CCED8">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5.4 质量标准：符合国家及行业规范要求标准，并满足采购人要求；</w:t>
      </w:r>
    </w:p>
    <w:p w14:paraId="5A89EAAC">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en-US"/>
        </w:rPr>
        <w:t>5.5招标方式：单项价格招标采购，在本标资金范围内据实结算；</w:t>
      </w:r>
    </w:p>
    <w:p w14:paraId="6BA138DF">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 xml:space="preserve">6.合同履行期限： </w:t>
      </w:r>
      <w:r>
        <w:rPr>
          <w:rFonts w:hint="default" w:ascii="宋体" w:hAnsi="宋体" w:eastAsia="宋体" w:cs="宋体"/>
          <w:spacing w:val="-2"/>
          <w:sz w:val="24"/>
          <w:szCs w:val="24"/>
          <w:lang w:val="en-US" w:eastAsia="zh-CN"/>
        </w:rPr>
        <w:t>1</w:t>
      </w:r>
      <w:r>
        <w:rPr>
          <w:rFonts w:hint="eastAsia" w:ascii="宋体" w:hAnsi="宋体" w:eastAsia="宋体" w:cs="宋体"/>
          <w:spacing w:val="-2"/>
          <w:sz w:val="24"/>
          <w:szCs w:val="24"/>
          <w:lang w:eastAsia="zh-CN"/>
        </w:rPr>
        <w:t xml:space="preserve"> 年；</w:t>
      </w:r>
    </w:p>
    <w:p w14:paraId="22A2E5AE">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7.本项目是否接受联合体投标：否；</w:t>
      </w:r>
    </w:p>
    <w:p w14:paraId="014D54E7">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8.是否接受进口产品：否；</w:t>
      </w:r>
    </w:p>
    <w:p w14:paraId="2EE4FD5D">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9.是否专门面向中小企业：否。</w:t>
      </w:r>
    </w:p>
    <w:p w14:paraId="6318E5CA">
      <w:pPr>
        <w:pStyle w:val="3"/>
        <w:spacing w:before="78" w:line="220" w:lineRule="auto"/>
        <w:ind w:left="493"/>
        <w:outlineLvl w:val="0"/>
        <w:rPr>
          <w:sz w:val="24"/>
          <w:szCs w:val="24"/>
        </w:rPr>
      </w:pPr>
      <w:r>
        <w:rPr>
          <w:spacing w:val="-1"/>
          <w:sz w:val="24"/>
          <w:szCs w:val="24"/>
          <w14:textOutline w14:w="4354">
            <w14:solidFill>
              <w14:srgbClr w14:val="000000"/>
            </w14:solidFill>
            <w14:prstDash w14:val="solid"/>
            <w14:miter w14:val="0"/>
          </w14:textOutline>
        </w:rPr>
        <w:t>二、申请人资格要求</w:t>
      </w:r>
    </w:p>
    <w:p w14:paraId="12CE7C65">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1.满足《中华人民共和国政府采购法》第二十二条；</w:t>
      </w:r>
    </w:p>
    <w:p w14:paraId="163932E0">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val="en-US" w:eastAsia="en-US"/>
        </w:rPr>
        <w:t>2.落实政府采购政策需满足的资格要求：</w:t>
      </w:r>
      <w:r>
        <w:rPr>
          <w:rFonts w:hint="eastAsia" w:ascii="宋体" w:hAnsi="宋体" w:eastAsia="宋体" w:cs="宋体"/>
          <w:spacing w:val="-2"/>
          <w:sz w:val="24"/>
          <w:szCs w:val="24"/>
          <w:lang w:val="en-US" w:eastAsia="zh-CN"/>
        </w:rPr>
        <w:t>本项目不专门面向中小企业采购，对于满足《政府采购促进中小企业发展管理办法》(财库〔2020〕46号)规定的小微企业执行价格优惠政策。</w:t>
      </w:r>
    </w:p>
    <w:p w14:paraId="68469334">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3.本项目的特定资格要求：</w:t>
      </w:r>
    </w:p>
    <w:p w14:paraId="73D10E91">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3.1 按照《中华人民共和国政府采购法》第</w:t>
      </w:r>
      <w:r>
        <w:rPr>
          <w:rFonts w:hint="eastAsia" w:cs="宋体"/>
          <w:spacing w:val="-2"/>
          <w:sz w:val="24"/>
          <w:szCs w:val="24"/>
          <w:lang w:val="en-US" w:eastAsia="zh-CN"/>
        </w:rPr>
        <w:t>二十二</w:t>
      </w:r>
      <w:r>
        <w:rPr>
          <w:rFonts w:hint="eastAsia" w:ascii="宋体" w:hAnsi="宋体" w:eastAsia="宋体" w:cs="宋体"/>
          <w:spacing w:val="-2"/>
          <w:sz w:val="24"/>
          <w:szCs w:val="24"/>
          <w:lang w:eastAsia="zh-CN"/>
        </w:rPr>
        <w:t>条规定，提供下列材料：</w:t>
      </w:r>
    </w:p>
    <w:p w14:paraId="0178098D">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（1）法人或者其他组织的营业执照等证明文件；</w:t>
      </w:r>
    </w:p>
    <w:p w14:paraId="50FEEFDF">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（2）财务状况报告（提供第三方审计机构出具的 202</w:t>
      </w:r>
      <w:r>
        <w:rPr>
          <w:rFonts w:hint="eastAsia" w:cs="宋体"/>
          <w:spacing w:val="-2"/>
          <w:sz w:val="24"/>
          <w:szCs w:val="24"/>
          <w:lang w:val="en-US" w:eastAsia="zh-CN"/>
        </w:rPr>
        <w:t>4</w:t>
      </w:r>
      <w:r>
        <w:rPr>
          <w:rFonts w:hint="eastAsia" w:ascii="宋体" w:hAnsi="宋体" w:eastAsia="宋体" w:cs="宋体"/>
          <w:spacing w:val="-2"/>
          <w:sz w:val="24"/>
          <w:szCs w:val="24"/>
          <w:lang w:eastAsia="zh-CN"/>
        </w:rPr>
        <w:t xml:space="preserve"> 年度财务审计报告；公司成立时间不足一年的， 可提供开户银行资信证明） ，202</w:t>
      </w:r>
      <w:r>
        <w:rPr>
          <w:rFonts w:hint="eastAsia" w:cs="宋体"/>
          <w:spacing w:val="-2"/>
          <w:sz w:val="24"/>
          <w:szCs w:val="24"/>
          <w:lang w:val="en-US" w:eastAsia="zh-CN"/>
        </w:rPr>
        <w:t>4</w:t>
      </w:r>
      <w:r>
        <w:rPr>
          <w:rFonts w:hint="eastAsia" w:ascii="宋体" w:hAnsi="宋体" w:eastAsia="宋体" w:cs="宋体"/>
          <w:spacing w:val="-2"/>
          <w:sz w:val="24"/>
          <w:szCs w:val="24"/>
          <w:lang w:eastAsia="zh-CN"/>
        </w:rPr>
        <w:t>年以来连续3个月依法缴纳税收 和社会保障资金的相关证明材料（成立不足要求时限的</w:t>
      </w:r>
      <w:r>
        <w:rPr>
          <w:rFonts w:hint="default" w:ascii="宋体" w:hAnsi="宋体" w:eastAsia="宋体" w:cs="宋体"/>
          <w:spacing w:val="-2"/>
          <w:sz w:val="24"/>
          <w:szCs w:val="24"/>
          <w:lang w:val="en-US" w:eastAsia="zh-CN"/>
        </w:rPr>
        <w:t>,</w:t>
      </w:r>
      <w:r>
        <w:rPr>
          <w:rFonts w:hint="eastAsia" w:ascii="宋体" w:hAnsi="宋体" w:eastAsia="宋体" w:cs="宋体"/>
          <w:spacing w:val="-2"/>
          <w:sz w:val="24"/>
          <w:szCs w:val="24"/>
          <w:lang w:eastAsia="zh-CN"/>
        </w:rPr>
        <w:t>提供自成立以来依法缴纳税收和社会保障资金的相关证明材料；依法免税或不需要缴纳社会保障资金的应提供相关证明材料）；</w:t>
      </w:r>
    </w:p>
    <w:p w14:paraId="67FDC978">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（3）具有履行合同所必需的设备和专业技术能力的证明材料（提供书面声明）；</w:t>
      </w:r>
    </w:p>
    <w:p w14:paraId="0824A364">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（4）参加政府采购活动前 3 年内在经营活动中没有重大违法记录的书面声明；</w:t>
      </w:r>
    </w:p>
    <w:p w14:paraId="5F503CDC">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（5）具备法律、行政法规规定的其他条件的证明材料（提供书面声明）；</w:t>
      </w:r>
    </w:p>
    <w:p w14:paraId="3893FFC8">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 xml:space="preserve">3.2 </w:t>
      </w:r>
      <w:r>
        <w:rPr>
          <w:rFonts w:hint="eastAsia" w:ascii="宋体" w:hAnsi="宋体" w:eastAsia="宋体" w:cs="宋体"/>
          <w:spacing w:val="-2"/>
          <w:sz w:val="24"/>
          <w:szCs w:val="24"/>
          <w:lang w:val="en-US" w:eastAsia="zh-CN"/>
        </w:rPr>
        <w:t>供应商</w:t>
      </w:r>
      <w:r>
        <w:rPr>
          <w:rFonts w:hint="eastAsia" w:ascii="宋体" w:hAnsi="宋体" w:eastAsia="宋体" w:cs="宋体"/>
          <w:spacing w:val="-2"/>
          <w:sz w:val="24"/>
          <w:szCs w:val="24"/>
          <w:lang w:val="en-US" w:eastAsia="en-US"/>
        </w:rPr>
        <w:t>须具有电子与智能化工程专业承包贰级及以上资质,具有有效的安全生产许可证。</w:t>
      </w:r>
    </w:p>
    <w:p w14:paraId="73B8991C">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3.3 供应商近三年（202</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lang w:eastAsia="zh-CN"/>
        </w:rPr>
        <w:t>年以来） 在经营活动中信誉良好，没有处于被接管、停止 营业、注销、破产等状态，以及在建设行政主管部门或其授权部门的随机抽查中未被列入不合格状态（提供书面承诺）；</w:t>
      </w:r>
    </w:p>
    <w:p w14:paraId="25519A65">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en-US"/>
        </w:rPr>
        <w:t xml:space="preserve">3.4 </w:t>
      </w:r>
      <w:r>
        <w:rPr>
          <w:rFonts w:hint="eastAsia" w:ascii="宋体" w:hAnsi="宋体" w:eastAsia="宋体" w:cs="宋体"/>
          <w:spacing w:val="-2"/>
          <w:sz w:val="24"/>
          <w:szCs w:val="24"/>
          <w:lang w:val="en-US" w:eastAsia="zh-CN"/>
        </w:rPr>
        <w:t>供应商</w:t>
      </w:r>
      <w:r>
        <w:rPr>
          <w:rFonts w:hint="eastAsia" w:ascii="宋体" w:hAnsi="宋体" w:eastAsia="宋体" w:cs="宋体"/>
          <w:spacing w:val="-2"/>
          <w:sz w:val="24"/>
          <w:szCs w:val="24"/>
          <w:lang w:val="en-US" w:eastAsia="en-US"/>
        </w:rPr>
        <w:t>拟派本项目技术负责人须具有相关专业贰级及以上注册建造师执业资格证书（在本单位注册，不含临时建造师），具有有效的安全生产考核合格证书；提供技术负责人有效的劳动合同和20</w:t>
      </w:r>
      <w:r>
        <w:rPr>
          <w:rFonts w:hint="eastAsia" w:ascii="宋体" w:hAnsi="宋体" w:eastAsia="宋体" w:cs="宋体"/>
          <w:spacing w:val="-2"/>
          <w:sz w:val="24"/>
          <w:szCs w:val="24"/>
          <w:lang w:val="en-US" w:eastAsia="zh-CN"/>
        </w:rPr>
        <w:t>24</w:t>
      </w:r>
      <w:r>
        <w:rPr>
          <w:rFonts w:hint="eastAsia" w:ascii="宋体" w:hAnsi="宋体" w:eastAsia="宋体" w:cs="宋体"/>
          <w:spacing w:val="-2"/>
          <w:sz w:val="24"/>
          <w:szCs w:val="24"/>
          <w:lang w:val="en-US" w:eastAsia="en-US"/>
        </w:rPr>
        <w:t>年</w:t>
      </w:r>
      <w:r>
        <w:rPr>
          <w:rFonts w:hint="eastAsia" w:cs="宋体"/>
          <w:spacing w:val="-2"/>
          <w:sz w:val="24"/>
          <w:szCs w:val="24"/>
          <w:lang w:val="en-US" w:eastAsia="zh-CN"/>
        </w:rPr>
        <w:t>6</w:t>
      </w:r>
      <w:r>
        <w:rPr>
          <w:rFonts w:hint="eastAsia" w:ascii="宋体" w:hAnsi="宋体" w:eastAsia="宋体" w:cs="宋体"/>
          <w:spacing w:val="-2"/>
          <w:sz w:val="24"/>
          <w:szCs w:val="24"/>
          <w:lang w:val="en-US" w:eastAsia="en-US"/>
        </w:rPr>
        <w:t>月以来在本单位连续缴纳的社保证明（提供社保局出具的证明及社保网上查询截图）。</w:t>
      </w:r>
    </w:p>
    <w:p w14:paraId="05B13206">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3.</w:t>
      </w:r>
      <w:r>
        <w:rPr>
          <w:rFonts w:hint="default" w:ascii="宋体" w:hAnsi="宋体" w:eastAsia="宋体" w:cs="宋体"/>
          <w:spacing w:val="-2"/>
          <w:sz w:val="24"/>
          <w:szCs w:val="24"/>
          <w:lang w:val="en-US" w:eastAsia="zh-CN"/>
        </w:rPr>
        <w:t>5</w:t>
      </w:r>
      <w:r>
        <w:rPr>
          <w:rFonts w:hint="eastAsia" w:ascii="宋体" w:hAnsi="宋体" w:eastAsia="宋体" w:cs="宋体"/>
          <w:spacing w:val="-2"/>
          <w:sz w:val="24"/>
          <w:szCs w:val="24"/>
          <w:lang w:eastAsia="zh-CN"/>
        </w:rPr>
        <w:t xml:space="preserve"> 自本公告发布之日起通过“信用中国 ”网站（www.creditchina.gov.cn）信用服务渠道查询企业信用记录， 被列入“失信被执行人（中国执行信息公开网 http://zxgk.court.gov.cn/shixin/） ”、“政府采购严重违法失信名单 ”、“重大税收违法失信主体 ”的供应商，不得参与本次采购活动； 自本公告发布之日起通过“ 中国政府采购网 ”网站（www.ccgp.gov.cn）政府采购严重 违法失信行为记录名单查询企业信用记录， 被列入政府采购严重违法失信行为记录名单 的供应商，不得参与本次采购活动；自本公告发布之日起通过“国家企业信用信息公示系统 ”网站（</w:t>
      </w:r>
      <w:r>
        <w:rPr>
          <w:rFonts w:hint="eastAsia" w:ascii="宋体" w:hAnsi="宋体" w:eastAsia="宋体" w:cs="宋体"/>
          <w:spacing w:val="-2"/>
          <w:sz w:val="24"/>
          <w:szCs w:val="24"/>
          <w:lang w:eastAsia="zh-CN"/>
        </w:rPr>
        <w:fldChar w:fldCharType="begin"/>
      </w:r>
      <w:r>
        <w:rPr>
          <w:rFonts w:hint="eastAsia" w:ascii="宋体" w:hAnsi="宋体" w:eastAsia="宋体" w:cs="宋体"/>
          <w:spacing w:val="-2"/>
          <w:sz w:val="24"/>
          <w:szCs w:val="24"/>
          <w:lang w:eastAsia="zh-CN"/>
        </w:rPr>
        <w:instrText xml:space="preserve"> HYPERLINK "http://www.gsxt.gov.cn/corp-query-homepage.html" </w:instrText>
      </w:r>
      <w:r>
        <w:rPr>
          <w:rFonts w:hint="eastAsia" w:ascii="宋体" w:hAnsi="宋体" w:eastAsia="宋体" w:cs="宋体"/>
          <w:spacing w:val="-2"/>
          <w:sz w:val="24"/>
          <w:szCs w:val="24"/>
          <w:lang w:eastAsia="zh-CN"/>
        </w:rPr>
        <w:fldChar w:fldCharType="separate"/>
      </w:r>
      <w:r>
        <w:rPr>
          <w:rFonts w:hint="eastAsia" w:ascii="宋体" w:hAnsi="宋体" w:eastAsia="宋体" w:cs="宋体"/>
          <w:spacing w:val="-2"/>
          <w:sz w:val="24"/>
          <w:szCs w:val="24"/>
          <w:lang w:eastAsia="zh-CN"/>
        </w:rPr>
        <w:t>http://www.gsxt.gov.cn/corp-query-homepage.html</w:t>
      </w:r>
      <w:r>
        <w:rPr>
          <w:rFonts w:hint="eastAsia" w:ascii="宋体" w:hAnsi="宋体" w:eastAsia="宋体" w:cs="宋体"/>
          <w:spacing w:val="-2"/>
          <w:sz w:val="24"/>
          <w:szCs w:val="24"/>
          <w:lang w:eastAsia="zh-CN"/>
        </w:rPr>
        <w:fldChar w:fldCharType="end"/>
      </w:r>
      <w:r>
        <w:rPr>
          <w:rFonts w:hint="eastAsia" w:ascii="宋体" w:hAnsi="宋体" w:eastAsia="宋体" w:cs="宋体"/>
          <w:spacing w:val="-2"/>
          <w:sz w:val="24"/>
          <w:szCs w:val="24"/>
          <w:lang w:eastAsia="zh-CN"/>
        </w:rPr>
        <w:t>）渠道查询企业信 用信息，受过行政处罚、被列入经营异常名录和严重违法失信企业名单（黑名单） 的供应商（已过处罚期限或已被移出的除外）不得参与本次采购活动；</w:t>
      </w:r>
    </w:p>
    <w:p w14:paraId="0A4D557C">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3.</w:t>
      </w:r>
      <w:r>
        <w:rPr>
          <w:rFonts w:hint="default" w:ascii="宋体" w:hAnsi="宋体" w:eastAsia="宋体" w:cs="宋体"/>
          <w:spacing w:val="-2"/>
          <w:sz w:val="24"/>
          <w:szCs w:val="24"/>
          <w:lang w:val="en-US" w:eastAsia="zh-CN"/>
        </w:rPr>
        <w:t xml:space="preserve">6 </w:t>
      </w:r>
      <w:r>
        <w:rPr>
          <w:rFonts w:hint="eastAsia" w:ascii="宋体" w:hAnsi="宋体" w:eastAsia="宋体" w:cs="宋体"/>
          <w:spacing w:val="-2"/>
          <w:sz w:val="24"/>
          <w:szCs w:val="24"/>
          <w:lang w:eastAsia="zh-CN"/>
        </w:rPr>
        <w:t>单位负责人为同一人或存在控股、管理关系的不同单位，不得参加同一项目同一标段（包）采购活动，并提供相关书面声明材料。</w:t>
      </w:r>
    </w:p>
    <w:p w14:paraId="17EAB61B">
      <w:pPr>
        <w:pStyle w:val="3"/>
        <w:spacing w:before="215" w:line="220" w:lineRule="auto"/>
        <w:ind w:left="489"/>
        <w:outlineLvl w:val="0"/>
        <w:rPr>
          <w:sz w:val="24"/>
          <w:szCs w:val="24"/>
        </w:rPr>
      </w:pPr>
      <w:r>
        <w:rPr>
          <w:spacing w:val="-1"/>
          <w:sz w:val="24"/>
          <w:szCs w:val="24"/>
          <w14:textOutline w14:w="4354">
            <w14:solidFill>
              <w14:srgbClr w14:val="000000"/>
            </w14:solidFill>
            <w14:prstDash w14:val="solid"/>
            <w14:miter w14:val="0"/>
          </w14:textOutline>
        </w:rPr>
        <w:t>三、获取招标文件</w:t>
      </w:r>
    </w:p>
    <w:p w14:paraId="73A78E98">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 xml:space="preserve">1.时间： </w:t>
      </w:r>
      <w:r>
        <w:rPr>
          <w:rFonts w:hint="eastAsia" w:ascii="宋体" w:hAnsi="宋体" w:eastAsia="宋体" w:cs="宋体"/>
          <w:snapToGrid w:val="0"/>
          <w:color w:val="000000"/>
          <w:spacing w:val="-2"/>
          <w:kern w:val="0"/>
          <w:sz w:val="24"/>
          <w:szCs w:val="24"/>
          <w:lang w:val="en-US" w:eastAsia="zh-CN" w:bidi="ar-SA"/>
        </w:rPr>
        <w:t>2025年2月7日至 2025年2月</w:t>
      </w:r>
      <w:r>
        <w:rPr>
          <w:rFonts w:hint="eastAsia" w:cs="宋体"/>
          <w:snapToGrid w:val="0"/>
          <w:color w:val="000000"/>
          <w:spacing w:val="-2"/>
          <w:kern w:val="0"/>
          <w:sz w:val="24"/>
          <w:szCs w:val="24"/>
          <w:lang w:val="en-US" w:eastAsia="zh-CN" w:bidi="ar-SA"/>
        </w:rPr>
        <w:t>12</w:t>
      </w:r>
      <w:r>
        <w:rPr>
          <w:rFonts w:hint="eastAsia" w:ascii="宋体" w:hAnsi="宋体" w:eastAsia="宋体" w:cs="宋体"/>
          <w:snapToGrid w:val="0"/>
          <w:color w:val="000000"/>
          <w:spacing w:val="-2"/>
          <w:kern w:val="0"/>
          <w:sz w:val="24"/>
          <w:szCs w:val="24"/>
          <w:lang w:val="en-US" w:eastAsia="zh-CN" w:bidi="ar-SA"/>
        </w:rPr>
        <w:t>日，每天上午 00 时 00 分至 11 时 59分,下午 12 时 00 分至 23 时 59 分；</w:t>
      </w:r>
    </w:p>
    <w:p w14:paraId="613520D1">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ind w:firstLine="472" w:firstLineChars="200"/>
        <w:jc w:val="left"/>
        <w:textAlignment w:val="baseline"/>
        <w:rPr>
          <w:rFonts w:hint="eastAsia"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zh-CN" w:bidi="ar-SA"/>
        </w:rPr>
        <w:t xml:space="preserve">2.地点：登录林州市公共资源交易中心网站（https://ggzy.anyang.gov.cn/lzgg </w:t>
      </w:r>
    </w:p>
    <w:p w14:paraId="4462DEAD">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jc w:val="left"/>
        <w:textAlignment w:val="baseline"/>
        <w:rPr>
          <w:rFonts w:hint="eastAsia"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zh-CN" w:bidi="ar-SA"/>
        </w:rPr>
        <w:t xml:space="preserve">zy/），凭企业数字证书获取招标文件； </w:t>
      </w:r>
    </w:p>
    <w:p w14:paraId="20E813EC">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ind w:firstLine="472" w:firstLineChars="200"/>
        <w:jc w:val="left"/>
        <w:textAlignment w:val="baseline"/>
        <w:rPr>
          <w:rFonts w:hint="eastAsia"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zh-CN" w:bidi="ar-SA"/>
        </w:rPr>
        <w:t xml:space="preserve">3.方式：网上下载；供应商需提前办理 CA 数字证书及电子签章，并登录安阳市公 </w:t>
      </w:r>
    </w:p>
    <w:p w14:paraId="1E34DDDD">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jc w:val="left"/>
        <w:textAlignment w:val="baseline"/>
        <w:rPr>
          <w:rFonts w:hint="eastAsia"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zh-CN" w:bidi="ar-SA"/>
        </w:rPr>
        <w:t xml:space="preserve">共资源交易中心网站（https://ggzy.anyang.gov.cn/ayggzy/）完成 CA 注册（推荐使 </w:t>
      </w:r>
    </w:p>
    <w:p w14:paraId="3DAC0E31">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jc w:val="left"/>
        <w:textAlignment w:val="baseline"/>
        <w:rPr>
          <w:rFonts w:hint="eastAsia"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zh-CN" w:bidi="ar-SA"/>
        </w:rPr>
        <w:t xml:space="preserve">用 IE 浏 览 器 ） ； 具 体 办 理 流 程 请 登 录 安 阳 市 公 共 资 源 交 易 中 心 网 站 （https://ggzy.anyang.gov.cn/ayggzy/）-服务指南-操作手册-《安阳市公共资源交 易系统供应商（供应商）操作手册》； </w:t>
      </w:r>
    </w:p>
    <w:p w14:paraId="753FF788">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ind w:firstLine="472" w:firstLineChars="200"/>
        <w:jc w:val="left"/>
        <w:textAlignment w:val="baseline"/>
        <w:rPr>
          <w:rFonts w:hint="eastAsia"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zh-CN" w:bidi="ar-SA"/>
        </w:rPr>
        <w:t>4.售价：0 元。</w:t>
      </w:r>
    </w:p>
    <w:p w14:paraId="51D1BC07">
      <w:pPr>
        <w:pStyle w:val="3"/>
        <w:spacing w:before="215" w:line="221" w:lineRule="auto"/>
        <w:ind w:left="511"/>
        <w:outlineLvl w:val="0"/>
        <w:rPr>
          <w:sz w:val="24"/>
          <w:szCs w:val="24"/>
        </w:rPr>
      </w:pPr>
      <w:r>
        <w:rPr>
          <w:spacing w:val="-3"/>
          <w:sz w:val="24"/>
          <w:szCs w:val="24"/>
          <w14:textOutline w14:w="4354">
            <w14:solidFill>
              <w14:srgbClr w14:val="000000"/>
            </w14:solidFill>
            <w14:prstDash w14:val="solid"/>
            <w14:miter w14:val="0"/>
          </w14:textOutline>
        </w:rPr>
        <w:t>四、投标截止时间及地点</w:t>
      </w:r>
    </w:p>
    <w:p w14:paraId="79DF8A3B">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highlight w:val="red"/>
          <w:lang w:eastAsia="zh-CN"/>
        </w:rPr>
      </w:pPr>
      <w:r>
        <w:rPr>
          <w:rFonts w:hint="eastAsia" w:ascii="宋体" w:hAnsi="宋体" w:eastAsia="宋体" w:cs="宋体"/>
          <w:spacing w:val="-2"/>
          <w:sz w:val="24"/>
          <w:szCs w:val="24"/>
          <w:lang w:eastAsia="zh-CN"/>
        </w:rPr>
        <w:t>1.时间：</w:t>
      </w:r>
      <w:r>
        <w:rPr>
          <w:rFonts w:hint="eastAsia" w:ascii="宋体" w:hAnsi="宋体" w:eastAsia="宋体" w:cs="宋体"/>
          <w:snapToGrid w:val="0"/>
          <w:color w:val="000000"/>
          <w:spacing w:val="-2"/>
          <w:kern w:val="0"/>
          <w:sz w:val="24"/>
          <w:szCs w:val="24"/>
          <w:lang w:val="en-US" w:eastAsia="zh-CN" w:bidi="ar-SA"/>
        </w:rPr>
        <w:t xml:space="preserve"> 2025 年2月27日上午 9 时 00 分；</w:t>
      </w:r>
    </w:p>
    <w:p w14:paraId="7B7E3B7B">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ind w:firstLine="472" w:firstLineChars="200"/>
        <w:jc w:val="left"/>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2.地点（方式） ：供应商应在响应文件提交截止时间前上传加密的电子投标（响应）文件到安阳市公共资源交易系统（</w:t>
      </w:r>
      <w:r>
        <w:rPr>
          <w:rFonts w:hint="eastAsia" w:ascii="宋体" w:hAnsi="宋体" w:eastAsia="宋体" w:cs="宋体"/>
          <w:spacing w:val="-2"/>
          <w:sz w:val="24"/>
          <w:szCs w:val="24"/>
          <w:lang w:val="en-US" w:eastAsia="zh-CN"/>
        </w:rPr>
        <w:t>（https://ggzy.anyang.gov.cn/ ayggzy/）</w:t>
      </w:r>
    </w:p>
    <w:p w14:paraId="31741DC2">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jc w:val="left"/>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上传时供应商须使用制作该投标（响应）文件的同一CA锁进行上传操作。请供应商在上传时认真检查上传投标（响应）文件是否完整、正确。供应商应充分考虑上传文件时的不可预见因素，未在响应文件提交截止时间前完成上传的，视为逾期送达，安阳市电子招投标交易平台将拒绝接收。逾期送达的或者未送达指定地点的投标（响应）文件，采购人不予受理；</w:t>
      </w:r>
    </w:p>
    <w:p w14:paraId="5F8FFE33">
      <w:pPr>
        <w:pStyle w:val="3"/>
        <w:spacing w:before="1" w:line="219" w:lineRule="auto"/>
        <w:ind w:left="14" w:firstLine="476" w:firstLineChars="200"/>
        <w:rPr>
          <w:sz w:val="24"/>
          <w:szCs w:val="24"/>
        </w:rPr>
      </w:pPr>
      <w:r>
        <w:rPr>
          <w:spacing w:val="-1"/>
          <w:sz w:val="24"/>
          <w:szCs w:val="24"/>
          <w14:textOutline w14:w="4354">
            <w14:solidFill>
              <w14:srgbClr w14:val="000000"/>
            </w14:solidFill>
            <w14:prstDash w14:val="solid"/>
            <w14:miter w14:val="0"/>
          </w14:textOutline>
        </w:rPr>
        <w:t>五、开标时间及地点</w:t>
      </w:r>
    </w:p>
    <w:p w14:paraId="77FBC948">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1.时间：</w:t>
      </w:r>
      <w:r>
        <w:rPr>
          <w:rFonts w:hint="eastAsia" w:ascii="宋体" w:hAnsi="宋体" w:eastAsia="宋体" w:cs="宋体"/>
          <w:snapToGrid w:val="0"/>
          <w:color w:val="000000"/>
          <w:spacing w:val="-2"/>
          <w:kern w:val="0"/>
          <w:sz w:val="24"/>
          <w:szCs w:val="24"/>
          <w:lang w:val="en-US" w:eastAsia="zh-CN" w:bidi="ar-SA"/>
        </w:rPr>
        <w:t xml:space="preserve"> 2025 年2月27日上午 9 时 00 分；</w:t>
      </w:r>
    </w:p>
    <w:p w14:paraId="6DC831DF">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ind w:firstLine="472" w:firstLineChars="200"/>
        <w:jc w:val="left"/>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地点（方式）：本项目采用远程不见面交易的模式，开标当日，供应商无需到开标现场参加开标会议，供应商应当在响应文件提交截止时间前，推荐使用IE浏览器登录到安阳市公共资源交易不见面开标大厅（https://ggzy.anyang.gov.cn/BidOpening/bidhall/default/login.html），点击【登录】按钮进入，在线准时参加开标活动并进行投标（响应）文件解密等。因供应商原因未能解密、解密失败或解密超时的将被拒绝。</w:t>
      </w:r>
    </w:p>
    <w:p w14:paraId="3CFD6B82">
      <w:pPr>
        <w:pStyle w:val="3"/>
        <w:spacing w:before="214" w:line="219" w:lineRule="auto"/>
        <w:ind w:left="491"/>
        <w:outlineLvl w:val="0"/>
        <w:rPr>
          <w:sz w:val="24"/>
          <w:szCs w:val="24"/>
        </w:rPr>
      </w:pPr>
      <w:r>
        <w:rPr>
          <w:sz w:val="24"/>
          <w:szCs w:val="24"/>
          <w14:textOutline w14:w="4354">
            <w14:solidFill>
              <w14:srgbClr w14:val="000000"/>
            </w14:solidFill>
            <w14:prstDash w14:val="solid"/>
            <w14:miter w14:val="0"/>
          </w14:textOutline>
        </w:rPr>
        <w:t>六、发布公告的媒介及招标公告期限</w:t>
      </w:r>
    </w:p>
    <w:p w14:paraId="787F9977">
      <w:pPr>
        <w:pStyle w:val="3"/>
        <w:keepNext w:val="0"/>
        <w:keepLines w:val="0"/>
        <w:pageBreakBefore w:val="0"/>
        <w:widowControl/>
        <w:kinsoku w:val="0"/>
        <w:wordWrap/>
        <w:overflowPunct/>
        <w:topLinePunct w:val="0"/>
        <w:autoSpaceDE w:val="0"/>
        <w:autoSpaceDN w:val="0"/>
        <w:bidi w:val="0"/>
        <w:adjustRightInd w:val="0"/>
        <w:snapToGrid w:val="0"/>
        <w:spacing w:before="211" w:line="480" w:lineRule="exact"/>
        <w:ind w:left="40" w:right="45" w:firstLine="476"/>
        <w:jc w:val="both"/>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本次招标公告在《河南省政府采购网》、《全国公共资源交易平台（河南省·林州市）》上发布，招标公告期限为五个工作日。</w:t>
      </w:r>
    </w:p>
    <w:p w14:paraId="5A9FA4EB">
      <w:pPr>
        <w:pStyle w:val="3"/>
        <w:spacing w:before="215" w:line="221" w:lineRule="auto"/>
        <w:ind w:left="488"/>
        <w:outlineLvl w:val="0"/>
        <w:rPr>
          <w:sz w:val="24"/>
          <w:szCs w:val="24"/>
        </w:rPr>
      </w:pPr>
      <w:r>
        <w:rPr>
          <w:spacing w:val="-1"/>
          <w:sz w:val="24"/>
          <w:szCs w:val="24"/>
          <w14:textOutline w14:w="4354">
            <w14:solidFill>
              <w14:srgbClr w14:val="000000"/>
            </w14:solidFill>
            <w14:prstDash w14:val="solid"/>
            <w14:miter w14:val="0"/>
          </w14:textOutline>
        </w:rPr>
        <w:t>七、其他补充事宜</w:t>
      </w:r>
    </w:p>
    <w:p w14:paraId="35045948">
      <w:pPr>
        <w:pStyle w:val="3"/>
        <w:keepNext w:val="0"/>
        <w:keepLines w:val="0"/>
        <w:pageBreakBefore w:val="0"/>
        <w:widowControl/>
        <w:kinsoku w:val="0"/>
        <w:wordWrap/>
        <w:overflowPunct/>
        <w:topLinePunct w:val="0"/>
        <w:autoSpaceDE w:val="0"/>
        <w:autoSpaceDN w:val="0"/>
        <w:bidi w:val="0"/>
        <w:adjustRightInd w:val="0"/>
        <w:snapToGrid w:val="0"/>
        <w:spacing w:before="211" w:line="400" w:lineRule="exact"/>
        <w:ind w:left="40" w:right="45" w:firstLine="476"/>
        <w:jc w:val="both"/>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1.若潜在供应商为新用户的， 须登陆“安阳市公共资源交易中心网站</w:t>
      </w:r>
      <w:r>
        <w:rPr>
          <w:rFonts w:hint="eastAsia" w:ascii="宋体" w:hAnsi="宋体" w:eastAsia="宋体" w:cs="宋体"/>
          <w:snapToGrid w:val="0"/>
          <w:color w:val="000000"/>
          <w:spacing w:val="-2"/>
          <w:kern w:val="0"/>
          <w:sz w:val="24"/>
          <w:szCs w:val="24"/>
          <w:lang w:val="en-US" w:eastAsia="zh-CN" w:bidi="ar-SA"/>
        </w:rPr>
        <w:t>（https://ggzy.anyang.gov.cn/ayggzy/）</w:t>
      </w:r>
      <w:r>
        <w:rPr>
          <w:rFonts w:hint="eastAsia" w:ascii="宋体" w:hAnsi="宋体" w:eastAsia="宋体" w:cs="宋体"/>
          <w:spacing w:val="-2"/>
          <w:sz w:val="24"/>
          <w:szCs w:val="24"/>
          <w:lang w:val="en-US" w:eastAsia="zh-CN"/>
        </w:rPr>
        <w:t xml:space="preserve"> ”，点击右上角“注册 ”按钮进行企业主体信息注册登记（咨 询电话： 0372-3387725），并按规定办理相关数字证书。供应商完成注册、办理数字证书后，方可获取招标文件、参加投标等网上电子交易；</w:t>
      </w:r>
    </w:p>
    <w:p w14:paraId="5B0C0280">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ind w:firstLine="472" w:firstLineChars="200"/>
        <w:jc w:val="left"/>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2.根据豫财购〔2017〕10 号和安财购〔2017〕7 号文要求，参加政府采购项目的中 小微企业供应商，持中标（成交） 通知书可向金融机构申请合同融资，详情请登录安阳 市政府采购网</w:t>
      </w:r>
      <w:r>
        <w:rPr>
          <w:rFonts w:hint="eastAsia" w:ascii="宋体" w:hAnsi="宋体" w:eastAsia="宋体" w:cs="宋体"/>
          <w:snapToGrid w:val="0"/>
          <w:color w:val="000000"/>
          <w:kern w:val="0"/>
          <w:sz w:val="24"/>
          <w:szCs w:val="24"/>
          <w:lang w:val="en-US" w:eastAsia="zh-CN" w:bidi="ar"/>
        </w:rPr>
        <w:t>（https://anyang.zfcg.henan.gov.cn/）</w:t>
      </w:r>
      <w:r>
        <w:rPr>
          <w:rFonts w:hint="eastAsia" w:ascii="宋体" w:hAnsi="宋体" w:eastAsia="宋体" w:cs="宋体"/>
          <w:spacing w:val="-2"/>
          <w:sz w:val="24"/>
          <w:szCs w:val="24"/>
          <w:lang w:val="en-US" w:eastAsia="zh-CN"/>
        </w:rPr>
        <w:t>，进入网站飘窗或业务指南窗口了解金融机构提供的融资服务内容；</w:t>
      </w:r>
    </w:p>
    <w:p w14:paraId="628644E8">
      <w:pPr>
        <w:pStyle w:val="3"/>
        <w:keepNext w:val="0"/>
        <w:keepLines w:val="0"/>
        <w:pageBreakBefore w:val="0"/>
        <w:widowControl/>
        <w:kinsoku w:val="0"/>
        <w:wordWrap/>
        <w:overflowPunct/>
        <w:topLinePunct w:val="0"/>
        <w:autoSpaceDE w:val="0"/>
        <w:autoSpaceDN w:val="0"/>
        <w:bidi w:val="0"/>
        <w:adjustRightInd w:val="0"/>
        <w:snapToGrid w:val="0"/>
        <w:spacing w:before="211" w:line="480" w:lineRule="exact"/>
        <w:ind w:left="40" w:right="45" w:firstLine="476"/>
        <w:jc w:val="both"/>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3.在提交投标文件截止时间前完成所有电子投标文件的上传，并“确认并签名”，</w:t>
      </w:r>
    </w:p>
    <w:p w14:paraId="09585DAD">
      <w:pPr>
        <w:pStyle w:val="3"/>
        <w:keepNext w:val="0"/>
        <w:keepLines w:val="0"/>
        <w:pageBreakBefore w:val="0"/>
        <w:widowControl/>
        <w:kinsoku w:val="0"/>
        <w:wordWrap/>
        <w:overflowPunct/>
        <w:topLinePunct w:val="0"/>
        <w:autoSpaceDE w:val="0"/>
        <w:autoSpaceDN w:val="0"/>
        <w:bidi w:val="0"/>
        <w:adjustRightInd w:val="0"/>
        <w:snapToGrid w:val="0"/>
        <w:spacing w:before="211" w:line="480" w:lineRule="exact"/>
        <w:ind w:right="45"/>
        <w:jc w:val="both"/>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逾期上传视为投标无效；</w:t>
      </w:r>
    </w:p>
    <w:p w14:paraId="7EA87D59">
      <w:pPr>
        <w:keepNext w:val="0"/>
        <w:keepLines w:val="0"/>
        <w:widowControl/>
        <w:suppressLineNumbers w:val="0"/>
        <w:jc w:val="left"/>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4.由于供应商的自身原因，在规定时间内解密不成功的，作为无效标处理。具体操 作  方  式  可 登  陆  “  安  阳  市  公 共  资 源 交  易  中 心  网 站 （</w:t>
      </w:r>
      <w:r>
        <w:rPr>
          <w:rFonts w:hint="eastAsia" w:ascii="宋体" w:hAnsi="宋体" w:eastAsia="宋体" w:cs="宋体"/>
          <w:spacing w:val="-2"/>
          <w:sz w:val="24"/>
          <w:szCs w:val="24"/>
          <w:lang w:val="en-US" w:eastAsia="zh-CN"/>
        </w:rPr>
        <w:fldChar w:fldCharType="begin"/>
      </w:r>
      <w:r>
        <w:rPr>
          <w:rFonts w:hint="eastAsia" w:ascii="宋体" w:hAnsi="宋体" w:eastAsia="宋体" w:cs="宋体"/>
          <w:spacing w:val="-2"/>
          <w:sz w:val="24"/>
          <w:szCs w:val="24"/>
          <w:lang w:val="en-US" w:eastAsia="zh-CN"/>
        </w:rPr>
        <w:instrText xml:space="preserve"> HYPERLINK "http://anyang.hngp.gov.cn/anyang" </w:instrText>
      </w:r>
      <w:r>
        <w:rPr>
          <w:rFonts w:hint="eastAsia" w:ascii="宋体" w:hAnsi="宋体" w:eastAsia="宋体" w:cs="宋体"/>
          <w:spacing w:val="-2"/>
          <w:sz w:val="24"/>
          <w:szCs w:val="24"/>
          <w:lang w:val="en-US" w:eastAsia="zh-CN"/>
        </w:rPr>
        <w:fldChar w:fldCharType="separate"/>
      </w:r>
      <w:r>
        <w:rPr>
          <w:rFonts w:hint="eastAsia" w:ascii="宋体" w:hAnsi="宋体" w:eastAsia="宋体" w:cs="宋体"/>
          <w:spacing w:val="-2"/>
          <w:sz w:val="24"/>
          <w:szCs w:val="24"/>
          <w:lang w:val="en-US" w:eastAsia="zh-CN"/>
        </w:rPr>
        <w:t>http://</w:t>
      </w:r>
      <w:r>
        <w:rPr>
          <w:rFonts w:hint="eastAsia" w:ascii="宋体" w:hAnsi="宋体" w:eastAsia="宋体" w:cs="宋体"/>
          <w:snapToGrid w:val="0"/>
          <w:color w:val="000000"/>
          <w:kern w:val="0"/>
          <w:sz w:val="24"/>
          <w:szCs w:val="24"/>
          <w:lang w:val="en-US" w:eastAsia="zh-CN" w:bidi="ar"/>
        </w:rPr>
        <w:t>ggzy.</w:t>
      </w:r>
      <w:r>
        <w:rPr>
          <w:rFonts w:hint="eastAsia" w:ascii="宋体" w:hAnsi="宋体" w:eastAsia="宋体" w:cs="宋体"/>
          <w:spacing w:val="-2"/>
          <w:sz w:val="24"/>
          <w:szCs w:val="24"/>
          <w:lang w:val="en-US" w:eastAsia="zh-CN"/>
        </w:rPr>
        <w:t>anyang.hngp.gov.cn/anyang</w:t>
      </w:r>
      <w:r>
        <w:rPr>
          <w:rFonts w:hint="eastAsia" w:ascii="宋体" w:hAnsi="宋体" w:eastAsia="宋体" w:cs="宋体"/>
          <w:spacing w:val="-2"/>
          <w:sz w:val="24"/>
          <w:szCs w:val="24"/>
          <w:lang w:val="en-US" w:eastAsia="zh-CN"/>
        </w:rPr>
        <w:fldChar w:fldCharType="end"/>
      </w:r>
      <w:r>
        <w:rPr>
          <w:rFonts w:hint="eastAsia" w:ascii="宋体" w:hAnsi="宋体" w:eastAsia="宋体" w:cs="宋体"/>
          <w:spacing w:val="-2"/>
          <w:sz w:val="24"/>
          <w:szCs w:val="24"/>
          <w:lang w:val="en-US" w:eastAsia="zh-CN"/>
        </w:rPr>
        <w:t>） ”【资料下载-用户手册】专区查看相应的开标、投标流程和方法；</w:t>
      </w:r>
    </w:p>
    <w:p w14:paraId="1D0656EC">
      <w:pPr>
        <w:pStyle w:val="3"/>
        <w:keepNext w:val="0"/>
        <w:keepLines w:val="0"/>
        <w:pageBreakBefore w:val="0"/>
        <w:widowControl/>
        <w:kinsoku w:val="0"/>
        <w:wordWrap/>
        <w:overflowPunct/>
        <w:topLinePunct w:val="0"/>
        <w:autoSpaceDE w:val="0"/>
        <w:autoSpaceDN w:val="0"/>
        <w:bidi w:val="0"/>
        <w:adjustRightInd w:val="0"/>
        <w:snapToGrid w:val="0"/>
        <w:spacing w:before="211" w:line="480" w:lineRule="exact"/>
        <w:ind w:left="40" w:right="45" w:firstLine="476"/>
        <w:jc w:val="both"/>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5.电子交易过程中如遇相关操作规则调整， 供应商应以“安阳市公共资源交易中心网站（</w:t>
      </w:r>
      <w:r>
        <w:rPr>
          <w:rFonts w:hint="eastAsia" w:ascii="宋体" w:hAnsi="宋体" w:eastAsia="宋体" w:cs="宋体"/>
          <w:spacing w:val="-2"/>
          <w:sz w:val="24"/>
          <w:szCs w:val="24"/>
          <w:lang w:val="en-US" w:eastAsia="zh-CN"/>
        </w:rPr>
        <w:fldChar w:fldCharType="begin"/>
      </w:r>
      <w:r>
        <w:rPr>
          <w:rFonts w:hint="eastAsia" w:ascii="宋体" w:hAnsi="宋体" w:eastAsia="宋体" w:cs="宋体"/>
          <w:spacing w:val="-2"/>
          <w:sz w:val="24"/>
          <w:szCs w:val="24"/>
          <w:lang w:val="en-US" w:eastAsia="zh-CN"/>
        </w:rPr>
        <w:instrText xml:space="preserve"> HYPERLINK "http://anyang.hngp.gov.cn/anyang" </w:instrText>
      </w:r>
      <w:r>
        <w:rPr>
          <w:rFonts w:hint="eastAsia" w:ascii="宋体" w:hAnsi="宋体" w:eastAsia="宋体" w:cs="宋体"/>
          <w:spacing w:val="-2"/>
          <w:sz w:val="24"/>
          <w:szCs w:val="24"/>
          <w:lang w:val="en-US" w:eastAsia="zh-CN"/>
        </w:rPr>
        <w:fldChar w:fldCharType="separate"/>
      </w:r>
      <w:r>
        <w:rPr>
          <w:rFonts w:hint="eastAsia" w:ascii="宋体" w:hAnsi="宋体" w:eastAsia="宋体" w:cs="宋体"/>
          <w:spacing w:val="-2"/>
          <w:sz w:val="24"/>
          <w:szCs w:val="24"/>
          <w:lang w:val="en-US" w:eastAsia="zh-CN"/>
        </w:rPr>
        <w:t>http://</w:t>
      </w:r>
      <w:r>
        <w:rPr>
          <w:rFonts w:hint="eastAsia" w:ascii="宋体" w:hAnsi="宋体" w:eastAsia="宋体" w:cs="宋体"/>
          <w:snapToGrid w:val="0"/>
          <w:color w:val="000000"/>
          <w:kern w:val="0"/>
          <w:sz w:val="24"/>
          <w:szCs w:val="24"/>
          <w:lang w:val="en-US" w:eastAsia="zh-CN" w:bidi="ar"/>
        </w:rPr>
        <w:t>ggzy.</w:t>
      </w:r>
      <w:r>
        <w:rPr>
          <w:rFonts w:hint="eastAsia" w:ascii="宋体" w:hAnsi="宋体" w:eastAsia="宋体" w:cs="宋体"/>
          <w:spacing w:val="-2"/>
          <w:sz w:val="24"/>
          <w:szCs w:val="24"/>
          <w:lang w:val="en-US" w:eastAsia="zh-CN"/>
        </w:rPr>
        <w:t>anyang.hngp.gov.cn/anyang</w:t>
      </w:r>
      <w:r>
        <w:rPr>
          <w:rFonts w:hint="eastAsia" w:ascii="宋体" w:hAnsi="宋体" w:eastAsia="宋体" w:cs="宋体"/>
          <w:spacing w:val="-2"/>
          <w:sz w:val="24"/>
          <w:szCs w:val="24"/>
          <w:lang w:val="en-US" w:eastAsia="zh-CN"/>
        </w:rPr>
        <w:fldChar w:fldCharType="end"/>
      </w:r>
      <w:r>
        <w:rPr>
          <w:rFonts w:hint="eastAsia" w:ascii="宋体" w:hAnsi="宋体" w:eastAsia="宋体" w:cs="宋体"/>
          <w:spacing w:val="-2"/>
          <w:sz w:val="24"/>
          <w:szCs w:val="24"/>
          <w:lang w:val="en-US" w:eastAsia="zh-CN"/>
        </w:rPr>
        <w:t>）”即时发布的相关规则为准。</w:t>
      </w:r>
    </w:p>
    <w:p w14:paraId="469AEB1C">
      <w:pPr>
        <w:spacing w:line="220" w:lineRule="auto"/>
        <w:rPr>
          <w:sz w:val="24"/>
          <w:szCs w:val="24"/>
        </w:rPr>
        <w:sectPr>
          <w:footerReference r:id="rId6" w:type="default"/>
          <w:pgSz w:w="11905" w:h="16838"/>
          <w:pgMar w:top="841" w:right="1368" w:bottom="799" w:left="1417" w:header="0" w:footer="548" w:gutter="0"/>
          <w:pgNumType w:fmt="decimal"/>
          <w:cols w:space="720" w:num="1"/>
        </w:sectPr>
      </w:pPr>
    </w:p>
    <w:p w14:paraId="3F39EE01">
      <w:pPr>
        <w:spacing w:line="315" w:lineRule="auto"/>
        <w:rPr>
          <w:rFonts w:hint="eastAsia" w:ascii="Arial" w:eastAsia="宋体"/>
          <w:sz w:val="21"/>
          <w:lang w:eastAsia="zh-CN"/>
        </w:rPr>
      </w:pPr>
      <w:r>
        <w:rPr>
          <w:rFonts w:hint="eastAsia" w:ascii="Arial" w:eastAsia="宋体"/>
          <w:sz w:val="21"/>
          <w:lang w:eastAsia="zh-CN"/>
        </w:rPr>
        <w:drawing>
          <wp:anchor distT="0" distB="0" distL="114300" distR="114300" simplePos="0" relativeHeight="251667456" behindDoc="0" locked="0" layoutInCell="1" allowOverlap="1">
            <wp:simplePos x="0" y="0"/>
            <wp:positionH relativeFrom="column">
              <wp:posOffset>-619125</wp:posOffset>
            </wp:positionH>
            <wp:positionV relativeFrom="paragraph">
              <wp:posOffset>-193675</wp:posOffset>
            </wp:positionV>
            <wp:extent cx="7316470" cy="9628505"/>
            <wp:effectExtent l="0" t="0" r="17780" b="10795"/>
            <wp:wrapSquare wrapText="bothSides"/>
            <wp:docPr id="4" name="图片 4" descr="CCF2025020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CF20250206_01"/>
                    <pic:cNvPicPr>
                      <a:picLocks noChangeAspect="1"/>
                    </pic:cNvPicPr>
                  </pic:nvPicPr>
                  <pic:blipFill>
                    <a:blip r:embed="rId39"/>
                    <a:srcRect t="2193" r="-143" b="5389"/>
                    <a:stretch>
                      <a:fillRect/>
                    </a:stretch>
                  </pic:blipFill>
                  <pic:spPr>
                    <a:xfrm>
                      <a:off x="0" y="0"/>
                      <a:ext cx="7316470" cy="9628505"/>
                    </a:xfrm>
                    <a:prstGeom prst="rect">
                      <a:avLst/>
                    </a:prstGeom>
                  </pic:spPr>
                </pic:pic>
              </a:graphicData>
            </a:graphic>
          </wp:anchor>
        </w:drawing>
      </w:r>
    </w:p>
    <w:p w14:paraId="759FA240">
      <w:pPr>
        <w:pStyle w:val="3"/>
        <w:spacing w:before="104" w:line="861" w:lineRule="exact"/>
        <w:ind w:left="3102"/>
        <w:rPr>
          <w:sz w:val="32"/>
          <w:szCs w:val="32"/>
        </w:rPr>
      </w:pPr>
      <w:bookmarkStart w:id="0" w:name="bookmark1"/>
      <w:bookmarkEnd w:id="0"/>
      <w:r>
        <w:rPr>
          <w:spacing w:val="-1"/>
          <w:position w:val="41"/>
          <w:sz w:val="32"/>
          <w:szCs w:val="32"/>
          <w14:textOutline w14:w="5805">
            <w14:solidFill>
              <w14:srgbClr w14:val="000000"/>
            </w14:solidFill>
            <w14:prstDash w14:val="solid"/>
            <w14:miter w14:val="0"/>
          </w14:textOutline>
        </w:rPr>
        <w:t>第二章</w:t>
      </w:r>
      <w:r>
        <w:rPr>
          <w:spacing w:val="-1"/>
          <w:position w:val="41"/>
          <w:sz w:val="32"/>
          <w:szCs w:val="32"/>
        </w:rPr>
        <w:t xml:space="preserve">  </w:t>
      </w:r>
      <w:r>
        <w:rPr>
          <w:rFonts w:hint="eastAsia"/>
          <w:spacing w:val="-1"/>
          <w:position w:val="41"/>
          <w:sz w:val="32"/>
          <w:szCs w:val="32"/>
          <w:lang w:eastAsia="zh-CN"/>
          <w14:textOutline w14:w="5805">
            <w14:solidFill>
              <w14:srgbClr w14:val="000000"/>
            </w14:solidFill>
            <w14:prstDash w14:val="solid"/>
            <w14:miter w14:val="0"/>
          </w14:textOutline>
        </w:rPr>
        <w:t>供应商</w:t>
      </w:r>
      <w:r>
        <w:rPr>
          <w:spacing w:val="-1"/>
          <w:position w:val="41"/>
          <w:sz w:val="32"/>
          <w:szCs w:val="32"/>
          <w14:textOutline w14:w="5805">
            <w14:solidFill>
              <w14:srgbClr w14:val="000000"/>
            </w14:solidFill>
            <w14:prstDash w14:val="solid"/>
            <w14:miter w14:val="0"/>
          </w14:textOutline>
        </w:rPr>
        <w:t>须知</w:t>
      </w:r>
    </w:p>
    <w:p w14:paraId="3BB7831B">
      <w:pPr>
        <w:pStyle w:val="3"/>
        <w:spacing w:line="219" w:lineRule="auto"/>
        <w:ind w:left="3393"/>
        <w:rPr>
          <w:sz w:val="30"/>
          <w:szCs w:val="30"/>
        </w:rPr>
      </w:pPr>
      <w:r>
        <w:rPr>
          <w:rFonts w:hint="eastAsia"/>
          <w:spacing w:val="-1"/>
          <w:sz w:val="30"/>
          <w:szCs w:val="30"/>
          <w:lang w:eastAsia="zh-CN"/>
          <w14:textOutline w14:w="5442">
            <w14:solidFill>
              <w14:srgbClr w14:val="000000"/>
            </w14:solidFill>
            <w14:prstDash w14:val="solid"/>
            <w14:miter w14:val="0"/>
          </w14:textOutline>
        </w:rPr>
        <w:t>供应商</w:t>
      </w:r>
      <w:r>
        <w:rPr>
          <w:spacing w:val="-1"/>
          <w:sz w:val="30"/>
          <w:szCs w:val="30"/>
          <w14:textOutline w14:w="5442">
            <w14:solidFill>
              <w14:srgbClr w14:val="000000"/>
            </w14:solidFill>
            <w14:prstDash w14:val="solid"/>
            <w14:miter w14:val="0"/>
          </w14:textOutline>
        </w:rPr>
        <w:t>须知前附表</w:t>
      </w:r>
    </w:p>
    <w:p w14:paraId="72141124">
      <w:pPr>
        <w:spacing w:line="136" w:lineRule="exact"/>
      </w:pPr>
    </w:p>
    <w:tbl>
      <w:tblPr>
        <w:tblStyle w:val="24"/>
        <w:tblW w:w="9179" w:type="dxa"/>
        <w:tblInd w:w="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4"/>
        <w:gridCol w:w="2073"/>
        <w:gridCol w:w="6272"/>
      </w:tblGrid>
      <w:tr w14:paraId="74C47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34" w:type="dxa"/>
            <w:vAlign w:val="top"/>
          </w:tcPr>
          <w:p w14:paraId="4BDE90B2">
            <w:pPr>
              <w:pStyle w:val="25"/>
              <w:spacing w:before="209" w:line="222" w:lineRule="auto"/>
              <w:ind w:left="170"/>
              <w:rPr>
                <w:sz w:val="24"/>
                <w:szCs w:val="24"/>
              </w:rPr>
            </w:pPr>
            <w:r>
              <w:rPr>
                <w:spacing w:val="-4"/>
                <w:sz w:val="24"/>
                <w:szCs w:val="24"/>
                <w14:textOutline w14:w="4354">
                  <w14:solidFill>
                    <w14:srgbClr w14:val="000000"/>
                  </w14:solidFill>
                  <w14:prstDash w14:val="solid"/>
                  <w14:miter w14:val="0"/>
                </w14:textOutline>
              </w:rPr>
              <w:t>序号</w:t>
            </w:r>
          </w:p>
        </w:tc>
        <w:tc>
          <w:tcPr>
            <w:tcW w:w="2073" w:type="dxa"/>
            <w:vAlign w:val="top"/>
          </w:tcPr>
          <w:p w14:paraId="25DA9BB1">
            <w:pPr>
              <w:pStyle w:val="25"/>
              <w:spacing w:before="210" w:line="222" w:lineRule="auto"/>
              <w:ind w:left="783"/>
              <w:rPr>
                <w:sz w:val="24"/>
                <w:szCs w:val="24"/>
              </w:rPr>
            </w:pPr>
            <w:r>
              <w:rPr>
                <w:spacing w:val="-6"/>
                <w:sz w:val="24"/>
                <w:szCs w:val="24"/>
                <w14:textOutline w14:w="4354">
                  <w14:solidFill>
                    <w14:srgbClr w14:val="000000"/>
                  </w14:solidFill>
                  <w14:prstDash w14:val="solid"/>
                  <w14:miter w14:val="0"/>
                </w14:textOutline>
              </w:rPr>
              <w:t>名称</w:t>
            </w:r>
          </w:p>
        </w:tc>
        <w:tc>
          <w:tcPr>
            <w:tcW w:w="6272" w:type="dxa"/>
            <w:vAlign w:val="top"/>
          </w:tcPr>
          <w:p w14:paraId="23924AD0">
            <w:pPr>
              <w:pStyle w:val="25"/>
              <w:spacing w:before="210" w:line="220" w:lineRule="auto"/>
              <w:ind w:left="2517"/>
              <w:rPr>
                <w:sz w:val="24"/>
                <w:szCs w:val="24"/>
              </w:rPr>
            </w:pPr>
            <w:r>
              <w:rPr>
                <w:spacing w:val="-7"/>
                <w:sz w:val="24"/>
                <w:szCs w:val="24"/>
                <w14:textOutline w14:w="4354">
                  <w14:solidFill>
                    <w14:srgbClr w14:val="000000"/>
                  </w14:solidFill>
                  <w14:prstDash w14:val="solid"/>
                  <w14:miter w14:val="0"/>
                </w14:textOutline>
              </w:rPr>
              <w:t>内容和要求</w:t>
            </w:r>
          </w:p>
        </w:tc>
      </w:tr>
      <w:tr w14:paraId="3D2CB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0" w:hRule="atLeast"/>
        </w:trPr>
        <w:tc>
          <w:tcPr>
            <w:tcW w:w="834" w:type="dxa"/>
            <w:vAlign w:val="top"/>
          </w:tcPr>
          <w:p w14:paraId="74EFC13D">
            <w:pPr>
              <w:spacing w:line="299" w:lineRule="auto"/>
              <w:rPr>
                <w:rFonts w:ascii="Arial"/>
                <w:sz w:val="21"/>
              </w:rPr>
            </w:pPr>
          </w:p>
          <w:p w14:paraId="709167B8">
            <w:pPr>
              <w:spacing w:line="300" w:lineRule="auto"/>
              <w:rPr>
                <w:rFonts w:ascii="Arial"/>
                <w:sz w:val="21"/>
              </w:rPr>
            </w:pPr>
          </w:p>
          <w:p w14:paraId="2864381B">
            <w:pPr>
              <w:spacing w:line="300" w:lineRule="auto"/>
              <w:rPr>
                <w:rFonts w:ascii="Arial"/>
                <w:sz w:val="21"/>
              </w:rPr>
            </w:pPr>
          </w:p>
          <w:p w14:paraId="5ADEB49C">
            <w:pPr>
              <w:spacing w:line="300" w:lineRule="auto"/>
              <w:rPr>
                <w:rFonts w:ascii="Arial"/>
                <w:sz w:val="21"/>
              </w:rPr>
            </w:pPr>
          </w:p>
          <w:p w14:paraId="101EDB53">
            <w:pPr>
              <w:pStyle w:val="25"/>
              <w:spacing w:before="78" w:line="182" w:lineRule="auto"/>
              <w:ind w:left="370"/>
              <w:rPr>
                <w:sz w:val="24"/>
                <w:szCs w:val="24"/>
              </w:rPr>
            </w:pPr>
            <w:r>
              <w:rPr>
                <w:sz w:val="24"/>
                <w:szCs w:val="24"/>
              </w:rPr>
              <w:t>1</w:t>
            </w:r>
          </w:p>
        </w:tc>
        <w:tc>
          <w:tcPr>
            <w:tcW w:w="2073" w:type="dxa"/>
            <w:vAlign w:val="top"/>
          </w:tcPr>
          <w:p w14:paraId="37788581">
            <w:pPr>
              <w:spacing w:line="290" w:lineRule="auto"/>
              <w:rPr>
                <w:rFonts w:ascii="Arial"/>
                <w:sz w:val="21"/>
              </w:rPr>
            </w:pPr>
          </w:p>
          <w:p w14:paraId="5B6D3339">
            <w:pPr>
              <w:spacing w:line="290" w:lineRule="auto"/>
              <w:rPr>
                <w:rFonts w:ascii="Arial"/>
                <w:sz w:val="21"/>
              </w:rPr>
            </w:pPr>
          </w:p>
          <w:p w14:paraId="4D471237">
            <w:pPr>
              <w:spacing w:line="290" w:lineRule="auto"/>
              <w:rPr>
                <w:rFonts w:ascii="Arial"/>
                <w:sz w:val="21"/>
              </w:rPr>
            </w:pPr>
          </w:p>
          <w:p w14:paraId="1D38B964">
            <w:pPr>
              <w:spacing w:line="290" w:lineRule="auto"/>
              <w:rPr>
                <w:rFonts w:ascii="Arial"/>
                <w:sz w:val="21"/>
              </w:rPr>
            </w:pPr>
          </w:p>
          <w:p w14:paraId="31390DB7">
            <w:pPr>
              <w:pStyle w:val="25"/>
              <w:spacing w:before="78" w:line="220" w:lineRule="auto"/>
              <w:ind w:left="660"/>
              <w:rPr>
                <w:sz w:val="24"/>
                <w:szCs w:val="24"/>
              </w:rPr>
            </w:pPr>
            <w:r>
              <w:rPr>
                <w:spacing w:val="-2"/>
                <w:sz w:val="24"/>
                <w:szCs w:val="24"/>
              </w:rPr>
              <w:t>采购人</w:t>
            </w:r>
          </w:p>
        </w:tc>
        <w:tc>
          <w:tcPr>
            <w:tcW w:w="6272" w:type="dxa"/>
            <w:vAlign w:val="top"/>
          </w:tcPr>
          <w:p w14:paraId="60A389D1">
            <w:pPr>
              <w:pStyle w:val="25"/>
              <w:spacing w:before="205" w:line="220" w:lineRule="auto"/>
              <w:ind w:left="114"/>
              <w:rPr>
                <w:rFonts w:hint="eastAsia" w:eastAsia="宋体"/>
                <w:sz w:val="24"/>
                <w:szCs w:val="24"/>
                <w:lang w:eastAsia="zh-CN"/>
              </w:rPr>
            </w:pPr>
            <w:r>
              <w:rPr>
                <w:spacing w:val="-1"/>
                <w:sz w:val="24"/>
                <w:szCs w:val="24"/>
              </w:rPr>
              <w:t>名  称：</w:t>
            </w:r>
            <w:r>
              <w:rPr>
                <w:rFonts w:hint="eastAsia"/>
                <w:spacing w:val="-1"/>
                <w:sz w:val="24"/>
                <w:szCs w:val="24"/>
                <w:lang w:eastAsia="zh-CN"/>
              </w:rPr>
              <w:t>林州市公安局</w:t>
            </w:r>
          </w:p>
          <w:p w14:paraId="75915B11">
            <w:pPr>
              <w:pStyle w:val="25"/>
              <w:spacing w:before="234" w:line="220" w:lineRule="auto"/>
              <w:ind w:left="117"/>
              <w:rPr>
                <w:rFonts w:hint="eastAsia" w:eastAsia="宋体"/>
                <w:sz w:val="24"/>
                <w:szCs w:val="24"/>
                <w:lang w:eastAsia="zh-CN"/>
              </w:rPr>
            </w:pPr>
            <w:r>
              <w:rPr>
                <w:spacing w:val="-8"/>
                <w:sz w:val="24"/>
                <w:szCs w:val="24"/>
              </w:rPr>
              <w:t>统一社会信用代码：</w:t>
            </w:r>
            <w:r>
              <w:rPr>
                <w:spacing w:val="82"/>
                <w:sz w:val="24"/>
                <w:szCs w:val="24"/>
              </w:rPr>
              <w:t xml:space="preserve"> </w:t>
            </w:r>
            <w:r>
              <w:rPr>
                <w:rFonts w:hint="eastAsia"/>
                <w:spacing w:val="-8"/>
                <w:sz w:val="24"/>
                <w:szCs w:val="24"/>
                <w:lang w:eastAsia="zh-CN"/>
              </w:rPr>
              <w:t>1141058100560716XM</w:t>
            </w:r>
          </w:p>
          <w:p w14:paraId="173825CE">
            <w:pPr>
              <w:pStyle w:val="25"/>
              <w:spacing w:before="234" w:line="220" w:lineRule="auto"/>
              <w:ind w:left="111"/>
              <w:rPr>
                <w:rFonts w:hint="eastAsia" w:eastAsia="宋体"/>
                <w:sz w:val="24"/>
                <w:szCs w:val="24"/>
                <w:lang w:eastAsia="zh-CN"/>
              </w:rPr>
            </w:pPr>
            <w:r>
              <w:rPr>
                <w:spacing w:val="-2"/>
                <w:sz w:val="24"/>
                <w:szCs w:val="24"/>
              </w:rPr>
              <w:t>地  址：</w:t>
            </w:r>
            <w:r>
              <w:rPr>
                <w:rFonts w:hint="eastAsia"/>
                <w:spacing w:val="-2"/>
                <w:sz w:val="24"/>
                <w:szCs w:val="24"/>
                <w:lang w:eastAsia="zh-CN"/>
              </w:rPr>
              <w:t>河南省安阳市林州市红旗渠大道西段</w:t>
            </w:r>
          </w:p>
          <w:p w14:paraId="796F434C">
            <w:pPr>
              <w:pStyle w:val="25"/>
              <w:spacing w:before="234" w:line="222" w:lineRule="auto"/>
              <w:ind w:left="112"/>
              <w:rPr>
                <w:rFonts w:hint="eastAsia" w:eastAsia="宋体"/>
                <w:sz w:val="24"/>
                <w:szCs w:val="24"/>
                <w:highlight w:val="red"/>
                <w:lang w:eastAsia="zh-CN"/>
              </w:rPr>
            </w:pPr>
            <w:r>
              <w:rPr>
                <w:spacing w:val="-2"/>
                <w:sz w:val="24"/>
                <w:szCs w:val="24"/>
              </w:rPr>
              <w:t>联系人：</w:t>
            </w:r>
            <w:r>
              <w:rPr>
                <w:rFonts w:hint="eastAsia"/>
                <w:spacing w:val="-2"/>
                <w:sz w:val="24"/>
                <w:szCs w:val="24"/>
                <w:lang w:eastAsia="zh-CN"/>
              </w:rPr>
              <w:t>高志芳</w:t>
            </w:r>
          </w:p>
          <w:p w14:paraId="47AA2038">
            <w:pPr>
              <w:pStyle w:val="25"/>
              <w:spacing w:before="232" w:line="222" w:lineRule="auto"/>
              <w:ind w:left="139"/>
              <w:rPr>
                <w:rFonts w:hint="eastAsia" w:eastAsia="宋体"/>
                <w:sz w:val="24"/>
                <w:szCs w:val="24"/>
                <w:lang w:val="en-US" w:eastAsia="zh-CN"/>
              </w:rPr>
            </w:pPr>
            <w:r>
              <w:rPr>
                <w:rFonts w:hint="eastAsia"/>
                <w:sz w:val="24"/>
                <w:szCs w:val="24"/>
                <w:lang w:val="en-US" w:eastAsia="zh-CN"/>
              </w:rPr>
              <w:t>电  话：</w:t>
            </w:r>
            <w:r>
              <w:rPr>
                <w:rFonts w:hint="eastAsia"/>
                <w:spacing w:val="-11"/>
                <w:sz w:val="24"/>
                <w:szCs w:val="24"/>
                <w:lang w:eastAsia="zh-CN"/>
              </w:rPr>
              <w:t>13700724535</w:t>
            </w:r>
          </w:p>
        </w:tc>
      </w:tr>
      <w:tr w14:paraId="28E52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34" w:type="dxa"/>
            <w:vAlign w:val="top"/>
          </w:tcPr>
          <w:p w14:paraId="46B4419C">
            <w:pPr>
              <w:rPr>
                <w:rFonts w:ascii="Arial"/>
                <w:sz w:val="21"/>
              </w:rPr>
            </w:pPr>
          </w:p>
          <w:p w14:paraId="5A4A2670">
            <w:pPr>
              <w:rPr>
                <w:rFonts w:ascii="Arial"/>
                <w:sz w:val="21"/>
              </w:rPr>
            </w:pPr>
          </w:p>
          <w:p w14:paraId="1FAE90B5">
            <w:pPr>
              <w:rPr>
                <w:rFonts w:ascii="Arial"/>
                <w:sz w:val="21"/>
              </w:rPr>
            </w:pPr>
          </w:p>
          <w:p w14:paraId="59692145">
            <w:pPr>
              <w:spacing w:line="241" w:lineRule="auto"/>
              <w:rPr>
                <w:rFonts w:ascii="Arial"/>
                <w:sz w:val="21"/>
              </w:rPr>
            </w:pPr>
          </w:p>
          <w:p w14:paraId="47DD694A">
            <w:pPr>
              <w:spacing w:line="241" w:lineRule="auto"/>
              <w:rPr>
                <w:rFonts w:ascii="Arial"/>
                <w:sz w:val="21"/>
              </w:rPr>
            </w:pPr>
          </w:p>
          <w:p w14:paraId="24AA1B8A">
            <w:pPr>
              <w:pStyle w:val="25"/>
              <w:spacing w:before="78" w:line="181" w:lineRule="auto"/>
              <w:ind w:left="355"/>
              <w:rPr>
                <w:sz w:val="24"/>
                <w:szCs w:val="24"/>
              </w:rPr>
            </w:pPr>
            <w:r>
              <w:rPr>
                <w:sz w:val="24"/>
                <w:szCs w:val="24"/>
              </w:rPr>
              <w:t>2</w:t>
            </w:r>
          </w:p>
        </w:tc>
        <w:tc>
          <w:tcPr>
            <w:tcW w:w="2073" w:type="dxa"/>
            <w:vAlign w:val="top"/>
          </w:tcPr>
          <w:p w14:paraId="05FBA56E">
            <w:pPr>
              <w:spacing w:line="290" w:lineRule="auto"/>
              <w:rPr>
                <w:rFonts w:ascii="Arial"/>
                <w:sz w:val="21"/>
              </w:rPr>
            </w:pPr>
          </w:p>
          <w:p w14:paraId="3A4D36C5">
            <w:pPr>
              <w:spacing w:line="290" w:lineRule="auto"/>
              <w:rPr>
                <w:rFonts w:ascii="Arial"/>
                <w:sz w:val="21"/>
              </w:rPr>
            </w:pPr>
          </w:p>
          <w:p w14:paraId="55E82664">
            <w:pPr>
              <w:spacing w:line="291" w:lineRule="auto"/>
              <w:rPr>
                <w:rFonts w:ascii="Arial"/>
                <w:sz w:val="21"/>
              </w:rPr>
            </w:pPr>
          </w:p>
          <w:p w14:paraId="7F936036">
            <w:pPr>
              <w:spacing w:line="291" w:lineRule="auto"/>
              <w:rPr>
                <w:rFonts w:ascii="Arial"/>
                <w:sz w:val="21"/>
              </w:rPr>
            </w:pPr>
          </w:p>
          <w:p w14:paraId="291177EE">
            <w:pPr>
              <w:pStyle w:val="25"/>
              <w:spacing w:before="78" w:line="220" w:lineRule="auto"/>
              <w:ind w:left="300"/>
              <w:rPr>
                <w:sz w:val="24"/>
                <w:szCs w:val="24"/>
              </w:rPr>
            </w:pPr>
            <w:r>
              <w:rPr>
                <w:spacing w:val="-2"/>
                <w:sz w:val="24"/>
                <w:szCs w:val="24"/>
              </w:rPr>
              <w:t>采购代理机构</w:t>
            </w:r>
          </w:p>
        </w:tc>
        <w:tc>
          <w:tcPr>
            <w:tcW w:w="6272" w:type="dxa"/>
            <w:vAlign w:val="top"/>
          </w:tcPr>
          <w:p w14:paraId="6D1AB9C6">
            <w:pPr>
              <w:pStyle w:val="25"/>
              <w:spacing w:before="207" w:line="220" w:lineRule="auto"/>
              <w:ind w:left="114"/>
              <w:rPr>
                <w:rFonts w:hint="eastAsia" w:eastAsia="宋体"/>
                <w:sz w:val="24"/>
                <w:szCs w:val="24"/>
                <w:lang w:eastAsia="zh-CN"/>
              </w:rPr>
            </w:pPr>
            <w:r>
              <w:rPr>
                <w:spacing w:val="-1"/>
                <w:sz w:val="24"/>
                <w:szCs w:val="24"/>
              </w:rPr>
              <w:t>名  称：</w:t>
            </w:r>
            <w:r>
              <w:rPr>
                <w:rFonts w:hint="eastAsia"/>
                <w:spacing w:val="-1"/>
                <w:sz w:val="24"/>
                <w:szCs w:val="24"/>
                <w:lang w:eastAsia="zh-CN"/>
              </w:rPr>
              <w:t>河南航勤工程管理有限公司</w:t>
            </w:r>
          </w:p>
          <w:p w14:paraId="5BF6A666">
            <w:pPr>
              <w:pStyle w:val="25"/>
              <w:spacing w:before="234" w:line="220" w:lineRule="auto"/>
              <w:ind w:left="117"/>
              <w:rPr>
                <w:rFonts w:hint="eastAsia" w:eastAsia="宋体"/>
                <w:sz w:val="24"/>
                <w:szCs w:val="24"/>
                <w:lang w:eastAsia="zh-CN"/>
              </w:rPr>
            </w:pPr>
            <w:r>
              <w:rPr>
                <w:spacing w:val="-8"/>
                <w:sz w:val="24"/>
                <w:szCs w:val="24"/>
              </w:rPr>
              <w:t>统一社会信用代码：</w:t>
            </w:r>
            <w:r>
              <w:rPr>
                <w:rFonts w:hint="eastAsia"/>
                <w:spacing w:val="-8"/>
                <w:sz w:val="24"/>
                <w:szCs w:val="24"/>
                <w:lang w:eastAsia="zh-CN"/>
              </w:rPr>
              <w:t>91410581MA9GFM0N86</w:t>
            </w:r>
          </w:p>
          <w:p w14:paraId="4ED42B57">
            <w:pPr>
              <w:pStyle w:val="25"/>
              <w:spacing w:before="234" w:line="220" w:lineRule="auto"/>
              <w:ind w:left="111"/>
              <w:rPr>
                <w:rFonts w:hint="eastAsia" w:eastAsia="宋体"/>
                <w:sz w:val="24"/>
                <w:szCs w:val="24"/>
                <w:lang w:eastAsia="zh-CN"/>
              </w:rPr>
            </w:pPr>
            <w:r>
              <w:rPr>
                <w:spacing w:val="-3"/>
                <w:sz w:val="24"/>
                <w:szCs w:val="24"/>
              </w:rPr>
              <w:t>地  址：</w:t>
            </w:r>
            <w:r>
              <w:rPr>
                <w:rFonts w:hint="eastAsia"/>
                <w:spacing w:val="-3"/>
                <w:sz w:val="24"/>
                <w:szCs w:val="24"/>
                <w:lang w:eastAsia="zh-CN"/>
              </w:rPr>
              <w:t>河南省安阳市林州市开元街道红旗渠大道西段88号禧福苑小区6号楼1001室</w:t>
            </w:r>
          </w:p>
          <w:p w14:paraId="2B9F9C15">
            <w:pPr>
              <w:pStyle w:val="25"/>
              <w:spacing w:before="234" w:line="222" w:lineRule="auto"/>
              <w:ind w:left="112"/>
              <w:rPr>
                <w:rFonts w:hint="eastAsia" w:eastAsia="宋体"/>
                <w:sz w:val="24"/>
                <w:szCs w:val="24"/>
                <w:lang w:eastAsia="zh-CN"/>
              </w:rPr>
            </w:pPr>
            <w:r>
              <w:rPr>
                <w:spacing w:val="-2"/>
                <w:sz w:val="24"/>
                <w:szCs w:val="24"/>
              </w:rPr>
              <w:t>联系人：</w:t>
            </w:r>
            <w:r>
              <w:rPr>
                <w:rFonts w:hint="eastAsia"/>
                <w:spacing w:val="-2"/>
                <w:sz w:val="24"/>
                <w:szCs w:val="24"/>
                <w:lang w:val="en-US" w:eastAsia="zh-CN"/>
              </w:rPr>
              <w:t>王毅</w:t>
            </w:r>
          </w:p>
          <w:p w14:paraId="4CFD2B66">
            <w:pPr>
              <w:pStyle w:val="25"/>
              <w:spacing w:before="232" w:line="222" w:lineRule="auto"/>
              <w:ind w:left="139"/>
              <w:rPr>
                <w:rFonts w:hint="default" w:eastAsia="宋体"/>
                <w:sz w:val="24"/>
                <w:szCs w:val="24"/>
                <w:lang w:val="en-US" w:eastAsia="zh-CN"/>
              </w:rPr>
            </w:pPr>
            <w:r>
              <w:rPr>
                <w:spacing w:val="-6"/>
                <w:sz w:val="24"/>
                <w:szCs w:val="24"/>
              </w:rPr>
              <w:t>电  话：</w:t>
            </w:r>
            <w:r>
              <w:rPr>
                <w:spacing w:val="-16"/>
                <w:sz w:val="24"/>
                <w:szCs w:val="24"/>
              </w:rPr>
              <w:t xml:space="preserve"> </w:t>
            </w:r>
            <w:r>
              <w:rPr>
                <w:rFonts w:hint="eastAsia"/>
                <w:spacing w:val="-6"/>
                <w:sz w:val="24"/>
                <w:szCs w:val="24"/>
                <w:lang w:val="en-US" w:eastAsia="zh-CN"/>
              </w:rPr>
              <w:t>18637277910</w:t>
            </w:r>
          </w:p>
        </w:tc>
      </w:tr>
      <w:tr w14:paraId="35FBD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9" w:hRule="atLeast"/>
        </w:trPr>
        <w:tc>
          <w:tcPr>
            <w:tcW w:w="834" w:type="dxa"/>
            <w:vAlign w:val="top"/>
          </w:tcPr>
          <w:p w14:paraId="3571E429">
            <w:pPr>
              <w:spacing w:line="429" w:lineRule="auto"/>
              <w:rPr>
                <w:rFonts w:ascii="Arial"/>
                <w:sz w:val="21"/>
              </w:rPr>
            </w:pPr>
          </w:p>
          <w:p w14:paraId="496B53D3">
            <w:pPr>
              <w:pStyle w:val="25"/>
              <w:spacing w:before="78" w:line="181" w:lineRule="auto"/>
              <w:ind w:left="357"/>
              <w:rPr>
                <w:sz w:val="24"/>
                <w:szCs w:val="24"/>
              </w:rPr>
            </w:pPr>
            <w:r>
              <w:rPr>
                <w:sz w:val="24"/>
                <w:szCs w:val="24"/>
              </w:rPr>
              <w:t>3</w:t>
            </w:r>
          </w:p>
        </w:tc>
        <w:tc>
          <w:tcPr>
            <w:tcW w:w="2073" w:type="dxa"/>
            <w:vAlign w:val="top"/>
          </w:tcPr>
          <w:p w14:paraId="663A6349">
            <w:pPr>
              <w:spacing w:line="389" w:lineRule="auto"/>
              <w:rPr>
                <w:rFonts w:ascii="Arial"/>
                <w:sz w:val="21"/>
              </w:rPr>
            </w:pPr>
          </w:p>
          <w:p w14:paraId="3F01E984">
            <w:pPr>
              <w:pStyle w:val="25"/>
              <w:spacing w:before="78" w:line="221" w:lineRule="auto"/>
              <w:jc w:val="center"/>
              <w:rPr>
                <w:sz w:val="24"/>
                <w:szCs w:val="24"/>
              </w:rPr>
            </w:pPr>
            <w:r>
              <w:rPr>
                <w:rFonts w:hint="eastAsia" w:ascii="宋体" w:hAnsi="宋体" w:eastAsia="宋体" w:cs="宋体"/>
                <w:spacing w:val="-2"/>
                <w:sz w:val="24"/>
                <w:szCs w:val="24"/>
              </w:rPr>
              <w:t>项目编号及项目名称</w:t>
            </w:r>
          </w:p>
        </w:tc>
        <w:tc>
          <w:tcPr>
            <w:tcW w:w="6272" w:type="dxa"/>
            <w:vAlign w:val="center"/>
          </w:tcPr>
          <w:p w14:paraId="13A1732E">
            <w:pPr>
              <w:pStyle w:val="25"/>
              <w:spacing w:before="1" w:line="220" w:lineRule="auto"/>
              <w:ind w:left="115"/>
              <w:jc w:val="left"/>
              <w:rPr>
                <w:rFonts w:hint="eastAsia" w:ascii="宋体" w:hAnsi="宋体" w:eastAsia="宋体" w:cs="宋体"/>
                <w:spacing w:val="-2"/>
                <w:position w:val="21"/>
                <w:sz w:val="24"/>
                <w:szCs w:val="24"/>
                <w:lang w:eastAsia="zh-CN"/>
              </w:rPr>
            </w:pPr>
            <w:r>
              <w:rPr>
                <w:rFonts w:hint="eastAsia" w:ascii="宋体" w:hAnsi="宋体" w:eastAsia="宋体" w:cs="宋体"/>
                <w:spacing w:val="-2"/>
                <w:sz w:val="24"/>
                <w:szCs w:val="24"/>
              </w:rPr>
              <w:t>项目编号</w:t>
            </w:r>
            <w:r>
              <w:rPr>
                <w:rFonts w:hint="eastAsia" w:ascii="宋体" w:hAnsi="宋体" w:eastAsia="宋体" w:cs="宋体"/>
                <w:b w:val="0"/>
                <w:bCs w:val="0"/>
                <w:spacing w:val="-2"/>
                <w:sz w:val="24"/>
                <w:szCs w:val="24"/>
                <w:u w:val="none"/>
                <w:lang w:eastAsia="zh-CN"/>
              </w:rPr>
              <w:t>：</w:t>
            </w:r>
            <w:r>
              <w:rPr>
                <w:rFonts w:hint="eastAsia" w:ascii="华文中宋" w:hAnsi="宋体" w:eastAsia="华文中宋" w:cs="Tahoma"/>
                <w:b w:val="0"/>
                <w:bCs w:val="0"/>
                <w:color w:val="000000"/>
                <w:kern w:val="0"/>
                <w:sz w:val="24"/>
                <w:szCs w:val="24"/>
                <w:u w:val="none"/>
              </w:rPr>
              <w:t>林财公开采购</w:t>
            </w:r>
            <w:r>
              <w:rPr>
                <w:rFonts w:hint="eastAsia" w:ascii="华文中宋" w:hAnsi="宋体" w:eastAsia="华文中宋" w:cs="Tahoma"/>
                <w:b w:val="0"/>
                <w:bCs w:val="0"/>
                <w:color w:val="000000"/>
                <w:kern w:val="0"/>
                <w:sz w:val="24"/>
                <w:szCs w:val="24"/>
                <w:u w:val="none"/>
                <w:lang w:val="en-US" w:eastAsia="zh-CN"/>
              </w:rPr>
              <w:t>-</w:t>
            </w:r>
            <w:r>
              <w:rPr>
                <w:rFonts w:hint="eastAsia" w:ascii="华文中宋" w:hAnsi="宋体" w:eastAsia="华文中宋" w:cs="Tahoma"/>
                <w:b w:val="0"/>
                <w:bCs w:val="0"/>
                <w:color w:val="000000"/>
                <w:kern w:val="0"/>
                <w:sz w:val="24"/>
                <w:szCs w:val="24"/>
                <w:u w:val="none"/>
              </w:rPr>
              <w:t>2025-GK2</w:t>
            </w:r>
          </w:p>
          <w:p w14:paraId="1D5F1487">
            <w:pPr>
              <w:pStyle w:val="25"/>
              <w:spacing w:before="1" w:line="220" w:lineRule="auto"/>
              <w:ind w:left="115"/>
              <w:jc w:val="left"/>
              <w:rPr>
                <w:sz w:val="24"/>
                <w:szCs w:val="24"/>
              </w:rPr>
            </w:pPr>
            <w:r>
              <w:rPr>
                <w:rFonts w:hint="eastAsia" w:ascii="宋体" w:hAnsi="宋体" w:eastAsia="宋体" w:cs="宋体"/>
                <w:spacing w:val="-2"/>
                <w:position w:val="21"/>
                <w:sz w:val="24"/>
                <w:szCs w:val="24"/>
                <w:lang w:eastAsia="zh-CN"/>
              </w:rPr>
              <w:t>项目名称：林</w:t>
            </w:r>
            <w:r>
              <w:rPr>
                <w:rFonts w:hint="eastAsia"/>
                <w:spacing w:val="-2"/>
                <w:position w:val="21"/>
                <w:sz w:val="24"/>
                <w:szCs w:val="24"/>
                <w:lang w:eastAsia="zh-CN"/>
              </w:rPr>
              <w:t>州市公安局</w:t>
            </w:r>
            <w:r>
              <w:rPr>
                <w:rFonts w:hint="eastAsia"/>
                <w:spacing w:val="-2"/>
                <w:position w:val="21"/>
                <w:sz w:val="24"/>
                <w:szCs w:val="24"/>
                <w:lang w:val="en-US" w:eastAsia="zh-CN"/>
              </w:rPr>
              <w:t>2024年</w:t>
            </w:r>
            <w:r>
              <w:rPr>
                <w:rFonts w:hint="eastAsia" w:ascii="宋体" w:hAnsi="宋体" w:eastAsia="宋体" w:cs="宋体"/>
                <w:spacing w:val="-2"/>
                <w:position w:val="21"/>
                <w:sz w:val="24"/>
                <w:szCs w:val="24"/>
                <w:lang w:eastAsia="zh-CN"/>
              </w:rPr>
              <w:t>道路交通技术</w:t>
            </w:r>
            <w:r>
              <w:rPr>
                <w:rFonts w:hint="eastAsia"/>
                <w:spacing w:val="-2"/>
                <w:position w:val="21"/>
                <w:sz w:val="24"/>
                <w:szCs w:val="24"/>
                <w:lang w:eastAsia="zh-CN"/>
              </w:rPr>
              <w:t>监控更新维护项目</w:t>
            </w:r>
          </w:p>
        </w:tc>
      </w:tr>
      <w:tr w14:paraId="7257A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834" w:type="dxa"/>
            <w:vAlign w:val="top"/>
          </w:tcPr>
          <w:p w14:paraId="122E9C97">
            <w:pPr>
              <w:pStyle w:val="25"/>
              <w:spacing w:before="251" w:line="181" w:lineRule="auto"/>
              <w:ind w:left="351"/>
              <w:rPr>
                <w:sz w:val="24"/>
                <w:szCs w:val="24"/>
              </w:rPr>
            </w:pPr>
            <w:r>
              <w:rPr>
                <w:sz w:val="24"/>
                <w:szCs w:val="24"/>
              </w:rPr>
              <w:t>4</w:t>
            </w:r>
          </w:p>
        </w:tc>
        <w:tc>
          <w:tcPr>
            <w:tcW w:w="2073" w:type="dxa"/>
            <w:vAlign w:val="top"/>
          </w:tcPr>
          <w:p w14:paraId="6B569CCD">
            <w:pPr>
              <w:pStyle w:val="25"/>
              <w:spacing w:before="211" w:line="220" w:lineRule="auto"/>
              <w:ind w:left="552"/>
              <w:rPr>
                <w:sz w:val="24"/>
                <w:szCs w:val="24"/>
              </w:rPr>
            </w:pPr>
            <w:r>
              <w:rPr>
                <w:spacing w:val="-4"/>
                <w:sz w:val="24"/>
                <w:szCs w:val="24"/>
              </w:rPr>
              <w:t>资金来源</w:t>
            </w:r>
          </w:p>
        </w:tc>
        <w:tc>
          <w:tcPr>
            <w:tcW w:w="6272" w:type="dxa"/>
            <w:vAlign w:val="center"/>
          </w:tcPr>
          <w:p w14:paraId="64DE53F7">
            <w:pPr>
              <w:pStyle w:val="25"/>
              <w:spacing w:before="1" w:line="220" w:lineRule="auto"/>
              <w:ind w:left="115"/>
              <w:jc w:val="center"/>
              <w:rPr>
                <w:rFonts w:hint="eastAsia" w:ascii="宋体" w:hAnsi="宋体" w:eastAsia="宋体" w:cs="宋体"/>
                <w:spacing w:val="-2"/>
                <w:position w:val="21"/>
                <w:sz w:val="24"/>
                <w:szCs w:val="24"/>
                <w:lang w:eastAsia="zh-CN"/>
              </w:rPr>
            </w:pPr>
            <w:r>
              <w:rPr>
                <w:rFonts w:hint="eastAsia" w:ascii="宋体" w:hAnsi="宋体" w:eastAsia="宋体" w:cs="宋体"/>
                <w:spacing w:val="-2"/>
                <w:position w:val="21"/>
                <w:sz w:val="24"/>
                <w:szCs w:val="24"/>
                <w:lang w:eastAsia="zh-CN"/>
              </w:rPr>
              <w:t>财政资金</w:t>
            </w:r>
          </w:p>
        </w:tc>
      </w:tr>
      <w:tr w14:paraId="6F9D3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trPr>
        <w:tc>
          <w:tcPr>
            <w:tcW w:w="834" w:type="dxa"/>
            <w:vAlign w:val="top"/>
          </w:tcPr>
          <w:p w14:paraId="72147946">
            <w:pPr>
              <w:spacing w:line="317" w:lineRule="auto"/>
              <w:rPr>
                <w:rFonts w:ascii="Arial"/>
                <w:sz w:val="21"/>
              </w:rPr>
            </w:pPr>
          </w:p>
          <w:p w14:paraId="15D112CA">
            <w:pPr>
              <w:pStyle w:val="25"/>
              <w:spacing w:before="78" w:line="180" w:lineRule="auto"/>
              <w:ind w:left="357"/>
              <w:rPr>
                <w:sz w:val="24"/>
                <w:szCs w:val="24"/>
              </w:rPr>
            </w:pPr>
            <w:r>
              <w:rPr>
                <w:sz w:val="24"/>
                <w:szCs w:val="24"/>
              </w:rPr>
              <w:t>5</w:t>
            </w:r>
          </w:p>
        </w:tc>
        <w:tc>
          <w:tcPr>
            <w:tcW w:w="2073" w:type="dxa"/>
            <w:vAlign w:val="top"/>
          </w:tcPr>
          <w:p w14:paraId="45D67AB2">
            <w:pPr>
              <w:spacing w:line="303" w:lineRule="auto"/>
              <w:rPr>
                <w:rFonts w:ascii="Arial"/>
                <w:sz w:val="21"/>
              </w:rPr>
            </w:pPr>
          </w:p>
          <w:p w14:paraId="43CC2420">
            <w:pPr>
              <w:pStyle w:val="25"/>
              <w:spacing w:before="78" w:line="220" w:lineRule="auto"/>
              <w:ind w:left="540"/>
              <w:rPr>
                <w:sz w:val="24"/>
                <w:szCs w:val="24"/>
              </w:rPr>
            </w:pPr>
            <w:r>
              <w:rPr>
                <w:spacing w:val="-2"/>
                <w:sz w:val="24"/>
                <w:szCs w:val="24"/>
              </w:rPr>
              <w:t>采购内容</w:t>
            </w:r>
          </w:p>
        </w:tc>
        <w:tc>
          <w:tcPr>
            <w:tcW w:w="6272" w:type="dxa"/>
            <w:vAlign w:val="top"/>
          </w:tcPr>
          <w:p w14:paraId="6210F5A2">
            <w:pPr>
              <w:pStyle w:val="25"/>
              <w:spacing w:before="1" w:line="220" w:lineRule="auto"/>
              <w:ind w:left="115"/>
              <w:jc w:val="center"/>
              <w:rPr>
                <w:rFonts w:hint="eastAsia" w:ascii="宋体" w:hAnsi="宋体" w:eastAsia="宋体" w:cs="宋体"/>
                <w:spacing w:val="-2"/>
                <w:position w:val="21"/>
                <w:sz w:val="24"/>
                <w:szCs w:val="24"/>
                <w:lang w:eastAsia="zh-CN"/>
              </w:rPr>
            </w:pPr>
            <w:r>
              <w:rPr>
                <w:rFonts w:hint="eastAsia" w:ascii="宋体" w:hAnsi="宋体" w:eastAsia="宋体" w:cs="宋体"/>
                <w:spacing w:val="-2"/>
                <w:position w:val="21"/>
                <w:sz w:val="24"/>
                <w:szCs w:val="24"/>
                <w:lang w:eastAsia="zh-CN"/>
              </w:rPr>
              <w:t>林州市道路交通技术监控（电子警察）维护、保养、</w:t>
            </w:r>
            <w:r>
              <w:rPr>
                <w:rFonts w:hint="eastAsia" w:cs="宋体"/>
                <w:spacing w:val="-2"/>
                <w:position w:val="21"/>
                <w:sz w:val="24"/>
                <w:szCs w:val="24"/>
                <w:lang w:eastAsia="zh-CN"/>
              </w:rPr>
              <w:t>更新、</w:t>
            </w:r>
            <w:r>
              <w:rPr>
                <w:rFonts w:hint="eastAsia" w:ascii="宋体" w:hAnsi="宋体" w:eastAsia="宋体" w:cs="宋体"/>
                <w:spacing w:val="-2"/>
                <w:position w:val="21"/>
                <w:sz w:val="24"/>
                <w:szCs w:val="24"/>
                <w:lang w:eastAsia="zh-CN"/>
              </w:rPr>
              <w:t>升级、信息系统集成、优化、服务等。</w:t>
            </w:r>
          </w:p>
        </w:tc>
      </w:tr>
      <w:tr w14:paraId="7CCC8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9" w:hRule="atLeast"/>
        </w:trPr>
        <w:tc>
          <w:tcPr>
            <w:tcW w:w="834" w:type="dxa"/>
            <w:vAlign w:val="top"/>
          </w:tcPr>
          <w:p w14:paraId="69B4FED3">
            <w:pPr>
              <w:spacing w:line="292" w:lineRule="auto"/>
              <w:rPr>
                <w:rFonts w:ascii="Arial"/>
                <w:sz w:val="21"/>
              </w:rPr>
            </w:pPr>
          </w:p>
          <w:p w14:paraId="2570994A">
            <w:pPr>
              <w:spacing w:line="293" w:lineRule="auto"/>
              <w:rPr>
                <w:rFonts w:ascii="Arial"/>
                <w:sz w:val="21"/>
              </w:rPr>
            </w:pPr>
          </w:p>
          <w:p w14:paraId="671CFFA5">
            <w:pPr>
              <w:pStyle w:val="25"/>
              <w:spacing w:before="78" w:line="181" w:lineRule="auto"/>
              <w:ind w:left="354"/>
              <w:rPr>
                <w:sz w:val="24"/>
                <w:szCs w:val="24"/>
              </w:rPr>
            </w:pPr>
            <w:r>
              <w:rPr>
                <w:sz w:val="24"/>
                <w:szCs w:val="24"/>
              </w:rPr>
              <w:t>6</w:t>
            </w:r>
          </w:p>
        </w:tc>
        <w:tc>
          <w:tcPr>
            <w:tcW w:w="2073" w:type="dxa"/>
            <w:vAlign w:val="top"/>
          </w:tcPr>
          <w:p w14:paraId="0398F476">
            <w:pPr>
              <w:spacing w:line="290" w:lineRule="auto"/>
              <w:rPr>
                <w:rFonts w:ascii="Arial"/>
                <w:sz w:val="21"/>
              </w:rPr>
            </w:pPr>
          </w:p>
          <w:p w14:paraId="62EE38E8">
            <w:pPr>
              <w:pStyle w:val="25"/>
              <w:spacing w:before="78" w:line="520" w:lineRule="exact"/>
              <w:ind w:left="543"/>
              <w:rPr>
                <w:sz w:val="24"/>
                <w:szCs w:val="24"/>
              </w:rPr>
            </w:pPr>
            <w:r>
              <w:rPr>
                <w:spacing w:val="-3"/>
                <w:position w:val="21"/>
                <w:sz w:val="24"/>
                <w:szCs w:val="24"/>
              </w:rPr>
              <w:t>预算金额</w:t>
            </w:r>
          </w:p>
          <w:p w14:paraId="60C598A7">
            <w:pPr>
              <w:pStyle w:val="25"/>
              <w:spacing w:before="1" w:line="218" w:lineRule="auto"/>
              <w:ind w:left="422"/>
              <w:rPr>
                <w:sz w:val="24"/>
                <w:szCs w:val="24"/>
              </w:rPr>
            </w:pPr>
            <w:r>
              <w:rPr>
                <w:spacing w:val="-2"/>
                <w:sz w:val="24"/>
                <w:szCs w:val="24"/>
              </w:rPr>
              <w:t>和最高限价</w:t>
            </w:r>
          </w:p>
        </w:tc>
        <w:tc>
          <w:tcPr>
            <w:tcW w:w="6272" w:type="dxa"/>
            <w:vAlign w:val="top"/>
          </w:tcPr>
          <w:p w14:paraId="2E0A58F9">
            <w:pPr>
              <w:pStyle w:val="25"/>
              <w:spacing w:before="133" w:line="240" w:lineRule="auto"/>
              <w:ind w:right="7"/>
              <w:jc w:val="left"/>
              <w:rPr>
                <w:rFonts w:hint="eastAsia" w:eastAsia="宋体"/>
                <w:spacing w:val="7"/>
                <w:sz w:val="24"/>
                <w:szCs w:val="24"/>
                <w:lang w:eastAsia="zh-CN"/>
              </w:rPr>
            </w:pPr>
            <w:r>
              <w:rPr>
                <w:spacing w:val="7"/>
                <w:sz w:val="24"/>
                <w:szCs w:val="24"/>
              </w:rPr>
              <w:t>本次采购设最高限价， 最高</w:t>
            </w:r>
            <w:r>
              <w:rPr>
                <w:spacing w:val="7"/>
                <w:sz w:val="24"/>
                <w:szCs w:val="24"/>
                <w:highlight w:val="none"/>
              </w:rPr>
              <w:t xml:space="preserve">限价为 </w:t>
            </w:r>
            <w:r>
              <w:rPr>
                <w:rFonts w:hint="eastAsia"/>
                <w:spacing w:val="7"/>
                <w:sz w:val="24"/>
                <w:szCs w:val="24"/>
                <w:highlight w:val="none"/>
                <w:lang w:val="en-US" w:eastAsia="zh-CN"/>
              </w:rPr>
              <w:t>280</w:t>
            </w:r>
            <w:r>
              <w:rPr>
                <w:rFonts w:hint="default"/>
                <w:spacing w:val="7"/>
                <w:sz w:val="24"/>
                <w:szCs w:val="24"/>
                <w:highlight w:val="none"/>
                <w:lang w:val="en-US" w:eastAsia="zh-CN"/>
              </w:rPr>
              <w:t xml:space="preserve">0000.00(本项目采用单价招标，采购预算单价的最高限为 </w:t>
            </w:r>
            <w:r>
              <w:rPr>
                <w:rFonts w:hint="eastAsia"/>
                <w:spacing w:val="7"/>
                <w:sz w:val="24"/>
                <w:szCs w:val="24"/>
                <w:highlight w:val="none"/>
                <w:lang w:val="en-US" w:eastAsia="zh-CN"/>
              </w:rPr>
              <w:t>1980369.49</w:t>
            </w:r>
            <w:r>
              <w:rPr>
                <w:rFonts w:hint="default"/>
                <w:spacing w:val="7"/>
                <w:sz w:val="24"/>
                <w:szCs w:val="24"/>
                <w:highlight w:val="none"/>
                <w:lang w:val="en-US" w:eastAsia="zh-CN"/>
              </w:rPr>
              <w:t>元)</w:t>
            </w:r>
            <w:r>
              <w:rPr>
                <w:spacing w:val="7"/>
                <w:sz w:val="24"/>
                <w:szCs w:val="24"/>
              </w:rPr>
              <w:t>，</w:t>
            </w:r>
            <w:r>
              <w:rPr>
                <w:rFonts w:hint="eastAsia"/>
                <w:spacing w:val="7"/>
                <w:sz w:val="24"/>
                <w:szCs w:val="24"/>
                <w:lang w:eastAsia="zh-CN"/>
              </w:rPr>
              <w:t>供应商</w:t>
            </w:r>
            <w:r>
              <w:rPr>
                <w:spacing w:val="7"/>
                <w:sz w:val="24"/>
                <w:szCs w:val="24"/>
              </w:rPr>
              <w:t>投标总报价和分项报价超出本项目采购预算价和最高投标限价的，其投标将被否决</w:t>
            </w:r>
            <w:r>
              <w:rPr>
                <w:rFonts w:hint="eastAsia"/>
                <w:spacing w:val="7"/>
                <w:sz w:val="24"/>
                <w:szCs w:val="24"/>
                <w:lang w:eastAsia="zh-CN"/>
              </w:rPr>
              <w:t>。</w:t>
            </w:r>
          </w:p>
          <w:p w14:paraId="1B078958">
            <w:pPr>
              <w:pStyle w:val="25"/>
              <w:spacing w:before="133" w:line="240" w:lineRule="auto"/>
              <w:ind w:right="7"/>
              <w:jc w:val="left"/>
              <w:rPr>
                <w:spacing w:val="7"/>
                <w:sz w:val="24"/>
                <w:szCs w:val="24"/>
              </w:rPr>
            </w:pPr>
            <w:r>
              <w:rPr>
                <w:spacing w:val="7"/>
                <w:sz w:val="24"/>
                <w:szCs w:val="24"/>
              </w:rPr>
              <w:t>注：本项中所称采购预算价并非管理与服务费用的最终结</w:t>
            </w:r>
          </w:p>
          <w:p w14:paraId="483C7163">
            <w:pPr>
              <w:pStyle w:val="25"/>
              <w:spacing w:before="133" w:line="240" w:lineRule="auto"/>
              <w:ind w:right="7"/>
              <w:jc w:val="left"/>
              <w:rPr>
                <w:spacing w:val="7"/>
                <w:sz w:val="24"/>
                <w:szCs w:val="24"/>
              </w:rPr>
            </w:pPr>
            <w:r>
              <w:rPr>
                <w:spacing w:val="7"/>
                <w:sz w:val="24"/>
                <w:szCs w:val="24"/>
              </w:rPr>
              <w:t>算价，最终结算价以采购人每年的实际核定为准。</w:t>
            </w:r>
          </w:p>
          <w:p w14:paraId="4C847AED">
            <w:pPr>
              <w:pStyle w:val="25"/>
              <w:spacing w:before="133" w:line="240" w:lineRule="auto"/>
              <w:ind w:right="7"/>
              <w:jc w:val="left"/>
              <w:rPr>
                <w:spacing w:val="7"/>
                <w:sz w:val="24"/>
                <w:szCs w:val="24"/>
              </w:rPr>
            </w:pPr>
            <w:r>
              <w:rPr>
                <w:spacing w:val="7"/>
                <w:sz w:val="24"/>
                <w:szCs w:val="24"/>
              </w:rPr>
              <w:t>本项中所称的“年 ”不是指自然年，是以合同起算日至下一自然年对应日为一年</w:t>
            </w:r>
          </w:p>
          <w:p w14:paraId="598599E2">
            <w:pPr>
              <w:pStyle w:val="25"/>
              <w:spacing w:before="1" w:line="220" w:lineRule="auto"/>
              <w:ind w:left="115"/>
              <w:jc w:val="center"/>
              <w:rPr>
                <w:rFonts w:hint="eastAsia" w:ascii="宋体" w:hAnsi="宋体" w:eastAsia="宋体" w:cs="宋体"/>
                <w:spacing w:val="-2"/>
                <w:position w:val="21"/>
                <w:sz w:val="24"/>
                <w:szCs w:val="24"/>
                <w:lang w:eastAsia="zh-CN"/>
              </w:rPr>
            </w:pPr>
          </w:p>
        </w:tc>
      </w:tr>
    </w:tbl>
    <w:p w14:paraId="376667BB">
      <w:pPr>
        <w:rPr>
          <w:rFonts w:ascii="Arial" w:hAnsi="Arial" w:eastAsia="Arial" w:cs="Arial"/>
          <w:sz w:val="21"/>
          <w:szCs w:val="21"/>
        </w:rPr>
        <w:sectPr>
          <w:footerReference r:id="rId7" w:type="default"/>
          <w:pgSz w:w="11905" w:h="16838"/>
          <w:pgMar w:top="841" w:right="1368" w:bottom="799" w:left="1417" w:header="0" w:footer="548" w:gutter="0"/>
          <w:pgNumType w:fmt="decimal"/>
          <w:cols w:space="720" w:num="1"/>
        </w:sectPr>
      </w:pPr>
    </w:p>
    <w:p w14:paraId="597FA4B3">
      <w:pPr>
        <w:spacing w:before="41"/>
      </w:pPr>
      <w:r>
        <w:pict>
          <v:rect id="_x0000_s1027" o:spid="_x0000_s1027" o:spt="1" style="position:absolute;left:0pt;margin-left:70.85pt;margin-top:784.8pt;height:0.45pt;width:453.9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tbl>
      <w:tblPr>
        <w:tblStyle w:val="24"/>
        <w:tblW w:w="9158" w:type="dxa"/>
        <w:tblInd w:w="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1"/>
        <w:gridCol w:w="11"/>
        <w:gridCol w:w="1980"/>
        <w:gridCol w:w="6221"/>
        <w:gridCol w:w="125"/>
      </w:tblGrid>
      <w:tr w14:paraId="6E5EA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32" w:type="dxa"/>
            <w:gridSpan w:val="2"/>
            <w:vAlign w:val="top"/>
          </w:tcPr>
          <w:p w14:paraId="147120C6">
            <w:pPr>
              <w:pStyle w:val="25"/>
              <w:spacing w:before="248" w:line="180" w:lineRule="auto"/>
              <w:ind w:left="358"/>
              <w:rPr>
                <w:sz w:val="24"/>
                <w:szCs w:val="24"/>
              </w:rPr>
            </w:pPr>
            <w:r>
              <w:rPr>
                <w:sz w:val="24"/>
                <w:szCs w:val="24"/>
              </w:rPr>
              <w:t>7</w:t>
            </w:r>
          </w:p>
        </w:tc>
        <w:tc>
          <w:tcPr>
            <w:tcW w:w="1980" w:type="dxa"/>
            <w:vAlign w:val="top"/>
          </w:tcPr>
          <w:p w14:paraId="3896D906">
            <w:pPr>
              <w:pStyle w:val="25"/>
              <w:spacing w:before="206" w:line="221" w:lineRule="auto"/>
              <w:ind w:left="302"/>
              <w:rPr>
                <w:rFonts w:ascii="宋体" w:hAnsi="宋体" w:eastAsia="宋体" w:cs="宋体"/>
                <w:spacing w:val="-2"/>
                <w:sz w:val="24"/>
                <w:szCs w:val="24"/>
              </w:rPr>
            </w:pPr>
            <w:r>
              <w:rPr>
                <w:rFonts w:ascii="宋体" w:hAnsi="宋体" w:eastAsia="宋体" w:cs="宋体"/>
                <w:spacing w:val="-2"/>
                <w:sz w:val="24"/>
                <w:szCs w:val="24"/>
              </w:rPr>
              <w:t>合同履行期限</w:t>
            </w:r>
          </w:p>
        </w:tc>
        <w:tc>
          <w:tcPr>
            <w:tcW w:w="6346" w:type="dxa"/>
            <w:gridSpan w:val="2"/>
            <w:vAlign w:val="top"/>
          </w:tcPr>
          <w:p w14:paraId="3CB2854C">
            <w:pPr>
              <w:pStyle w:val="25"/>
              <w:spacing w:before="206" w:line="221" w:lineRule="auto"/>
              <w:ind w:left="302"/>
              <w:rPr>
                <w:rFonts w:ascii="宋体" w:hAnsi="宋体" w:eastAsia="宋体" w:cs="宋体"/>
                <w:spacing w:val="-2"/>
                <w:sz w:val="24"/>
                <w:szCs w:val="24"/>
              </w:rPr>
            </w:pPr>
            <w:r>
              <w:rPr>
                <w:rFonts w:hint="default"/>
                <w:spacing w:val="-3"/>
                <w:sz w:val="24"/>
                <w:szCs w:val="24"/>
                <w:lang w:val="en-US"/>
              </w:rPr>
              <w:t>1</w:t>
            </w:r>
            <w:r>
              <w:rPr>
                <w:spacing w:val="-3"/>
                <w:sz w:val="24"/>
                <w:szCs w:val="24"/>
              </w:rPr>
              <w:t>年（以合同确定的起止日期为准）</w:t>
            </w:r>
          </w:p>
        </w:tc>
      </w:tr>
      <w:tr w14:paraId="1C34D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32" w:type="dxa"/>
            <w:gridSpan w:val="2"/>
            <w:vAlign w:val="top"/>
          </w:tcPr>
          <w:p w14:paraId="48738172">
            <w:pPr>
              <w:pStyle w:val="25"/>
              <w:spacing w:before="248" w:line="181" w:lineRule="auto"/>
              <w:ind w:left="353"/>
              <w:rPr>
                <w:sz w:val="24"/>
                <w:szCs w:val="24"/>
              </w:rPr>
            </w:pPr>
            <w:r>
              <w:rPr>
                <w:sz w:val="24"/>
                <w:szCs w:val="24"/>
              </w:rPr>
              <w:t>8</w:t>
            </w:r>
          </w:p>
        </w:tc>
        <w:tc>
          <w:tcPr>
            <w:tcW w:w="1980" w:type="dxa"/>
            <w:vAlign w:val="top"/>
          </w:tcPr>
          <w:p w14:paraId="5F3C35F2">
            <w:pPr>
              <w:pStyle w:val="25"/>
              <w:spacing w:before="207" w:line="221" w:lineRule="auto"/>
              <w:ind w:left="542"/>
              <w:rPr>
                <w:sz w:val="24"/>
                <w:szCs w:val="24"/>
              </w:rPr>
            </w:pPr>
            <w:r>
              <w:rPr>
                <w:spacing w:val="-2"/>
                <w:sz w:val="24"/>
                <w:szCs w:val="24"/>
              </w:rPr>
              <w:t>作业范围</w:t>
            </w:r>
          </w:p>
        </w:tc>
        <w:tc>
          <w:tcPr>
            <w:tcW w:w="6346" w:type="dxa"/>
            <w:gridSpan w:val="2"/>
            <w:vAlign w:val="top"/>
          </w:tcPr>
          <w:p w14:paraId="50E2A821">
            <w:pPr>
              <w:pStyle w:val="25"/>
              <w:spacing w:before="207" w:line="220" w:lineRule="auto"/>
              <w:ind w:left="112"/>
              <w:rPr>
                <w:sz w:val="24"/>
                <w:szCs w:val="24"/>
              </w:rPr>
            </w:pPr>
            <w:r>
              <w:rPr>
                <w:spacing w:val="-2"/>
                <w:sz w:val="24"/>
                <w:szCs w:val="24"/>
              </w:rPr>
              <w:t>林州市行政区域内（采购人指定地点）</w:t>
            </w:r>
          </w:p>
        </w:tc>
      </w:tr>
      <w:tr w14:paraId="1CC25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32" w:type="dxa"/>
            <w:gridSpan w:val="2"/>
            <w:vAlign w:val="top"/>
          </w:tcPr>
          <w:p w14:paraId="0B1C0D7E">
            <w:pPr>
              <w:pStyle w:val="25"/>
              <w:spacing w:before="248" w:line="181" w:lineRule="auto"/>
              <w:ind w:left="353"/>
              <w:rPr>
                <w:sz w:val="24"/>
                <w:szCs w:val="24"/>
              </w:rPr>
            </w:pPr>
            <w:r>
              <w:rPr>
                <w:sz w:val="24"/>
                <w:szCs w:val="24"/>
              </w:rPr>
              <w:t>9</w:t>
            </w:r>
          </w:p>
        </w:tc>
        <w:tc>
          <w:tcPr>
            <w:tcW w:w="1980" w:type="dxa"/>
            <w:vAlign w:val="top"/>
          </w:tcPr>
          <w:p w14:paraId="62C791F1">
            <w:pPr>
              <w:pStyle w:val="25"/>
              <w:spacing w:before="139" w:line="221" w:lineRule="auto"/>
              <w:ind w:left="542"/>
              <w:rPr>
                <w:sz w:val="24"/>
                <w:szCs w:val="24"/>
              </w:rPr>
            </w:pPr>
            <w:r>
              <w:rPr>
                <w:spacing w:val="-2"/>
                <w:sz w:val="24"/>
                <w:szCs w:val="24"/>
              </w:rPr>
              <w:t>质量要求</w:t>
            </w:r>
          </w:p>
        </w:tc>
        <w:tc>
          <w:tcPr>
            <w:tcW w:w="6346" w:type="dxa"/>
            <w:gridSpan w:val="2"/>
            <w:vAlign w:val="top"/>
          </w:tcPr>
          <w:p w14:paraId="56B16043">
            <w:pPr>
              <w:pStyle w:val="25"/>
              <w:spacing w:before="139" w:line="220" w:lineRule="auto"/>
              <w:ind w:left="113"/>
              <w:rPr>
                <w:sz w:val="24"/>
                <w:szCs w:val="24"/>
              </w:rPr>
            </w:pPr>
            <w:r>
              <w:rPr>
                <w:spacing w:val="-1"/>
                <w:sz w:val="24"/>
                <w:szCs w:val="24"/>
              </w:rPr>
              <w:t>符合国家、地方及行业现行规范，并满足采购人要求</w:t>
            </w:r>
          </w:p>
        </w:tc>
      </w:tr>
      <w:tr w14:paraId="501D0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32" w:type="dxa"/>
            <w:gridSpan w:val="2"/>
            <w:vAlign w:val="top"/>
          </w:tcPr>
          <w:p w14:paraId="235E21A6">
            <w:pPr>
              <w:spacing w:line="244" w:lineRule="auto"/>
              <w:rPr>
                <w:rFonts w:ascii="Arial"/>
                <w:sz w:val="21"/>
              </w:rPr>
            </w:pPr>
          </w:p>
          <w:p w14:paraId="329EF17F">
            <w:pPr>
              <w:pStyle w:val="25"/>
              <w:spacing w:before="78" w:line="182" w:lineRule="auto"/>
              <w:ind w:left="310"/>
              <w:rPr>
                <w:sz w:val="24"/>
                <w:szCs w:val="24"/>
              </w:rPr>
            </w:pPr>
            <w:r>
              <w:rPr>
                <w:spacing w:val="-7"/>
                <w:sz w:val="24"/>
                <w:szCs w:val="24"/>
              </w:rPr>
              <w:t>10</w:t>
            </w:r>
          </w:p>
        </w:tc>
        <w:tc>
          <w:tcPr>
            <w:tcW w:w="1980" w:type="dxa"/>
            <w:vAlign w:val="top"/>
          </w:tcPr>
          <w:p w14:paraId="1D4965B6">
            <w:pPr>
              <w:pStyle w:val="25"/>
              <w:spacing w:before="78" w:line="520" w:lineRule="exact"/>
              <w:ind w:right="19"/>
              <w:jc w:val="both"/>
              <w:rPr>
                <w:rFonts w:ascii="宋体" w:hAnsi="宋体" w:eastAsia="宋体" w:cs="宋体"/>
                <w:snapToGrid w:val="0"/>
                <w:color w:val="000000"/>
                <w:spacing w:val="-1"/>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申请人（</w:t>
            </w:r>
            <w:r>
              <w:rPr>
                <w:rFonts w:hint="eastAsia" w:cs="宋体"/>
                <w:snapToGrid w:val="0"/>
                <w:color w:val="000000"/>
                <w:spacing w:val="-1"/>
                <w:kern w:val="0"/>
                <w:sz w:val="24"/>
                <w:szCs w:val="24"/>
                <w:lang w:val="en-US" w:eastAsia="zh-CN" w:bidi="ar-SA"/>
              </w:rPr>
              <w:t>供应商</w:t>
            </w:r>
            <w:r>
              <w:rPr>
                <w:rFonts w:ascii="宋体" w:hAnsi="宋体" w:eastAsia="宋体" w:cs="宋体"/>
                <w:snapToGrid w:val="0"/>
                <w:color w:val="000000"/>
                <w:spacing w:val="-1"/>
                <w:kern w:val="0"/>
                <w:sz w:val="24"/>
                <w:szCs w:val="24"/>
                <w:lang w:val="en-US" w:eastAsia="en-US" w:bidi="ar-SA"/>
              </w:rPr>
              <w:t>）</w:t>
            </w:r>
          </w:p>
          <w:p w14:paraId="49778AB8">
            <w:pPr>
              <w:pStyle w:val="25"/>
              <w:spacing w:line="220" w:lineRule="auto"/>
              <w:ind w:left="552"/>
              <w:rPr>
                <w:rFonts w:ascii="宋体" w:hAnsi="宋体" w:eastAsia="宋体" w:cs="宋体"/>
                <w:snapToGrid w:val="0"/>
                <w:color w:val="000000"/>
                <w:spacing w:val="-1"/>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资格要求</w:t>
            </w:r>
          </w:p>
        </w:tc>
        <w:tc>
          <w:tcPr>
            <w:tcW w:w="6346" w:type="dxa"/>
            <w:gridSpan w:val="2"/>
            <w:vAlign w:val="top"/>
          </w:tcPr>
          <w:p w14:paraId="4CF499D7">
            <w:pPr>
              <w:widowControl/>
              <w:snapToGrid w:val="0"/>
              <w:spacing w:after="0" w:line="400" w:lineRule="exact"/>
              <w:jc w:val="center"/>
              <w:rPr>
                <w:rFonts w:ascii="宋体" w:hAnsi="宋体" w:eastAsia="宋体" w:cs="宋体"/>
                <w:snapToGrid w:val="0"/>
                <w:color w:val="000000"/>
                <w:spacing w:val="-1"/>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详见招标公告“二、申请人资格要求”。</w:t>
            </w:r>
          </w:p>
        </w:tc>
      </w:tr>
      <w:tr w14:paraId="31EA3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1451" w:hRule="atLeast"/>
        </w:trPr>
        <w:tc>
          <w:tcPr>
            <w:tcW w:w="821" w:type="dxa"/>
            <w:vAlign w:val="center"/>
          </w:tcPr>
          <w:p w14:paraId="65D021EA">
            <w:pPr>
              <w:pStyle w:val="25"/>
              <w:spacing w:before="78" w:line="182" w:lineRule="auto"/>
              <w:ind w:left="310"/>
              <w:jc w:val="center"/>
              <w:rPr>
                <w:spacing w:val="-7"/>
                <w:sz w:val="24"/>
                <w:szCs w:val="24"/>
              </w:rPr>
            </w:pPr>
            <w:r>
              <w:rPr>
                <w:spacing w:val="-7"/>
                <w:sz w:val="24"/>
                <w:szCs w:val="24"/>
              </w:rPr>
              <w:t>11</w:t>
            </w:r>
          </w:p>
        </w:tc>
        <w:tc>
          <w:tcPr>
            <w:tcW w:w="1991" w:type="dxa"/>
            <w:gridSpan w:val="2"/>
            <w:vAlign w:val="center"/>
          </w:tcPr>
          <w:p w14:paraId="02F53625">
            <w:pPr>
              <w:pStyle w:val="25"/>
              <w:spacing w:line="220" w:lineRule="auto"/>
              <w:ind w:left="421"/>
              <w:jc w:val="center"/>
              <w:rPr>
                <w:spacing w:val="-2"/>
                <w:sz w:val="24"/>
                <w:szCs w:val="24"/>
              </w:rPr>
            </w:pPr>
            <w:r>
              <w:rPr>
                <w:spacing w:val="-2"/>
                <w:sz w:val="24"/>
                <w:szCs w:val="24"/>
              </w:rPr>
              <w:t>踏勘现场</w:t>
            </w:r>
          </w:p>
        </w:tc>
        <w:tc>
          <w:tcPr>
            <w:tcW w:w="6221" w:type="dxa"/>
            <w:vAlign w:val="top"/>
          </w:tcPr>
          <w:p w14:paraId="69E32D8D">
            <w:pPr>
              <w:pStyle w:val="25"/>
              <w:spacing w:line="220" w:lineRule="auto"/>
              <w:ind w:left="113"/>
              <w:rPr>
                <w:spacing w:val="-8"/>
                <w:sz w:val="24"/>
                <w:szCs w:val="24"/>
              </w:rPr>
            </w:pPr>
            <w:r>
              <w:rPr>
                <w:spacing w:val="-8"/>
                <w:sz w:val="24"/>
                <w:szCs w:val="24"/>
              </w:rPr>
              <w:t>□组织</w:t>
            </w:r>
          </w:p>
          <w:p w14:paraId="0717F033">
            <w:pPr>
              <w:pStyle w:val="25"/>
              <w:spacing w:before="206" w:line="523" w:lineRule="exact"/>
              <w:ind w:left="135"/>
              <w:rPr>
                <w:sz w:val="24"/>
                <w:szCs w:val="24"/>
              </w:rPr>
            </w:pPr>
            <w:r>
              <w:rPr>
                <w:rFonts w:hint="eastAsia" w:ascii="宋体" w:hAnsi="宋体" w:eastAsia="宋体" w:cs="宋体"/>
                <w:spacing w:val="-14"/>
                <w:position w:val="21"/>
                <w:sz w:val="24"/>
                <w:szCs w:val="24"/>
                <w:lang w:eastAsia="zh-CN"/>
              </w:rPr>
              <w:t>☑</w:t>
            </w:r>
            <w:r>
              <w:rPr>
                <w:rFonts w:ascii="宋体" w:hAnsi="宋体" w:eastAsia="宋体" w:cs="宋体"/>
                <w:spacing w:val="-14"/>
                <w:position w:val="21"/>
                <w:sz w:val="24"/>
                <w:szCs w:val="24"/>
              </w:rPr>
              <w:t>不</w:t>
            </w:r>
            <w:r>
              <w:rPr>
                <w:spacing w:val="-14"/>
                <w:position w:val="21"/>
                <w:sz w:val="24"/>
                <w:szCs w:val="24"/>
              </w:rPr>
              <w:t xml:space="preserve">组织， </w:t>
            </w:r>
            <w:r>
              <w:rPr>
                <w:rFonts w:hint="eastAsia"/>
                <w:spacing w:val="-14"/>
                <w:position w:val="21"/>
                <w:sz w:val="24"/>
                <w:szCs w:val="24"/>
                <w:lang w:eastAsia="zh-CN"/>
              </w:rPr>
              <w:t>供应商</w:t>
            </w:r>
            <w:r>
              <w:rPr>
                <w:spacing w:val="-14"/>
                <w:position w:val="21"/>
                <w:sz w:val="24"/>
                <w:szCs w:val="24"/>
              </w:rPr>
              <w:t>可根据需要自行踏勘现场，费用及风险</w:t>
            </w:r>
          </w:p>
          <w:p w14:paraId="015813F4">
            <w:pPr>
              <w:pStyle w:val="25"/>
              <w:spacing w:line="220" w:lineRule="auto"/>
              <w:ind w:left="113"/>
              <w:rPr>
                <w:spacing w:val="-8"/>
                <w:sz w:val="24"/>
                <w:szCs w:val="24"/>
              </w:rPr>
            </w:pPr>
            <w:r>
              <w:rPr>
                <w:spacing w:val="-13"/>
                <w:sz w:val="24"/>
                <w:szCs w:val="24"/>
              </w:rPr>
              <w:t>自负</w:t>
            </w:r>
          </w:p>
        </w:tc>
      </w:tr>
      <w:tr w14:paraId="7C2C5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4677" w:hRule="atLeast"/>
        </w:trPr>
        <w:tc>
          <w:tcPr>
            <w:tcW w:w="821" w:type="dxa"/>
            <w:vAlign w:val="top"/>
          </w:tcPr>
          <w:p w14:paraId="6AD4EFF7">
            <w:pPr>
              <w:spacing w:line="248" w:lineRule="auto"/>
              <w:rPr>
                <w:rFonts w:ascii="Arial"/>
                <w:sz w:val="21"/>
              </w:rPr>
            </w:pPr>
          </w:p>
          <w:p w14:paraId="095F345F">
            <w:pPr>
              <w:spacing w:line="248" w:lineRule="auto"/>
              <w:rPr>
                <w:rFonts w:ascii="Arial"/>
                <w:sz w:val="21"/>
              </w:rPr>
            </w:pPr>
          </w:p>
          <w:p w14:paraId="5883AF5E">
            <w:pPr>
              <w:spacing w:line="248" w:lineRule="auto"/>
              <w:rPr>
                <w:rFonts w:ascii="Arial"/>
                <w:sz w:val="21"/>
              </w:rPr>
            </w:pPr>
          </w:p>
          <w:p w14:paraId="65A09C38">
            <w:pPr>
              <w:spacing w:line="248" w:lineRule="auto"/>
              <w:rPr>
                <w:rFonts w:ascii="Arial"/>
                <w:sz w:val="21"/>
              </w:rPr>
            </w:pPr>
          </w:p>
          <w:p w14:paraId="63774EE2">
            <w:pPr>
              <w:spacing w:line="248" w:lineRule="auto"/>
              <w:rPr>
                <w:rFonts w:ascii="Arial"/>
                <w:sz w:val="21"/>
              </w:rPr>
            </w:pPr>
          </w:p>
          <w:p w14:paraId="372E4A40">
            <w:pPr>
              <w:spacing w:line="248" w:lineRule="auto"/>
              <w:rPr>
                <w:rFonts w:ascii="Arial"/>
                <w:sz w:val="21"/>
              </w:rPr>
            </w:pPr>
          </w:p>
          <w:p w14:paraId="2B2B85BC">
            <w:pPr>
              <w:spacing w:line="248" w:lineRule="auto"/>
              <w:rPr>
                <w:rFonts w:ascii="Arial"/>
                <w:sz w:val="21"/>
              </w:rPr>
            </w:pPr>
          </w:p>
          <w:p w14:paraId="0A7ADADA">
            <w:pPr>
              <w:spacing w:line="248" w:lineRule="auto"/>
              <w:rPr>
                <w:rFonts w:ascii="Arial"/>
                <w:sz w:val="21"/>
              </w:rPr>
            </w:pPr>
          </w:p>
          <w:p w14:paraId="620BBC30">
            <w:pPr>
              <w:spacing w:line="249" w:lineRule="auto"/>
              <w:rPr>
                <w:rFonts w:ascii="Arial"/>
                <w:sz w:val="21"/>
              </w:rPr>
            </w:pPr>
          </w:p>
          <w:p w14:paraId="3A4C6BE0">
            <w:pPr>
              <w:pStyle w:val="25"/>
              <w:spacing w:before="78" w:line="182" w:lineRule="auto"/>
              <w:ind w:left="310"/>
              <w:rPr>
                <w:rFonts w:hint="default" w:eastAsia="宋体"/>
                <w:sz w:val="24"/>
                <w:szCs w:val="24"/>
                <w:lang w:val="en-US" w:eastAsia="zh-CN"/>
              </w:rPr>
            </w:pPr>
            <w:r>
              <w:rPr>
                <w:rFonts w:hint="default"/>
                <w:spacing w:val="-7"/>
                <w:sz w:val="24"/>
                <w:szCs w:val="24"/>
                <w:lang w:val="en-US"/>
              </w:rPr>
              <w:t>12</w:t>
            </w:r>
          </w:p>
        </w:tc>
        <w:tc>
          <w:tcPr>
            <w:tcW w:w="1991" w:type="dxa"/>
            <w:gridSpan w:val="2"/>
            <w:vAlign w:val="top"/>
          </w:tcPr>
          <w:p w14:paraId="1B6157DE">
            <w:pPr>
              <w:spacing w:line="241" w:lineRule="auto"/>
              <w:rPr>
                <w:rFonts w:ascii="Arial"/>
                <w:sz w:val="21"/>
              </w:rPr>
            </w:pPr>
          </w:p>
          <w:p w14:paraId="60A9BDAD">
            <w:pPr>
              <w:spacing w:line="242" w:lineRule="auto"/>
              <w:rPr>
                <w:rFonts w:ascii="Arial"/>
                <w:sz w:val="21"/>
              </w:rPr>
            </w:pPr>
          </w:p>
          <w:p w14:paraId="5E03FA64">
            <w:pPr>
              <w:spacing w:line="242" w:lineRule="auto"/>
              <w:rPr>
                <w:rFonts w:ascii="Arial"/>
                <w:sz w:val="21"/>
              </w:rPr>
            </w:pPr>
          </w:p>
          <w:p w14:paraId="4F3BCFD9">
            <w:pPr>
              <w:spacing w:line="242" w:lineRule="auto"/>
              <w:rPr>
                <w:rFonts w:ascii="Arial"/>
                <w:sz w:val="21"/>
              </w:rPr>
            </w:pPr>
          </w:p>
          <w:p w14:paraId="0B9EC2B5">
            <w:pPr>
              <w:spacing w:line="242" w:lineRule="auto"/>
              <w:rPr>
                <w:rFonts w:ascii="Arial"/>
                <w:sz w:val="21"/>
              </w:rPr>
            </w:pPr>
          </w:p>
          <w:p w14:paraId="699E9AB7">
            <w:pPr>
              <w:spacing w:line="242" w:lineRule="auto"/>
              <w:rPr>
                <w:rFonts w:ascii="Arial"/>
                <w:sz w:val="21"/>
              </w:rPr>
            </w:pPr>
          </w:p>
          <w:p w14:paraId="5D620CAE">
            <w:pPr>
              <w:spacing w:line="242" w:lineRule="auto"/>
              <w:rPr>
                <w:rFonts w:ascii="Arial"/>
                <w:sz w:val="21"/>
              </w:rPr>
            </w:pPr>
          </w:p>
          <w:p w14:paraId="673FA154">
            <w:pPr>
              <w:spacing w:line="242" w:lineRule="auto"/>
              <w:rPr>
                <w:rFonts w:ascii="Arial"/>
                <w:sz w:val="21"/>
              </w:rPr>
            </w:pPr>
          </w:p>
          <w:p w14:paraId="2410E0B9">
            <w:pPr>
              <w:pStyle w:val="25"/>
              <w:spacing w:before="78" w:line="520" w:lineRule="exact"/>
              <w:ind w:left="422"/>
              <w:rPr>
                <w:sz w:val="24"/>
                <w:szCs w:val="24"/>
              </w:rPr>
            </w:pPr>
            <w:r>
              <w:rPr>
                <w:spacing w:val="-2"/>
                <w:position w:val="21"/>
                <w:sz w:val="24"/>
                <w:szCs w:val="24"/>
              </w:rPr>
              <w:t>招标文件的</w:t>
            </w:r>
          </w:p>
          <w:p w14:paraId="614A3A02">
            <w:pPr>
              <w:pStyle w:val="25"/>
              <w:spacing w:line="220" w:lineRule="auto"/>
              <w:ind w:left="421"/>
              <w:rPr>
                <w:sz w:val="24"/>
                <w:szCs w:val="24"/>
              </w:rPr>
            </w:pPr>
            <w:r>
              <w:rPr>
                <w:spacing w:val="-2"/>
                <w:sz w:val="24"/>
                <w:szCs w:val="24"/>
              </w:rPr>
              <w:t>澄清或修改</w:t>
            </w:r>
          </w:p>
        </w:tc>
        <w:tc>
          <w:tcPr>
            <w:tcW w:w="6221" w:type="dxa"/>
            <w:vAlign w:val="top"/>
          </w:tcPr>
          <w:p w14:paraId="2D04BFF6">
            <w:pPr>
              <w:pStyle w:val="25"/>
              <w:spacing w:before="205" w:line="400" w:lineRule="auto"/>
              <w:ind w:left="106" w:right="101" w:firstLine="6"/>
              <w:jc w:val="both"/>
              <w:rPr>
                <w:rFonts w:hint="eastAsia" w:eastAsia="宋体"/>
                <w:sz w:val="24"/>
                <w:szCs w:val="24"/>
                <w:lang w:eastAsia="zh-CN"/>
              </w:rPr>
            </w:pPr>
            <w:r>
              <w:rPr>
                <w:spacing w:val="-1"/>
                <w:sz w:val="24"/>
                <w:szCs w:val="24"/>
              </w:rPr>
              <w:t>采购人可在投标文件递交截止时间至少</w:t>
            </w:r>
            <w:r>
              <w:rPr>
                <w:spacing w:val="-29"/>
                <w:sz w:val="24"/>
                <w:szCs w:val="24"/>
              </w:rPr>
              <w:t xml:space="preserve"> </w:t>
            </w:r>
            <w:r>
              <w:rPr>
                <w:spacing w:val="-1"/>
                <w:sz w:val="24"/>
                <w:szCs w:val="24"/>
              </w:rPr>
              <w:t>15 日前对已发出</w:t>
            </w:r>
            <w:r>
              <w:rPr>
                <w:sz w:val="24"/>
                <w:szCs w:val="24"/>
              </w:rPr>
              <w:t xml:space="preserve"> </w:t>
            </w:r>
            <w:r>
              <w:rPr>
                <w:spacing w:val="-9"/>
                <w:sz w:val="24"/>
                <w:szCs w:val="24"/>
              </w:rPr>
              <w:t>的招标文件进行必要的澄清或修改，并以补充通知、澄清</w:t>
            </w:r>
            <w:r>
              <w:rPr>
                <w:sz w:val="24"/>
                <w:szCs w:val="24"/>
              </w:rPr>
              <w:t xml:space="preserve"> </w:t>
            </w:r>
            <w:r>
              <w:rPr>
                <w:spacing w:val="-7"/>
                <w:sz w:val="24"/>
                <w:szCs w:val="24"/>
              </w:rPr>
              <w:t>或更正公告等形式通知各潜在</w:t>
            </w:r>
            <w:r>
              <w:rPr>
                <w:rFonts w:hint="eastAsia"/>
                <w:spacing w:val="-7"/>
                <w:sz w:val="24"/>
                <w:szCs w:val="24"/>
                <w:lang w:eastAsia="zh-CN"/>
              </w:rPr>
              <w:t>供应商</w:t>
            </w:r>
            <w:r>
              <w:rPr>
                <w:spacing w:val="-7"/>
                <w:sz w:val="24"/>
                <w:szCs w:val="24"/>
              </w:rPr>
              <w:t>， 请各潜在</w:t>
            </w:r>
            <w:r>
              <w:rPr>
                <w:rFonts w:hint="eastAsia"/>
                <w:spacing w:val="-7"/>
                <w:sz w:val="24"/>
                <w:szCs w:val="24"/>
                <w:lang w:eastAsia="zh-CN"/>
              </w:rPr>
              <w:t>供应商</w:t>
            </w:r>
            <w:r>
              <w:rPr>
                <w:spacing w:val="-7"/>
                <w:sz w:val="24"/>
                <w:szCs w:val="24"/>
              </w:rPr>
              <w:t>在</w:t>
            </w:r>
            <w:r>
              <w:rPr>
                <w:spacing w:val="14"/>
                <w:sz w:val="24"/>
                <w:szCs w:val="24"/>
              </w:rPr>
              <w:t xml:space="preserve"> </w:t>
            </w:r>
            <w:r>
              <w:rPr>
                <w:spacing w:val="8"/>
                <w:sz w:val="24"/>
                <w:szCs w:val="24"/>
              </w:rPr>
              <w:t>投标文件递交截止时间前登陆《林州市公共资源交易中心网站等公告发布媒体时刻</w:t>
            </w:r>
            <w:r>
              <w:rPr>
                <w:spacing w:val="4"/>
                <w:sz w:val="24"/>
                <w:szCs w:val="24"/>
              </w:rPr>
              <w:t xml:space="preserve"> </w:t>
            </w:r>
            <w:r>
              <w:rPr>
                <w:spacing w:val="-2"/>
                <w:sz w:val="24"/>
                <w:szCs w:val="24"/>
              </w:rPr>
              <w:t>关注项目信息。若澄清或者修改的内容可能影响投标文件</w:t>
            </w:r>
            <w:r>
              <w:rPr>
                <w:spacing w:val="2"/>
                <w:sz w:val="24"/>
                <w:szCs w:val="24"/>
              </w:rPr>
              <w:t xml:space="preserve"> </w:t>
            </w:r>
            <w:r>
              <w:rPr>
                <w:spacing w:val="-1"/>
                <w:sz w:val="24"/>
                <w:szCs w:val="24"/>
              </w:rPr>
              <w:t>编制，且距离投标文件递交截止时间不足</w:t>
            </w:r>
            <w:r>
              <w:rPr>
                <w:spacing w:val="-23"/>
                <w:sz w:val="24"/>
                <w:szCs w:val="24"/>
              </w:rPr>
              <w:t xml:space="preserve"> </w:t>
            </w:r>
            <w:r>
              <w:rPr>
                <w:spacing w:val="-1"/>
                <w:sz w:val="24"/>
                <w:szCs w:val="24"/>
              </w:rPr>
              <w:t>15 日的，应当顺延投标文件递交截止时间</w:t>
            </w:r>
            <w:r>
              <w:rPr>
                <w:rFonts w:hint="eastAsia"/>
                <w:spacing w:val="-1"/>
                <w:sz w:val="24"/>
                <w:szCs w:val="24"/>
                <w:lang w:eastAsia="zh-CN"/>
              </w:rPr>
              <w:t>。</w:t>
            </w:r>
          </w:p>
        </w:tc>
      </w:tr>
      <w:tr w14:paraId="74F5A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1559" w:hRule="atLeast"/>
        </w:trPr>
        <w:tc>
          <w:tcPr>
            <w:tcW w:w="821" w:type="dxa"/>
            <w:vAlign w:val="top"/>
          </w:tcPr>
          <w:p w14:paraId="59822CCA">
            <w:pPr>
              <w:spacing w:line="342" w:lineRule="auto"/>
              <w:rPr>
                <w:rFonts w:ascii="Arial"/>
                <w:sz w:val="21"/>
              </w:rPr>
            </w:pPr>
          </w:p>
          <w:p w14:paraId="7DD9B5E8">
            <w:pPr>
              <w:spacing w:line="343" w:lineRule="auto"/>
              <w:rPr>
                <w:rFonts w:ascii="Arial"/>
                <w:sz w:val="21"/>
              </w:rPr>
            </w:pPr>
          </w:p>
          <w:p w14:paraId="6847DDB4">
            <w:pPr>
              <w:pStyle w:val="25"/>
              <w:spacing w:before="78" w:line="182" w:lineRule="auto"/>
              <w:ind w:left="310" w:leftChars="0"/>
              <w:rPr>
                <w:rFonts w:hint="eastAsia" w:ascii="新宋体" w:hAnsi="新宋体" w:eastAsia="新宋体" w:cs="新宋体"/>
                <w:kern w:val="0"/>
                <w:szCs w:val="21"/>
              </w:rPr>
            </w:pPr>
            <w:r>
              <w:rPr>
                <w:spacing w:val="-7"/>
                <w:sz w:val="24"/>
                <w:szCs w:val="24"/>
              </w:rPr>
              <w:t>13</w:t>
            </w:r>
          </w:p>
        </w:tc>
        <w:tc>
          <w:tcPr>
            <w:tcW w:w="1991" w:type="dxa"/>
            <w:gridSpan w:val="2"/>
            <w:vAlign w:val="top"/>
          </w:tcPr>
          <w:p w14:paraId="232D903C">
            <w:pPr>
              <w:spacing w:line="323" w:lineRule="auto"/>
              <w:rPr>
                <w:rFonts w:ascii="Arial"/>
                <w:sz w:val="21"/>
              </w:rPr>
            </w:pPr>
          </w:p>
          <w:p w14:paraId="449F8E0E">
            <w:pPr>
              <w:spacing w:line="323" w:lineRule="auto"/>
              <w:rPr>
                <w:rFonts w:ascii="Arial"/>
                <w:sz w:val="21"/>
              </w:rPr>
            </w:pPr>
          </w:p>
          <w:p w14:paraId="4AF4E4AB">
            <w:pPr>
              <w:pStyle w:val="25"/>
              <w:spacing w:before="78" w:line="220" w:lineRule="auto"/>
              <w:ind w:left="424" w:leftChars="0"/>
              <w:rPr>
                <w:rFonts w:hint="eastAsia" w:ascii="新宋体" w:hAnsi="新宋体" w:eastAsia="新宋体" w:cs="新宋体"/>
                <w:kern w:val="0"/>
                <w:szCs w:val="21"/>
              </w:rPr>
            </w:pPr>
            <w:r>
              <w:rPr>
                <w:spacing w:val="-2"/>
                <w:sz w:val="24"/>
                <w:szCs w:val="24"/>
              </w:rPr>
              <w:t>投标预备会</w:t>
            </w:r>
          </w:p>
        </w:tc>
        <w:tc>
          <w:tcPr>
            <w:tcW w:w="6221" w:type="dxa"/>
            <w:vAlign w:val="top"/>
          </w:tcPr>
          <w:p w14:paraId="0F746931">
            <w:pPr>
              <w:pStyle w:val="25"/>
              <w:spacing w:before="208" w:line="222" w:lineRule="auto"/>
              <w:ind w:left="135"/>
              <w:rPr>
                <w:sz w:val="24"/>
                <w:szCs w:val="24"/>
              </w:rPr>
            </w:pPr>
            <w:r>
              <w:rPr>
                <w:spacing w:val="-30"/>
                <w:sz w:val="24"/>
                <w:szCs w:val="24"/>
              </w:rPr>
              <w:t>□召开，时间：</w:t>
            </w:r>
            <w:r>
              <w:rPr>
                <w:spacing w:val="55"/>
                <w:sz w:val="24"/>
                <w:szCs w:val="24"/>
              </w:rPr>
              <w:t xml:space="preserve"> </w:t>
            </w:r>
            <w:r>
              <w:rPr>
                <w:sz w:val="24"/>
                <w:szCs w:val="24"/>
                <w:u w:val="single" w:color="auto"/>
              </w:rPr>
              <w:t xml:space="preserve">       </w:t>
            </w:r>
          </w:p>
          <w:p w14:paraId="27BDD050">
            <w:pPr>
              <w:pStyle w:val="25"/>
              <w:spacing w:before="231" w:line="225" w:lineRule="auto"/>
              <w:ind w:left="1071"/>
              <w:rPr>
                <w:sz w:val="24"/>
                <w:szCs w:val="24"/>
              </w:rPr>
            </w:pPr>
            <w:r>
              <w:rPr>
                <w:spacing w:val="-39"/>
                <w:w w:val="99"/>
                <w:sz w:val="24"/>
                <w:szCs w:val="24"/>
              </w:rPr>
              <w:t>地点：</w:t>
            </w:r>
            <w:r>
              <w:rPr>
                <w:spacing w:val="-7"/>
                <w:sz w:val="24"/>
                <w:szCs w:val="24"/>
              </w:rPr>
              <w:t xml:space="preserve"> </w:t>
            </w:r>
            <w:r>
              <w:rPr>
                <w:sz w:val="24"/>
                <w:szCs w:val="24"/>
                <w:u w:val="single" w:color="auto"/>
              </w:rPr>
              <w:t xml:space="preserve">       </w:t>
            </w:r>
          </w:p>
          <w:p w14:paraId="4F69AF31">
            <w:pPr>
              <w:pStyle w:val="25"/>
              <w:spacing w:before="225" w:line="218" w:lineRule="auto"/>
              <w:ind w:left="135" w:leftChars="0"/>
              <w:rPr>
                <w:rFonts w:hint="eastAsia" w:ascii="新宋体" w:hAnsi="新宋体" w:eastAsia="新宋体" w:cs="新宋体"/>
                <w:kern w:val="0"/>
                <w:szCs w:val="21"/>
              </w:rPr>
            </w:pPr>
            <w:r>
              <w:rPr>
                <w:position w:val="-3"/>
                <w:sz w:val="24"/>
                <w:szCs w:val="24"/>
              </w:rPr>
              <w:drawing>
                <wp:inline distT="0" distB="0" distL="0" distR="0">
                  <wp:extent cx="130810" cy="152400"/>
                  <wp:effectExtent l="0" t="0" r="2540" b="0"/>
                  <wp:docPr id="3" name="IM 6"/>
                  <wp:cNvGraphicFramePr/>
                  <a:graphic xmlns:a="http://schemas.openxmlformats.org/drawingml/2006/main">
                    <a:graphicData uri="http://schemas.openxmlformats.org/drawingml/2006/picture">
                      <pic:pic xmlns:pic="http://schemas.openxmlformats.org/drawingml/2006/picture">
                        <pic:nvPicPr>
                          <pic:cNvPr id="3" name="IM 6"/>
                          <pic:cNvPicPr/>
                        </pic:nvPicPr>
                        <pic:blipFill>
                          <a:blip r:embed="rId40"/>
                          <a:stretch>
                            <a:fillRect/>
                          </a:stretch>
                        </pic:blipFill>
                        <pic:spPr>
                          <a:xfrm>
                            <a:off x="0" y="0"/>
                            <a:ext cx="130911" cy="153009"/>
                          </a:xfrm>
                          <a:prstGeom prst="rect">
                            <a:avLst/>
                          </a:prstGeom>
                        </pic:spPr>
                      </pic:pic>
                    </a:graphicData>
                  </a:graphic>
                </wp:inline>
              </w:drawing>
            </w:r>
            <w:r>
              <w:rPr>
                <w:spacing w:val="-1"/>
                <w:sz w:val="24"/>
                <w:szCs w:val="24"/>
              </w:rPr>
              <w:t>不召开</w:t>
            </w:r>
          </w:p>
        </w:tc>
      </w:tr>
      <w:tr w14:paraId="08C05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583" w:hRule="atLeast"/>
        </w:trPr>
        <w:tc>
          <w:tcPr>
            <w:tcW w:w="821" w:type="dxa"/>
            <w:vAlign w:val="top"/>
          </w:tcPr>
          <w:p w14:paraId="18AD0E1F">
            <w:pPr>
              <w:pStyle w:val="25"/>
              <w:spacing w:before="249" w:line="182" w:lineRule="auto"/>
              <w:ind w:left="310" w:leftChars="0"/>
              <w:rPr>
                <w:sz w:val="24"/>
                <w:szCs w:val="24"/>
              </w:rPr>
            </w:pPr>
            <w:r>
              <w:rPr>
                <w:spacing w:val="-7"/>
                <w:sz w:val="24"/>
                <w:szCs w:val="24"/>
              </w:rPr>
              <w:t>14</w:t>
            </w:r>
          </w:p>
        </w:tc>
        <w:tc>
          <w:tcPr>
            <w:tcW w:w="1991" w:type="dxa"/>
            <w:gridSpan w:val="2"/>
            <w:vAlign w:val="top"/>
          </w:tcPr>
          <w:p w14:paraId="2777A80C">
            <w:pPr>
              <w:pStyle w:val="25"/>
              <w:spacing w:before="209" w:line="221" w:lineRule="auto"/>
              <w:ind w:left="424" w:leftChars="0"/>
              <w:rPr>
                <w:sz w:val="24"/>
                <w:szCs w:val="24"/>
              </w:rPr>
            </w:pPr>
            <w:r>
              <w:rPr>
                <w:spacing w:val="-2"/>
                <w:sz w:val="24"/>
                <w:szCs w:val="24"/>
              </w:rPr>
              <w:t>投标有效期</w:t>
            </w:r>
          </w:p>
        </w:tc>
        <w:tc>
          <w:tcPr>
            <w:tcW w:w="6221" w:type="dxa"/>
            <w:vAlign w:val="top"/>
          </w:tcPr>
          <w:p w14:paraId="0E98316B">
            <w:pPr>
              <w:pStyle w:val="25"/>
              <w:spacing w:before="209" w:line="221" w:lineRule="auto"/>
              <w:ind w:left="113" w:leftChars="0"/>
              <w:rPr>
                <w:sz w:val="24"/>
                <w:szCs w:val="24"/>
              </w:rPr>
            </w:pPr>
            <w:r>
              <w:rPr>
                <w:spacing w:val="-6"/>
                <w:sz w:val="24"/>
                <w:szCs w:val="24"/>
              </w:rPr>
              <w:t>60 日历天（自开标之日起）</w:t>
            </w:r>
          </w:p>
        </w:tc>
      </w:tr>
      <w:tr w14:paraId="36C8F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520" w:hRule="atLeast"/>
        </w:trPr>
        <w:tc>
          <w:tcPr>
            <w:tcW w:w="821" w:type="dxa"/>
            <w:vAlign w:val="center"/>
          </w:tcPr>
          <w:p w14:paraId="5E296F17">
            <w:pPr>
              <w:autoSpaceDE w:val="0"/>
              <w:autoSpaceDN w:val="0"/>
              <w:adjustRightInd w:val="0"/>
              <w:spacing w:after="0" w:line="400" w:lineRule="exact"/>
              <w:jc w:val="center"/>
              <w:rPr>
                <w:sz w:val="24"/>
                <w:szCs w:val="24"/>
              </w:rPr>
            </w:pPr>
            <w:r>
              <w:rPr>
                <w:rFonts w:hint="eastAsia" w:ascii="新宋体" w:hAnsi="新宋体" w:eastAsia="新宋体" w:cs="新宋体"/>
                <w:kern w:val="0"/>
                <w:szCs w:val="21"/>
              </w:rPr>
              <w:t>13</w:t>
            </w:r>
          </w:p>
        </w:tc>
        <w:tc>
          <w:tcPr>
            <w:tcW w:w="1991" w:type="dxa"/>
            <w:gridSpan w:val="2"/>
            <w:vAlign w:val="center"/>
          </w:tcPr>
          <w:p w14:paraId="07AC3361">
            <w:pPr>
              <w:autoSpaceDE w:val="0"/>
              <w:autoSpaceDN w:val="0"/>
              <w:adjustRightInd w:val="0"/>
              <w:spacing w:after="0" w:line="400" w:lineRule="exact"/>
              <w:jc w:val="center"/>
              <w:rPr>
                <w:rFonts w:ascii="宋体" w:hAnsi="宋体" w:eastAsia="宋体" w:cs="宋体"/>
                <w:snapToGrid w:val="0"/>
                <w:color w:val="000000"/>
                <w:spacing w:val="-6"/>
                <w:kern w:val="0"/>
                <w:sz w:val="24"/>
                <w:szCs w:val="24"/>
                <w:lang w:val="en-US" w:eastAsia="en-US" w:bidi="ar-SA"/>
              </w:rPr>
            </w:pPr>
            <w:r>
              <w:rPr>
                <w:rFonts w:hint="eastAsia" w:ascii="宋体" w:hAnsi="宋体" w:eastAsia="宋体" w:cs="宋体"/>
                <w:snapToGrid w:val="0"/>
                <w:color w:val="000000"/>
                <w:spacing w:val="-6"/>
                <w:kern w:val="0"/>
                <w:sz w:val="24"/>
                <w:szCs w:val="24"/>
                <w:lang w:val="en-US" w:eastAsia="en-US" w:bidi="ar-SA"/>
              </w:rPr>
              <w:t>签字或盖章要求</w:t>
            </w:r>
          </w:p>
        </w:tc>
        <w:tc>
          <w:tcPr>
            <w:tcW w:w="6221" w:type="dxa"/>
            <w:vAlign w:val="top"/>
          </w:tcPr>
          <w:p w14:paraId="7B75A112">
            <w:pPr>
              <w:autoSpaceDE w:val="0"/>
              <w:autoSpaceDN w:val="0"/>
              <w:adjustRightInd w:val="0"/>
              <w:spacing w:after="0" w:line="400" w:lineRule="exact"/>
              <w:rPr>
                <w:rFonts w:ascii="宋体" w:hAnsi="宋体" w:eastAsia="宋体" w:cs="宋体"/>
                <w:snapToGrid w:val="0"/>
                <w:color w:val="000000"/>
                <w:spacing w:val="-6"/>
                <w:kern w:val="0"/>
                <w:sz w:val="24"/>
                <w:szCs w:val="24"/>
                <w:lang w:val="en-US" w:eastAsia="en-US" w:bidi="ar-SA"/>
              </w:rPr>
            </w:pPr>
            <w:r>
              <w:rPr>
                <w:rFonts w:hint="eastAsia" w:ascii="宋体" w:hAnsi="宋体" w:eastAsia="宋体" w:cs="宋体"/>
                <w:snapToGrid w:val="0"/>
                <w:color w:val="000000"/>
                <w:spacing w:val="-6"/>
                <w:kern w:val="0"/>
                <w:sz w:val="24"/>
                <w:szCs w:val="24"/>
                <w:lang w:val="en-US" w:eastAsia="en-US" w:bidi="ar-SA"/>
              </w:rPr>
              <w:t>法定代表人或其委托代理人签字或盖章并加盖投标单位有效公章。</w:t>
            </w:r>
          </w:p>
        </w:tc>
      </w:tr>
      <w:tr w14:paraId="36E83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706" w:hRule="atLeast"/>
        </w:trPr>
        <w:tc>
          <w:tcPr>
            <w:tcW w:w="821" w:type="dxa"/>
            <w:vAlign w:val="top"/>
          </w:tcPr>
          <w:p w14:paraId="1C47D476">
            <w:pPr>
              <w:spacing w:line="262" w:lineRule="auto"/>
              <w:rPr>
                <w:rFonts w:ascii="Arial"/>
                <w:sz w:val="21"/>
              </w:rPr>
            </w:pPr>
          </w:p>
          <w:p w14:paraId="7D4330CD">
            <w:pPr>
              <w:pStyle w:val="25"/>
              <w:spacing w:before="78" w:line="182" w:lineRule="auto"/>
              <w:ind w:left="310" w:leftChars="0"/>
              <w:rPr>
                <w:rFonts w:hint="eastAsia" w:eastAsia="宋体"/>
                <w:sz w:val="24"/>
                <w:szCs w:val="24"/>
                <w:lang w:val="en-US" w:eastAsia="zh-CN"/>
              </w:rPr>
            </w:pPr>
            <w:r>
              <w:rPr>
                <w:spacing w:val="-7"/>
                <w:sz w:val="24"/>
                <w:szCs w:val="24"/>
              </w:rPr>
              <w:t>15</w:t>
            </w:r>
          </w:p>
        </w:tc>
        <w:tc>
          <w:tcPr>
            <w:tcW w:w="1991" w:type="dxa"/>
            <w:gridSpan w:val="2"/>
            <w:vAlign w:val="top"/>
          </w:tcPr>
          <w:p w14:paraId="30712946">
            <w:pPr>
              <w:pStyle w:val="25"/>
              <w:spacing w:before="303" w:line="221" w:lineRule="auto"/>
              <w:ind w:left="424" w:leftChars="0"/>
              <w:rPr>
                <w:sz w:val="24"/>
                <w:szCs w:val="24"/>
              </w:rPr>
            </w:pPr>
            <w:r>
              <w:rPr>
                <w:spacing w:val="-2"/>
                <w:sz w:val="24"/>
                <w:szCs w:val="24"/>
              </w:rPr>
              <w:t>投标保证金</w:t>
            </w:r>
          </w:p>
        </w:tc>
        <w:tc>
          <w:tcPr>
            <w:tcW w:w="6221" w:type="dxa"/>
            <w:vAlign w:val="top"/>
          </w:tcPr>
          <w:p w14:paraId="357D31A2">
            <w:pPr>
              <w:pStyle w:val="25"/>
              <w:spacing w:before="303" w:line="221" w:lineRule="auto"/>
              <w:ind w:left="113" w:leftChars="0"/>
              <w:rPr>
                <w:sz w:val="24"/>
                <w:szCs w:val="24"/>
              </w:rPr>
            </w:pPr>
            <w:r>
              <w:rPr>
                <w:sz w:val="24"/>
                <w:szCs w:val="24"/>
              </w:rPr>
              <w:t>无</w:t>
            </w:r>
          </w:p>
        </w:tc>
      </w:tr>
      <w:tr w14:paraId="2833B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2598" w:hRule="atLeast"/>
        </w:trPr>
        <w:tc>
          <w:tcPr>
            <w:tcW w:w="821" w:type="dxa"/>
            <w:vAlign w:val="top"/>
          </w:tcPr>
          <w:p w14:paraId="1F2FC382">
            <w:pPr>
              <w:rPr>
                <w:rFonts w:ascii="Arial"/>
                <w:sz w:val="21"/>
              </w:rPr>
            </w:pPr>
          </w:p>
          <w:p w14:paraId="1CB0730F">
            <w:pPr>
              <w:spacing w:line="241" w:lineRule="auto"/>
              <w:rPr>
                <w:rFonts w:ascii="Arial"/>
                <w:sz w:val="21"/>
              </w:rPr>
            </w:pPr>
          </w:p>
          <w:p w14:paraId="313073A7">
            <w:pPr>
              <w:spacing w:line="241" w:lineRule="auto"/>
              <w:rPr>
                <w:rFonts w:ascii="Arial"/>
                <w:sz w:val="21"/>
              </w:rPr>
            </w:pPr>
          </w:p>
          <w:p w14:paraId="396C026D">
            <w:pPr>
              <w:spacing w:line="241" w:lineRule="auto"/>
              <w:rPr>
                <w:rFonts w:ascii="Arial"/>
                <w:sz w:val="21"/>
              </w:rPr>
            </w:pPr>
          </w:p>
          <w:p w14:paraId="7B96F9EF">
            <w:pPr>
              <w:spacing w:line="241" w:lineRule="auto"/>
              <w:rPr>
                <w:rFonts w:ascii="Arial"/>
                <w:sz w:val="21"/>
              </w:rPr>
            </w:pPr>
          </w:p>
          <w:p w14:paraId="662599A5">
            <w:pPr>
              <w:pStyle w:val="25"/>
              <w:spacing w:before="78" w:line="182" w:lineRule="auto"/>
              <w:ind w:left="310" w:leftChars="0"/>
              <w:rPr>
                <w:rFonts w:hint="eastAsia" w:eastAsia="宋体"/>
                <w:sz w:val="24"/>
                <w:szCs w:val="24"/>
                <w:lang w:val="en-US" w:eastAsia="zh-CN"/>
              </w:rPr>
            </w:pPr>
            <w:r>
              <w:rPr>
                <w:spacing w:val="-7"/>
                <w:sz w:val="24"/>
                <w:szCs w:val="24"/>
              </w:rPr>
              <w:t>16</w:t>
            </w:r>
          </w:p>
        </w:tc>
        <w:tc>
          <w:tcPr>
            <w:tcW w:w="1991" w:type="dxa"/>
            <w:gridSpan w:val="2"/>
            <w:vAlign w:val="top"/>
          </w:tcPr>
          <w:p w14:paraId="2BF8D5C9">
            <w:pPr>
              <w:spacing w:line="291" w:lineRule="auto"/>
              <w:rPr>
                <w:rFonts w:ascii="Arial"/>
                <w:sz w:val="21"/>
              </w:rPr>
            </w:pPr>
          </w:p>
          <w:p w14:paraId="1A407710">
            <w:pPr>
              <w:spacing w:line="291" w:lineRule="auto"/>
              <w:rPr>
                <w:rFonts w:ascii="Arial"/>
                <w:sz w:val="21"/>
              </w:rPr>
            </w:pPr>
          </w:p>
          <w:p w14:paraId="170C2C96">
            <w:pPr>
              <w:spacing w:line="291" w:lineRule="auto"/>
              <w:rPr>
                <w:rFonts w:ascii="Arial"/>
                <w:sz w:val="21"/>
              </w:rPr>
            </w:pPr>
          </w:p>
          <w:p w14:paraId="082464AA">
            <w:pPr>
              <w:spacing w:line="292" w:lineRule="auto"/>
              <w:rPr>
                <w:rFonts w:ascii="Arial"/>
                <w:sz w:val="21"/>
              </w:rPr>
            </w:pPr>
          </w:p>
          <w:p w14:paraId="3B5C09E2">
            <w:pPr>
              <w:pStyle w:val="25"/>
              <w:spacing w:before="78" w:line="220" w:lineRule="auto"/>
              <w:ind w:left="304" w:leftChars="0"/>
              <w:rPr>
                <w:sz w:val="24"/>
                <w:szCs w:val="24"/>
              </w:rPr>
            </w:pPr>
            <w:r>
              <w:rPr>
                <w:spacing w:val="-2"/>
                <w:sz w:val="24"/>
                <w:szCs w:val="24"/>
              </w:rPr>
              <w:t>投标文件份数</w:t>
            </w:r>
          </w:p>
        </w:tc>
        <w:tc>
          <w:tcPr>
            <w:tcW w:w="6221" w:type="dxa"/>
            <w:vAlign w:val="top"/>
          </w:tcPr>
          <w:p w14:paraId="71D7555E">
            <w:pPr>
              <w:pStyle w:val="25"/>
              <w:spacing w:before="211" w:line="220" w:lineRule="auto"/>
              <w:ind w:left="129"/>
              <w:rPr>
                <w:sz w:val="24"/>
                <w:szCs w:val="24"/>
              </w:rPr>
            </w:pPr>
            <w:r>
              <w:rPr>
                <w:spacing w:val="-2"/>
                <w:sz w:val="24"/>
                <w:szCs w:val="24"/>
              </w:rPr>
              <w:t>1.电子投标文件：壹份（按招标文件规定从网上递交）</w:t>
            </w:r>
          </w:p>
          <w:p w14:paraId="1773118D">
            <w:pPr>
              <w:pStyle w:val="25"/>
              <w:spacing w:before="233" w:line="400" w:lineRule="auto"/>
              <w:ind w:left="110" w:right="94" w:firstLine="3"/>
              <w:rPr>
                <w:sz w:val="24"/>
                <w:szCs w:val="24"/>
              </w:rPr>
            </w:pPr>
            <w:r>
              <w:rPr>
                <w:spacing w:val="-2"/>
                <w:sz w:val="24"/>
                <w:szCs w:val="24"/>
              </w:rPr>
              <w:t>2.纸质投标文件：中标人在领取中标通知书前按采购人、</w:t>
            </w:r>
            <w:r>
              <w:rPr>
                <w:spacing w:val="3"/>
                <w:sz w:val="24"/>
                <w:szCs w:val="24"/>
              </w:rPr>
              <w:t xml:space="preserve"> </w:t>
            </w:r>
            <w:r>
              <w:rPr>
                <w:spacing w:val="-3"/>
                <w:sz w:val="24"/>
                <w:szCs w:val="24"/>
              </w:rPr>
              <w:t>采购代理机构要求提供纸质投标文件（根据项目需要数量</w:t>
            </w:r>
            <w:r>
              <w:rPr>
                <w:spacing w:val="14"/>
                <w:sz w:val="24"/>
                <w:szCs w:val="24"/>
              </w:rPr>
              <w:t xml:space="preserve"> </w:t>
            </w:r>
            <w:r>
              <w:rPr>
                <w:spacing w:val="-1"/>
                <w:sz w:val="24"/>
                <w:szCs w:val="24"/>
              </w:rPr>
              <w:t>提供）和电子文档（U</w:t>
            </w:r>
            <w:r>
              <w:rPr>
                <w:spacing w:val="-42"/>
                <w:sz w:val="24"/>
                <w:szCs w:val="24"/>
              </w:rPr>
              <w:t xml:space="preserve"> </w:t>
            </w:r>
            <w:r>
              <w:rPr>
                <w:spacing w:val="-1"/>
                <w:sz w:val="24"/>
                <w:szCs w:val="24"/>
              </w:rPr>
              <w:t>盘）【此</w:t>
            </w:r>
            <w:r>
              <w:rPr>
                <w:spacing w:val="-55"/>
                <w:sz w:val="24"/>
                <w:szCs w:val="24"/>
              </w:rPr>
              <w:t xml:space="preserve"> </w:t>
            </w:r>
            <w:r>
              <w:rPr>
                <w:spacing w:val="-1"/>
                <w:sz w:val="24"/>
                <w:szCs w:val="24"/>
              </w:rPr>
              <w:t>U</w:t>
            </w:r>
            <w:r>
              <w:rPr>
                <w:spacing w:val="-50"/>
                <w:sz w:val="24"/>
                <w:szCs w:val="24"/>
              </w:rPr>
              <w:t xml:space="preserve"> </w:t>
            </w:r>
            <w:r>
              <w:rPr>
                <w:spacing w:val="-1"/>
                <w:sz w:val="24"/>
                <w:szCs w:val="24"/>
              </w:rPr>
              <w:t>盘内容包含未加密的正式版电子投标文件及“.doc”类可编辑文档】</w:t>
            </w:r>
          </w:p>
        </w:tc>
      </w:tr>
      <w:tr w14:paraId="451AE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2603" w:hRule="atLeast"/>
        </w:trPr>
        <w:tc>
          <w:tcPr>
            <w:tcW w:w="821" w:type="dxa"/>
            <w:vAlign w:val="top"/>
          </w:tcPr>
          <w:p w14:paraId="55E4D1A9">
            <w:pPr>
              <w:spacing w:line="241" w:lineRule="auto"/>
              <w:rPr>
                <w:rFonts w:ascii="Arial"/>
                <w:sz w:val="21"/>
              </w:rPr>
            </w:pPr>
          </w:p>
          <w:p w14:paraId="5FFD5693">
            <w:pPr>
              <w:spacing w:line="241" w:lineRule="auto"/>
              <w:rPr>
                <w:rFonts w:ascii="Arial"/>
                <w:sz w:val="21"/>
              </w:rPr>
            </w:pPr>
          </w:p>
          <w:p w14:paraId="6EBE1820">
            <w:pPr>
              <w:spacing w:line="241" w:lineRule="auto"/>
              <w:rPr>
                <w:rFonts w:ascii="Arial"/>
                <w:sz w:val="21"/>
              </w:rPr>
            </w:pPr>
          </w:p>
          <w:p w14:paraId="5740BE09">
            <w:pPr>
              <w:spacing w:line="241" w:lineRule="auto"/>
              <w:rPr>
                <w:rFonts w:ascii="Arial"/>
                <w:sz w:val="21"/>
              </w:rPr>
            </w:pPr>
          </w:p>
          <w:p w14:paraId="47B4A332">
            <w:pPr>
              <w:spacing w:line="242" w:lineRule="auto"/>
              <w:rPr>
                <w:rFonts w:ascii="Arial"/>
                <w:sz w:val="21"/>
              </w:rPr>
            </w:pPr>
          </w:p>
          <w:p w14:paraId="3CFCCC5C">
            <w:pPr>
              <w:pStyle w:val="25"/>
              <w:spacing w:before="78" w:line="182" w:lineRule="auto"/>
              <w:ind w:left="310" w:leftChars="0"/>
              <w:rPr>
                <w:rFonts w:hint="eastAsia" w:eastAsia="宋体"/>
                <w:sz w:val="24"/>
                <w:szCs w:val="24"/>
                <w:lang w:val="en-US" w:eastAsia="zh-CN"/>
              </w:rPr>
            </w:pPr>
            <w:r>
              <w:rPr>
                <w:spacing w:val="-7"/>
                <w:sz w:val="24"/>
                <w:szCs w:val="24"/>
              </w:rPr>
              <w:t>17</w:t>
            </w:r>
          </w:p>
        </w:tc>
        <w:tc>
          <w:tcPr>
            <w:tcW w:w="1991" w:type="dxa"/>
            <w:gridSpan w:val="2"/>
            <w:vAlign w:val="top"/>
          </w:tcPr>
          <w:p w14:paraId="4BD91F78">
            <w:pPr>
              <w:spacing w:line="303" w:lineRule="auto"/>
              <w:rPr>
                <w:rFonts w:ascii="Arial"/>
                <w:sz w:val="21"/>
              </w:rPr>
            </w:pPr>
          </w:p>
          <w:p w14:paraId="006F66CF">
            <w:pPr>
              <w:spacing w:line="303" w:lineRule="auto"/>
              <w:rPr>
                <w:rFonts w:ascii="Arial"/>
                <w:sz w:val="21"/>
              </w:rPr>
            </w:pPr>
          </w:p>
          <w:p w14:paraId="5B363457">
            <w:pPr>
              <w:spacing w:line="303" w:lineRule="auto"/>
              <w:rPr>
                <w:rFonts w:ascii="Arial"/>
                <w:sz w:val="21"/>
              </w:rPr>
            </w:pPr>
          </w:p>
          <w:p w14:paraId="484A2B8C">
            <w:pPr>
              <w:pStyle w:val="25"/>
              <w:spacing w:before="78" w:line="520" w:lineRule="exact"/>
              <w:ind w:left="304"/>
              <w:rPr>
                <w:sz w:val="24"/>
                <w:szCs w:val="24"/>
              </w:rPr>
            </w:pPr>
            <w:r>
              <w:rPr>
                <w:spacing w:val="-2"/>
                <w:position w:val="21"/>
                <w:sz w:val="24"/>
                <w:szCs w:val="24"/>
              </w:rPr>
              <w:t>投标文件的递</w:t>
            </w:r>
          </w:p>
          <w:p w14:paraId="51C3178D">
            <w:pPr>
              <w:pStyle w:val="25"/>
              <w:spacing w:line="220" w:lineRule="auto"/>
              <w:ind w:left="306" w:leftChars="0"/>
              <w:rPr>
                <w:sz w:val="24"/>
                <w:szCs w:val="24"/>
              </w:rPr>
            </w:pPr>
            <w:r>
              <w:rPr>
                <w:spacing w:val="-2"/>
                <w:sz w:val="24"/>
                <w:szCs w:val="24"/>
              </w:rPr>
              <w:t>交和开标信息</w:t>
            </w:r>
          </w:p>
        </w:tc>
        <w:tc>
          <w:tcPr>
            <w:tcW w:w="6221" w:type="dxa"/>
            <w:vAlign w:val="top"/>
          </w:tcPr>
          <w:p w14:paraId="6D9F4D93">
            <w:pPr>
              <w:pStyle w:val="25"/>
              <w:spacing w:before="212" w:line="520" w:lineRule="exact"/>
              <w:ind w:left="129"/>
              <w:rPr>
                <w:color w:val="auto"/>
                <w:sz w:val="24"/>
                <w:szCs w:val="24"/>
                <w:highlight w:val="none"/>
              </w:rPr>
            </w:pPr>
            <w:r>
              <w:rPr>
                <w:spacing w:val="-7"/>
                <w:position w:val="21"/>
                <w:sz w:val="24"/>
                <w:szCs w:val="24"/>
              </w:rPr>
              <w:t>1.投标文件递交</w:t>
            </w:r>
            <w:r>
              <w:rPr>
                <w:color w:val="auto"/>
                <w:spacing w:val="-7"/>
                <w:position w:val="21"/>
                <w:sz w:val="24"/>
                <w:szCs w:val="24"/>
              </w:rPr>
              <w:t>截止时间及开标时间：</w:t>
            </w:r>
            <w:r>
              <w:rPr>
                <w:color w:val="auto"/>
                <w:spacing w:val="-7"/>
                <w:position w:val="21"/>
                <w:sz w:val="24"/>
                <w:szCs w:val="24"/>
                <w:highlight w:val="none"/>
              </w:rPr>
              <w:t>20</w:t>
            </w:r>
            <w:r>
              <w:rPr>
                <w:color w:val="auto"/>
                <w:spacing w:val="-8"/>
                <w:position w:val="21"/>
                <w:sz w:val="24"/>
                <w:szCs w:val="24"/>
                <w:highlight w:val="none"/>
              </w:rPr>
              <w:t>2</w:t>
            </w:r>
            <w:r>
              <w:rPr>
                <w:rFonts w:hint="eastAsia"/>
                <w:color w:val="auto"/>
                <w:spacing w:val="-8"/>
                <w:position w:val="21"/>
                <w:sz w:val="24"/>
                <w:szCs w:val="24"/>
                <w:highlight w:val="none"/>
                <w:lang w:val="en-US" w:eastAsia="zh-CN"/>
              </w:rPr>
              <w:t>5</w:t>
            </w:r>
            <w:r>
              <w:rPr>
                <w:color w:val="auto"/>
                <w:spacing w:val="-8"/>
                <w:position w:val="21"/>
                <w:sz w:val="24"/>
                <w:szCs w:val="24"/>
                <w:highlight w:val="none"/>
              </w:rPr>
              <w:t>年</w:t>
            </w:r>
            <w:r>
              <w:rPr>
                <w:rFonts w:hint="eastAsia"/>
                <w:color w:val="auto"/>
                <w:spacing w:val="-8"/>
                <w:position w:val="21"/>
                <w:sz w:val="24"/>
                <w:szCs w:val="24"/>
                <w:highlight w:val="none"/>
                <w:lang w:val="en-US" w:eastAsia="zh-CN"/>
              </w:rPr>
              <w:t>2</w:t>
            </w:r>
            <w:r>
              <w:rPr>
                <w:color w:val="auto"/>
                <w:spacing w:val="-8"/>
                <w:position w:val="21"/>
                <w:sz w:val="24"/>
                <w:szCs w:val="24"/>
                <w:highlight w:val="none"/>
              </w:rPr>
              <w:t>月</w:t>
            </w:r>
            <w:r>
              <w:rPr>
                <w:color w:val="auto"/>
                <w:spacing w:val="-33"/>
                <w:position w:val="21"/>
                <w:sz w:val="24"/>
                <w:szCs w:val="24"/>
                <w:highlight w:val="none"/>
              </w:rPr>
              <w:t xml:space="preserve"> </w:t>
            </w:r>
            <w:r>
              <w:rPr>
                <w:rFonts w:hint="eastAsia"/>
                <w:color w:val="auto"/>
                <w:spacing w:val="-8"/>
                <w:position w:val="21"/>
                <w:sz w:val="24"/>
                <w:szCs w:val="24"/>
                <w:highlight w:val="none"/>
                <w:lang w:val="en-US" w:eastAsia="zh-CN"/>
              </w:rPr>
              <w:t>27</w:t>
            </w:r>
            <w:r>
              <w:rPr>
                <w:rFonts w:hint="default"/>
                <w:color w:val="auto"/>
                <w:spacing w:val="-8"/>
                <w:position w:val="21"/>
                <w:sz w:val="24"/>
                <w:szCs w:val="24"/>
                <w:highlight w:val="none"/>
                <w:lang w:val="en-US"/>
              </w:rPr>
              <w:t xml:space="preserve"> </w:t>
            </w:r>
            <w:r>
              <w:rPr>
                <w:color w:val="auto"/>
                <w:spacing w:val="-8"/>
                <w:position w:val="21"/>
                <w:sz w:val="24"/>
                <w:szCs w:val="24"/>
                <w:highlight w:val="none"/>
              </w:rPr>
              <w:t>日</w:t>
            </w:r>
          </w:p>
          <w:p w14:paraId="12681EB6">
            <w:pPr>
              <w:pStyle w:val="25"/>
              <w:spacing w:line="220" w:lineRule="auto"/>
              <w:ind w:left="113"/>
              <w:rPr>
                <w:color w:val="auto"/>
                <w:sz w:val="24"/>
                <w:szCs w:val="24"/>
              </w:rPr>
            </w:pPr>
            <w:r>
              <w:rPr>
                <w:color w:val="auto"/>
                <w:spacing w:val="-6"/>
                <w:sz w:val="24"/>
                <w:szCs w:val="24"/>
                <w:highlight w:val="none"/>
              </w:rPr>
              <w:t>上午</w:t>
            </w:r>
            <w:r>
              <w:rPr>
                <w:color w:val="auto"/>
                <w:spacing w:val="-50"/>
                <w:sz w:val="24"/>
                <w:szCs w:val="24"/>
                <w:highlight w:val="none"/>
              </w:rPr>
              <w:t xml:space="preserve"> </w:t>
            </w:r>
            <w:r>
              <w:rPr>
                <w:color w:val="auto"/>
                <w:spacing w:val="-6"/>
                <w:sz w:val="24"/>
                <w:szCs w:val="24"/>
                <w:highlight w:val="none"/>
              </w:rPr>
              <w:t>9</w:t>
            </w:r>
            <w:r>
              <w:rPr>
                <w:color w:val="auto"/>
                <w:spacing w:val="-40"/>
                <w:sz w:val="24"/>
                <w:szCs w:val="24"/>
                <w:highlight w:val="none"/>
              </w:rPr>
              <w:t xml:space="preserve"> </w:t>
            </w:r>
            <w:r>
              <w:rPr>
                <w:color w:val="auto"/>
                <w:spacing w:val="-6"/>
                <w:sz w:val="24"/>
                <w:szCs w:val="24"/>
                <w:highlight w:val="none"/>
              </w:rPr>
              <w:t>时</w:t>
            </w:r>
            <w:r>
              <w:rPr>
                <w:color w:val="auto"/>
                <w:spacing w:val="-49"/>
                <w:sz w:val="24"/>
                <w:szCs w:val="24"/>
                <w:highlight w:val="none"/>
              </w:rPr>
              <w:t xml:space="preserve"> </w:t>
            </w:r>
            <w:r>
              <w:rPr>
                <w:color w:val="auto"/>
                <w:spacing w:val="-6"/>
                <w:sz w:val="24"/>
                <w:szCs w:val="24"/>
                <w:highlight w:val="none"/>
              </w:rPr>
              <w:t>00</w:t>
            </w:r>
            <w:r>
              <w:rPr>
                <w:color w:val="auto"/>
                <w:spacing w:val="-48"/>
                <w:sz w:val="24"/>
                <w:szCs w:val="24"/>
                <w:highlight w:val="none"/>
              </w:rPr>
              <w:t xml:space="preserve"> </w:t>
            </w:r>
            <w:r>
              <w:rPr>
                <w:color w:val="auto"/>
                <w:spacing w:val="-6"/>
                <w:sz w:val="24"/>
                <w:szCs w:val="24"/>
                <w:highlight w:val="none"/>
              </w:rPr>
              <w:t>分</w:t>
            </w:r>
            <w:r>
              <w:rPr>
                <w:color w:val="auto"/>
                <w:spacing w:val="-6"/>
                <w:sz w:val="24"/>
                <w:szCs w:val="24"/>
              </w:rPr>
              <w:t>（北京时间）</w:t>
            </w:r>
          </w:p>
          <w:p w14:paraId="27D214B5">
            <w:pPr>
              <w:pStyle w:val="3"/>
              <w:spacing w:before="78" w:line="385" w:lineRule="auto"/>
              <w:ind w:left="8" w:leftChars="0" w:right="48" w:firstLine="458" w:firstLineChars="203"/>
              <w:jc w:val="both"/>
              <w:rPr>
                <w:spacing w:val="-5"/>
                <w:sz w:val="24"/>
                <w:szCs w:val="24"/>
              </w:rPr>
            </w:pPr>
            <w:r>
              <w:rPr>
                <w:color w:val="auto"/>
                <w:spacing w:val="-7"/>
                <w:sz w:val="24"/>
                <w:szCs w:val="24"/>
              </w:rPr>
              <w:t>2.投标文件递交地点（方式</w:t>
            </w:r>
            <w:r>
              <w:rPr>
                <w:color w:val="auto"/>
                <w:spacing w:val="-16"/>
                <w:sz w:val="24"/>
                <w:szCs w:val="24"/>
              </w:rPr>
              <w:t>）</w:t>
            </w:r>
            <w:r>
              <w:rPr>
                <w:color w:val="auto"/>
                <w:spacing w:val="24"/>
                <w:sz w:val="24"/>
                <w:szCs w:val="24"/>
              </w:rPr>
              <w:t xml:space="preserve"> </w:t>
            </w:r>
            <w:r>
              <w:rPr>
                <w:color w:val="auto"/>
                <w:spacing w:val="-16"/>
                <w:sz w:val="24"/>
                <w:szCs w:val="24"/>
              </w:rPr>
              <w:t>：</w:t>
            </w:r>
            <w:r>
              <w:rPr>
                <w:rFonts w:ascii="Segoe UI" w:hAnsi="Segoe UI" w:eastAsia="Segoe UI" w:cs="Segoe UI"/>
                <w:i w:val="0"/>
                <w:iCs w:val="0"/>
                <w:caps w:val="0"/>
                <w:color w:val="333333"/>
                <w:spacing w:val="0"/>
                <w:sz w:val="24"/>
                <w:szCs w:val="24"/>
                <w:shd w:val="clear" w:fill="FFFFFF"/>
              </w:rPr>
              <w:t>供应商应在响应文件提交截止时间前上传加密的电子投标（响应）文件到安阳市公共资源交易系统（https://ggzy.anyang.gov.cn/ayggzy/）。上传时供应商须使用制作该投标（响应）文件的同一CA锁进行上传操作。请供应商在上传时认真检查上传投标（响应）文件是否完整、正确。供应商应充分考虑上传文件时的不可预见因素，未在响应文件提交截止时间前完成上传的，视为逾期送达，安阳市电子招投标交易平台将拒绝接收。逾期送达的或者未送达指定地点的投标（响应）文件，采购人不予受理；</w:t>
            </w:r>
          </w:p>
          <w:p w14:paraId="231A38C8">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jc w:val="left"/>
              <w:textAlignment w:val="baseline"/>
            </w:pPr>
            <w:r>
              <w:rPr>
                <w:rFonts w:ascii="Segoe UI" w:hAnsi="Segoe UI" w:eastAsia="Segoe UI" w:cs="Segoe UI"/>
                <w:i w:val="0"/>
                <w:iCs w:val="0"/>
                <w:caps w:val="0"/>
                <w:color w:val="333333"/>
                <w:spacing w:val="0"/>
                <w:sz w:val="24"/>
                <w:szCs w:val="24"/>
                <w:shd w:val="clear" w:fill="FFFFFF"/>
              </w:rPr>
              <w:t>3.开标地点（方式） ：</w:t>
            </w:r>
            <w:r>
              <w:rPr>
                <w:rFonts w:hint="eastAsia" w:ascii="Segoe UI" w:hAnsi="Segoe UI" w:eastAsia="Segoe UI" w:cs="Segoe UI"/>
                <w:i w:val="0"/>
                <w:iCs w:val="0"/>
                <w:caps w:val="0"/>
                <w:color w:val="333333"/>
                <w:spacing w:val="0"/>
                <w:sz w:val="24"/>
                <w:szCs w:val="24"/>
                <w:shd w:val="clear" w:fill="FFFFFF"/>
                <w:lang w:val="en-US" w:eastAsia="zh-CN"/>
              </w:rPr>
              <w:t>本项目采用远程不见面交易的模式，开标当日，供应商无需到开标现场参加开标会议，供应商应当在响应文件提交截止时间前，推荐使用IE浏览器登录到安阳市公共资源交易不见面开标大厅</w:t>
            </w:r>
            <w:r>
              <w:rPr>
                <w:rFonts w:hint="eastAsia" w:ascii="宋体" w:hAnsi="宋体" w:eastAsia="宋体" w:cs="宋体"/>
                <w:snapToGrid w:val="0"/>
                <w:color w:val="000000"/>
                <w:kern w:val="0"/>
                <w:sz w:val="24"/>
                <w:szCs w:val="24"/>
                <w:lang w:val="en-US" w:eastAsia="zh-CN" w:bidi="ar"/>
              </w:rPr>
              <w:t>（https://ggzy.anyang.gov.cn/BidOpening/bidhall/default/login.html）</w:t>
            </w:r>
          </w:p>
          <w:p w14:paraId="21A23A5F">
            <w:pPr>
              <w:pStyle w:val="3"/>
              <w:keepNext w:val="0"/>
              <w:keepLines w:val="0"/>
              <w:pageBreakBefore w:val="0"/>
              <w:widowControl/>
              <w:kinsoku w:val="0"/>
              <w:wordWrap/>
              <w:overflowPunct/>
              <w:topLinePunct w:val="0"/>
              <w:autoSpaceDE w:val="0"/>
              <w:autoSpaceDN w:val="0"/>
              <w:bidi w:val="0"/>
              <w:adjustRightInd w:val="0"/>
              <w:snapToGrid w:val="0"/>
              <w:spacing w:before="78" w:line="400" w:lineRule="exact"/>
              <w:ind w:right="48"/>
              <w:jc w:val="both"/>
              <w:textAlignment w:val="baseline"/>
              <w:rPr>
                <w:rFonts w:hint="eastAsia" w:ascii="Segoe UI" w:hAnsi="Segoe UI" w:eastAsia="Segoe UI" w:cs="Segoe UI"/>
                <w:i w:val="0"/>
                <w:iCs w:val="0"/>
                <w:caps w:val="0"/>
                <w:color w:val="333333"/>
                <w:spacing w:val="0"/>
                <w:sz w:val="24"/>
                <w:szCs w:val="24"/>
                <w:shd w:val="clear" w:fill="FFFFFF"/>
                <w:lang w:val="en-US" w:eastAsia="zh-CN"/>
              </w:rPr>
            </w:pPr>
            <w:r>
              <w:rPr>
                <w:rFonts w:hint="eastAsia" w:ascii="Segoe UI" w:hAnsi="Segoe UI" w:eastAsia="Segoe UI" w:cs="Segoe UI"/>
                <w:i w:val="0"/>
                <w:iCs w:val="0"/>
                <w:caps w:val="0"/>
                <w:color w:val="333333"/>
                <w:spacing w:val="0"/>
                <w:sz w:val="24"/>
                <w:szCs w:val="24"/>
                <w:shd w:val="clear" w:fill="FFFFFF"/>
                <w:lang w:val="en-US" w:eastAsia="zh-CN"/>
              </w:rPr>
              <w:t>，点击【登录】按钮进入，在线准时参加开标活动并进行投标（响应）文件解密等。因供应商原因未能解密、解密失败或解密超时的将被拒绝。</w:t>
            </w:r>
          </w:p>
          <w:p w14:paraId="286348A4">
            <w:pPr>
              <w:pStyle w:val="25"/>
              <w:spacing w:line="214" w:lineRule="auto"/>
              <w:ind w:left="130" w:leftChars="0"/>
              <w:rPr>
                <w:sz w:val="24"/>
                <w:szCs w:val="24"/>
              </w:rPr>
            </w:pPr>
          </w:p>
        </w:tc>
      </w:tr>
      <w:tr w14:paraId="03B09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90" w:hRule="atLeast"/>
        </w:trPr>
        <w:tc>
          <w:tcPr>
            <w:tcW w:w="821" w:type="dxa"/>
            <w:vAlign w:val="top"/>
          </w:tcPr>
          <w:p w14:paraId="400BEECA">
            <w:pPr>
              <w:spacing w:line="427" w:lineRule="auto"/>
              <w:rPr>
                <w:rFonts w:ascii="Arial"/>
                <w:sz w:val="21"/>
              </w:rPr>
            </w:pPr>
          </w:p>
          <w:p w14:paraId="7DEF770F">
            <w:pPr>
              <w:pStyle w:val="25"/>
              <w:spacing w:before="78" w:line="182" w:lineRule="auto"/>
              <w:ind w:left="310" w:leftChars="0"/>
              <w:rPr>
                <w:rFonts w:ascii="宋体" w:hAnsi="宋体" w:eastAsia="宋体" w:cs="宋体"/>
                <w:snapToGrid w:val="0"/>
                <w:color w:val="000000"/>
                <w:kern w:val="0"/>
                <w:sz w:val="24"/>
                <w:szCs w:val="24"/>
                <w:lang w:val="en-US" w:eastAsia="en-US" w:bidi="ar-SA"/>
              </w:rPr>
            </w:pPr>
            <w:r>
              <w:rPr>
                <w:spacing w:val="-7"/>
                <w:sz w:val="24"/>
                <w:szCs w:val="24"/>
              </w:rPr>
              <w:t>18</w:t>
            </w:r>
          </w:p>
        </w:tc>
        <w:tc>
          <w:tcPr>
            <w:tcW w:w="1991" w:type="dxa"/>
            <w:gridSpan w:val="2"/>
            <w:vAlign w:val="top"/>
          </w:tcPr>
          <w:p w14:paraId="15F605D0">
            <w:pPr>
              <w:pStyle w:val="25"/>
              <w:spacing w:before="208" w:line="520" w:lineRule="exact"/>
              <w:ind w:left="423"/>
              <w:rPr>
                <w:sz w:val="24"/>
                <w:szCs w:val="24"/>
              </w:rPr>
            </w:pPr>
            <w:r>
              <w:rPr>
                <w:spacing w:val="-2"/>
                <w:position w:val="21"/>
                <w:sz w:val="24"/>
                <w:szCs w:val="24"/>
              </w:rPr>
              <w:t>纸质投标文</w:t>
            </w:r>
          </w:p>
          <w:p w14:paraId="3412F680">
            <w:pPr>
              <w:pStyle w:val="25"/>
              <w:spacing w:line="220" w:lineRule="auto"/>
              <w:ind w:left="420" w:leftChars="0"/>
              <w:rPr>
                <w:rFonts w:ascii="宋体" w:hAnsi="宋体" w:eastAsia="宋体" w:cs="宋体"/>
                <w:snapToGrid w:val="0"/>
                <w:color w:val="000000"/>
                <w:kern w:val="0"/>
                <w:sz w:val="24"/>
                <w:szCs w:val="24"/>
                <w:lang w:val="en-US" w:eastAsia="en-US" w:bidi="ar-SA"/>
              </w:rPr>
            </w:pPr>
            <w:r>
              <w:rPr>
                <w:spacing w:val="-2"/>
                <w:sz w:val="24"/>
                <w:szCs w:val="24"/>
              </w:rPr>
              <w:t>件装订要求</w:t>
            </w:r>
          </w:p>
        </w:tc>
        <w:tc>
          <w:tcPr>
            <w:tcW w:w="6221" w:type="dxa"/>
            <w:vAlign w:val="top"/>
          </w:tcPr>
          <w:p w14:paraId="2CEA1E25">
            <w:pPr>
              <w:pStyle w:val="25"/>
              <w:spacing w:before="208" w:line="520" w:lineRule="exact"/>
              <w:ind w:left="122"/>
              <w:rPr>
                <w:sz w:val="24"/>
                <w:szCs w:val="24"/>
              </w:rPr>
            </w:pPr>
            <w:r>
              <w:rPr>
                <w:spacing w:val="-15"/>
                <w:position w:val="21"/>
                <w:sz w:val="24"/>
                <w:szCs w:val="24"/>
              </w:rPr>
              <w:t>需采用左侧无线胶装方式，将投标文件装订成册</w:t>
            </w:r>
            <w:r>
              <w:rPr>
                <w:spacing w:val="-16"/>
                <w:position w:val="21"/>
                <w:sz w:val="24"/>
                <w:szCs w:val="24"/>
              </w:rPr>
              <w:t>，且装订</w:t>
            </w:r>
          </w:p>
          <w:p w14:paraId="0346EB0F">
            <w:pPr>
              <w:pStyle w:val="25"/>
              <w:spacing w:line="219" w:lineRule="auto"/>
              <w:ind w:left="115" w:leftChars="0"/>
              <w:rPr>
                <w:rFonts w:ascii="宋体" w:hAnsi="宋体" w:eastAsia="宋体" w:cs="宋体"/>
                <w:snapToGrid w:val="0"/>
                <w:color w:val="000000"/>
                <w:kern w:val="0"/>
                <w:sz w:val="24"/>
                <w:szCs w:val="24"/>
                <w:lang w:val="en-US" w:eastAsia="en-US" w:bidi="ar-SA"/>
              </w:rPr>
            </w:pPr>
            <w:r>
              <w:rPr>
                <w:spacing w:val="-1"/>
                <w:sz w:val="24"/>
                <w:szCs w:val="24"/>
              </w:rPr>
              <w:t>牢固不易拆散和换页，不得采用活页方式装订</w:t>
            </w:r>
          </w:p>
        </w:tc>
      </w:tr>
      <w:tr w14:paraId="45D7A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2603" w:hRule="atLeast"/>
        </w:trPr>
        <w:tc>
          <w:tcPr>
            <w:tcW w:w="821" w:type="dxa"/>
            <w:vAlign w:val="top"/>
          </w:tcPr>
          <w:p w14:paraId="0A91DF90">
            <w:pPr>
              <w:spacing w:line="249" w:lineRule="auto"/>
              <w:rPr>
                <w:rFonts w:ascii="Arial"/>
                <w:sz w:val="21"/>
              </w:rPr>
            </w:pPr>
          </w:p>
          <w:p w14:paraId="440BE19C">
            <w:pPr>
              <w:spacing w:line="249" w:lineRule="auto"/>
              <w:rPr>
                <w:rFonts w:ascii="Arial"/>
                <w:sz w:val="21"/>
              </w:rPr>
            </w:pPr>
          </w:p>
          <w:p w14:paraId="1CC3C5FC">
            <w:pPr>
              <w:spacing w:line="249" w:lineRule="auto"/>
              <w:rPr>
                <w:rFonts w:ascii="Arial"/>
                <w:sz w:val="21"/>
              </w:rPr>
            </w:pPr>
          </w:p>
          <w:p w14:paraId="465D50AE">
            <w:pPr>
              <w:spacing w:line="249" w:lineRule="auto"/>
              <w:rPr>
                <w:rFonts w:ascii="Arial"/>
                <w:sz w:val="21"/>
              </w:rPr>
            </w:pPr>
          </w:p>
          <w:p w14:paraId="6FD09EA8">
            <w:pPr>
              <w:spacing w:line="249" w:lineRule="auto"/>
              <w:rPr>
                <w:rFonts w:ascii="Arial"/>
                <w:sz w:val="21"/>
              </w:rPr>
            </w:pPr>
          </w:p>
          <w:p w14:paraId="11333C60">
            <w:pPr>
              <w:spacing w:line="250" w:lineRule="auto"/>
              <w:rPr>
                <w:rFonts w:ascii="Arial"/>
                <w:sz w:val="21"/>
              </w:rPr>
            </w:pPr>
          </w:p>
          <w:p w14:paraId="463EF983">
            <w:pPr>
              <w:spacing w:line="250" w:lineRule="auto"/>
              <w:rPr>
                <w:rFonts w:ascii="Arial"/>
                <w:sz w:val="21"/>
              </w:rPr>
            </w:pPr>
          </w:p>
          <w:p w14:paraId="50548FF5">
            <w:pPr>
              <w:spacing w:line="250" w:lineRule="auto"/>
              <w:rPr>
                <w:rFonts w:ascii="Arial"/>
                <w:sz w:val="21"/>
              </w:rPr>
            </w:pPr>
          </w:p>
          <w:p w14:paraId="66F1AC67">
            <w:pPr>
              <w:spacing w:line="250" w:lineRule="auto"/>
              <w:rPr>
                <w:rFonts w:ascii="Arial"/>
                <w:sz w:val="21"/>
              </w:rPr>
            </w:pPr>
          </w:p>
          <w:p w14:paraId="235C48BE">
            <w:pPr>
              <w:spacing w:line="250" w:lineRule="auto"/>
              <w:rPr>
                <w:rFonts w:ascii="Arial"/>
                <w:sz w:val="21"/>
              </w:rPr>
            </w:pPr>
          </w:p>
          <w:p w14:paraId="6E88C0A4">
            <w:pPr>
              <w:pStyle w:val="25"/>
              <w:spacing w:before="78" w:line="182" w:lineRule="auto"/>
              <w:ind w:left="310" w:leftChars="0"/>
              <w:rPr>
                <w:rFonts w:ascii="宋体" w:hAnsi="宋体" w:eastAsia="宋体" w:cs="宋体"/>
                <w:snapToGrid w:val="0"/>
                <w:color w:val="000000"/>
                <w:kern w:val="0"/>
                <w:sz w:val="24"/>
                <w:szCs w:val="24"/>
                <w:lang w:val="en-US" w:eastAsia="en-US" w:bidi="ar-SA"/>
              </w:rPr>
            </w:pPr>
            <w:r>
              <w:rPr>
                <w:spacing w:val="-7"/>
                <w:sz w:val="24"/>
                <w:szCs w:val="24"/>
              </w:rPr>
              <w:t>19</w:t>
            </w:r>
          </w:p>
        </w:tc>
        <w:tc>
          <w:tcPr>
            <w:tcW w:w="1991" w:type="dxa"/>
            <w:gridSpan w:val="2"/>
            <w:vAlign w:val="top"/>
          </w:tcPr>
          <w:p w14:paraId="77539C75">
            <w:pPr>
              <w:spacing w:line="244" w:lineRule="auto"/>
              <w:rPr>
                <w:rFonts w:ascii="Arial"/>
                <w:sz w:val="21"/>
              </w:rPr>
            </w:pPr>
          </w:p>
          <w:p w14:paraId="5A887BC1">
            <w:pPr>
              <w:spacing w:line="244" w:lineRule="auto"/>
              <w:rPr>
                <w:rFonts w:ascii="Arial"/>
                <w:sz w:val="21"/>
              </w:rPr>
            </w:pPr>
          </w:p>
          <w:p w14:paraId="73746DFA">
            <w:pPr>
              <w:spacing w:line="244" w:lineRule="auto"/>
              <w:rPr>
                <w:rFonts w:ascii="Arial"/>
                <w:sz w:val="21"/>
              </w:rPr>
            </w:pPr>
          </w:p>
          <w:p w14:paraId="41D6CAF9">
            <w:pPr>
              <w:spacing w:line="244" w:lineRule="auto"/>
              <w:rPr>
                <w:rFonts w:ascii="Arial"/>
                <w:sz w:val="21"/>
              </w:rPr>
            </w:pPr>
          </w:p>
          <w:p w14:paraId="391A61B9">
            <w:pPr>
              <w:spacing w:line="244" w:lineRule="auto"/>
              <w:rPr>
                <w:rFonts w:ascii="Arial"/>
                <w:sz w:val="21"/>
              </w:rPr>
            </w:pPr>
          </w:p>
          <w:p w14:paraId="5ABAB609">
            <w:pPr>
              <w:spacing w:line="244" w:lineRule="auto"/>
              <w:rPr>
                <w:rFonts w:ascii="Arial"/>
                <w:sz w:val="21"/>
              </w:rPr>
            </w:pPr>
          </w:p>
          <w:p w14:paraId="00AE2DF8">
            <w:pPr>
              <w:spacing w:line="244" w:lineRule="auto"/>
              <w:rPr>
                <w:rFonts w:ascii="Arial"/>
                <w:sz w:val="21"/>
              </w:rPr>
            </w:pPr>
          </w:p>
          <w:p w14:paraId="28021F96">
            <w:pPr>
              <w:spacing w:line="245" w:lineRule="auto"/>
              <w:rPr>
                <w:rFonts w:ascii="Arial"/>
                <w:sz w:val="21"/>
              </w:rPr>
            </w:pPr>
          </w:p>
          <w:p w14:paraId="605FCE25">
            <w:pPr>
              <w:spacing w:line="245" w:lineRule="auto"/>
              <w:rPr>
                <w:rFonts w:ascii="Arial"/>
                <w:sz w:val="21"/>
              </w:rPr>
            </w:pPr>
          </w:p>
          <w:p w14:paraId="7D9520A8">
            <w:pPr>
              <w:pStyle w:val="25"/>
              <w:spacing w:before="78" w:line="520" w:lineRule="exact"/>
              <w:ind w:left="540"/>
              <w:rPr>
                <w:sz w:val="24"/>
                <w:szCs w:val="24"/>
              </w:rPr>
            </w:pPr>
            <w:r>
              <w:rPr>
                <w:spacing w:val="-2"/>
                <w:position w:val="21"/>
                <w:sz w:val="24"/>
                <w:szCs w:val="24"/>
              </w:rPr>
              <w:t>封套上应</w:t>
            </w:r>
          </w:p>
          <w:p w14:paraId="1129BA5E">
            <w:pPr>
              <w:pStyle w:val="25"/>
              <w:spacing w:line="220" w:lineRule="auto"/>
              <w:ind w:left="422" w:leftChars="0"/>
              <w:rPr>
                <w:rFonts w:ascii="宋体" w:hAnsi="宋体" w:eastAsia="宋体" w:cs="宋体"/>
                <w:snapToGrid w:val="0"/>
                <w:color w:val="000000"/>
                <w:kern w:val="0"/>
                <w:sz w:val="24"/>
                <w:szCs w:val="24"/>
                <w:lang w:val="en-US" w:eastAsia="en-US" w:bidi="ar-SA"/>
              </w:rPr>
            </w:pPr>
            <w:r>
              <w:rPr>
                <w:spacing w:val="-2"/>
                <w:sz w:val="24"/>
                <w:szCs w:val="24"/>
              </w:rPr>
              <w:t>载明的信息</w:t>
            </w:r>
          </w:p>
        </w:tc>
        <w:tc>
          <w:tcPr>
            <w:tcW w:w="6221" w:type="dxa"/>
            <w:vAlign w:val="top"/>
          </w:tcPr>
          <w:p w14:paraId="394109B4">
            <w:pPr>
              <w:pStyle w:val="25"/>
              <w:spacing w:before="209" w:line="520" w:lineRule="exact"/>
              <w:jc w:val="right"/>
              <w:rPr>
                <w:sz w:val="24"/>
                <w:szCs w:val="24"/>
              </w:rPr>
            </w:pPr>
            <w:r>
              <w:rPr>
                <w:spacing w:val="-7"/>
                <w:position w:val="21"/>
                <w:sz w:val="24"/>
                <w:szCs w:val="24"/>
              </w:rPr>
              <w:t>按招标文件规定递交纸质投标文件和电子文档（U</w:t>
            </w:r>
            <w:r>
              <w:rPr>
                <w:spacing w:val="-44"/>
                <w:position w:val="21"/>
                <w:sz w:val="24"/>
                <w:szCs w:val="24"/>
              </w:rPr>
              <w:t xml:space="preserve"> </w:t>
            </w:r>
            <w:r>
              <w:rPr>
                <w:spacing w:val="-7"/>
                <w:position w:val="21"/>
                <w:sz w:val="24"/>
                <w:szCs w:val="24"/>
              </w:rPr>
              <w:t>盘）时，</w:t>
            </w:r>
          </w:p>
          <w:p w14:paraId="683FC0C0">
            <w:pPr>
              <w:pStyle w:val="25"/>
              <w:spacing w:line="220" w:lineRule="auto"/>
              <w:ind w:left="116"/>
              <w:rPr>
                <w:sz w:val="24"/>
                <w:szCs w:val="24"/>
              </w:rPr>
            </w:pPr>
            <w:r>
              <w:rPr>
                <w:spacing w:val="-6"/>
                <w:sz w:val="24"/>
                <w:szCs w:val="24"/>
              </w:rPr>
              <w:t>外封套上应载明的信息：</w:t>
            </w:r>
          </w:p>
          <w:p w14:paraId="7652BDD1">
            <w:pPr>
              <w:pStyle w:val="25"/>
              <w:spacing w:before="233" w:line="520" w:lineRule="exact"/>
              <w:ind w:left="92"/>
              <w:rPr>
                <w:sz w:val="24"/>
                <w:szCs w:val="24"/>
              </w:rPr>
            </w:pPr>
            <w:r>
              <w:rPr>
                <w:position w:val="21"/>
                <w:sz w:val="24"/>
                <w:szCs w:val="24"/>
              </w:rPr>
              <w:t>“正本”、“副本”或“电子文档（U</w:t>
            </w:r>
            <w:r>
              <w:rPr>
                <w:spacing w:val="-49"/>
                <w:position w:val="21"/>
                <w:sz w:val="24"/>
                <w:szCs w:val="24"/>
              </w:rPr>
              <w:t xml:space="preserve"> </w:t>
            </w:r>
            <w:r>
              <w:rPr>
                <w:position w:val="21"/>
                <w:sz w:val="24"/>
                <w:szCs w:val="24"/>
              </w:rPr>
              <w:t>盘）”</w:t>
            </w:r>
          </w:p>
          <w:p w14:paraId="7A30D18A">
            <w:pPr>
              <w:pStyle w:val="25"/>
              <w:spacing w:line="219" w:lineRule="auto"/>
              <w:ind w:left="110"/>
              <w:rPr>
                <w:sz w:val="24"/>
                <w:szCs w:val="24"/>
              </w:rPr>
            </w:pPr>
            <w:r>
              <w:rPr>
                <w:spacing w:val="-9"/>
                <w:sz w:val="24"/>
                <w:szCs w:val="24"/>
              </w:rPr>
              <w:t>采购人名称：</w:t>
            </w:r>
          </w:p>
          <w:p w14:paraId="210ED4CF">
            <w:pPr>
              <w:pStyle w:val="25"/>
              <w:spacing w:before="235" w:line="221" w:lineRule="auto"/>
              <w:ind w:left="114"/>
              <w:rPr>
                <w:sz w:val="24"/>
                <w:szCs w:val="24"/>
              </w:rPr>
            </w:pPr>
            <w:r>
              <w:rPr>
                <w:rFonts w:hint="eastAsia"/>
                <w:spacing w:val="-10"/>
                <w:sz w:val="24"/>
                <w:szCs w:val="24"/>
                <w:lang w:eastAsia="zh-CN"/>
              </w:rPr>
              <w:t>供应商</w:t>
            </w:r>
            <w:r>
              <w:rPr>
                <w:spacing w:val="-10"/>
                <w:sz w:val="24"/>
                <w:szCs w:val="24"/>
              </w:rPr>
              <w:t>名称：</w:t>
            </w:r>
          </w:p>
          <w:p w14:paraId="37B15318">
            <w:pPr>
              <w:pStyle w:val="25"/>
              <w:tabs>
                <w:tab w:val="left" w:pos="2501"/>
              </w:tabs>
              <w:spacing w:before="232" w:line="400" w:lineRule="auto"/>
              <w:ind w:left="101"/>
              <w:rPr>
                <w:sz w:val="24"/>
                <w:szCs w:val="24"/>
              </w:rPr>
            </w:pPr>
            <w:r>
              <w:rPr>
                <w:sz w:val="24"/>
                <w:szCs w:val="24"/>
                <w:u w:val="single" w:color="auto"/>
              </w:rPr>
              <w:tab/>
            </w:r>
            <w:r>
              <w:rPr>
                <w:spacing w:val="24"/>
                <w:sz w:val="24"/>
                <w:szCs w:val="24"/>
              </w:rPr>
              <w:t xml:space="preserve"> </w:t>
            </w:r>
            <w:r>
              <w:rPr>
                <w:spacing w:val="-14"/>
                <w:sz w:val="24"/>
                <w:szCs w:val="24"/>
              </w:rPr>
              <w:t>（项目名称）投标文件</w:t>
            </w:r>
          </w:p>
          <w:p w14:paraId="45ED792F">
            <w:pPr>
              <w:pStyle w:val="25"/>
              <w:spacing w:before="2" w:line="220" w:lineRule="auto"/>
              <w:ind w:left="112"/>
              <w:rPr>
                <w:sz w:val="24"/>
                <w:szCs w:val="24"/>
              </w:rPr>
            </w:pPr>
            <w:r>
              <w:rPr>
                <w:spacing w:val="-25"/>
                <w:sz w:val="24"/>
                <w:szCs w:val="24"/>
              </w:rPr>
              <w:t>标段（包</w:t>
            </w:r>
            <w:r>
              <w:rPr>
                <w:spacing w:val="-30"/>
                <w:sz w:val="24"/>
                <w:szCs w:val="24"/>
              </w:rPr>
              <w:t>）：</w:t>
            </w:r>
            <w:r>
              <w:rPr>
                <w:spacing w:val="57"/>
                <w:sz w:val="24"/>
                <w:szCs w:val="24"/>
              </w:rPr>
              <w:t xml:space="preserve"> </w:t>
            </w:r>
            <w:r>
              <w:rPr>
                <w:sz w:val="24"/>
                <w:szCs w:val="24"/>
                <w:u w:val="single" w:color="auto"/>
              </w:rPr>
              <w:t xml:space="preserve">     </w:t>
            </w:r>
            <w:r>
              <w:rPr>
                <w:spacing w:val="16"/>
                <w:sz w:val="24"/>
                <w:szCs w:val="24"/>
              </w:rPr>
              <w:t xml:space="preserve"> </w:t>
            </w:r>
            <w:r>
              <w:rPr>
                <w:spacing w:val="-30"/>
                <w:sz w:val="24"/>
                <w:szCs w:val="24"/>
              </w:rPr>
              <w:t>（</w:t>
            </w:r>
            <w:r>
              <w:rPr>
                <w:spacing w:val="-25"/>
                <w:sz w:val="24"/>
                <w:szCs w:val="24"/>
              </w:rPr>
              <w:t>如有划分）</w:t>
            </w:r>
          </w:p>
          <w:p w14:paraId="23BC7614">
            <w:pPr>
              <w:pStyle w:val="25"/>
              <w:spacing w:before="232" w:line="220" w:lineRule="auto"/>
              <w:ind w:left="110"/>
              <w:rPr>
                <w:sz w:val="24"/>
                <w:szCs w:val="24"/>
              </w:rPr>
            </w:pPr>
            <w:r>
              <w:rPr>
                <w:spacing w:val="-8"/>
                <w:sz w:val="24"/>
                <w:szCs w:val="24"/>
              </w:rPr>
              <w:t>采购项目编号：</w:t>
            </w:r>
          </w:p>
          <w:p w14:paraId="3A44F704">
            <w:pPr>
              <w:pStyle w:val="25"/>
              <w:spacing w:before="234" w:line="400" w:lineRule="auto"/>
              <w:ind w:left="115"/>
              <w:rPr>
                <w:sz w:val="24"/>
                <w:szCs w:val="24"/>
              </w:rPr>
            </w:pPr>
            <w:r>
              <w:rPr>
                <w:spacing w:val="-5"/>
                <w:sz w:val="24"/>
                <w:szCs w:val="24"/>
              </w:rPr>
              <w:t>于</w:t>
            </w:r>
            <w:r>
              <w:rPr>
                <w:spacing w:val="-5"/>
                <w:sz w:val="24"/>
                <w:szCs w:val="24"/>
                <w:u w:val="single" w:color="auto"/>
              </w:rPr>
              <w:t xml:space="preserve">    </w:t>
            </w:r>
            <w:r>
              <w:rPr>
                <w:spacing w:val="-102"/>
                <w:sz w:val="24"/>
                <w:szCs w:val="24"/>
              </w:rPr>
              <w:t xml:space="preserve"> </w:t>
            </w:r>
            <w:r>
              <w:rPr>
                <w:spacing w:val="-5"/>
                <w:sz w:val="24"/>
                <w:szCs w:val="24"/>
              </w:rPr>
              <w:t>年</w:t>
            </w:r>
            <w:r>
              <w:rPr>
                <w:spacing w:val="-5"/>
                <w:sz w:val="24"/>
                <w:szCs w:val="24"/>
                <w:u w:val="single" w:color="auto"/>
              </w:rPr>
              <w:t xml:space="preserve">   </w:t>
            </w:r>
            <w:r>
              <w:rPr>
                <w:spacing w:val="-105"/>
                <w:sz w:val="24"/>
                <w:szCs w:val="24"/>
              </w:rPr>
              <w:t xml:space="preserve"> </w:t>
            </w:r>
            <w:r>
              <w:rPr>
                <w:spacing w:val="-5"/>
                <w:sz w:val="24"/>
                <w:szCs w:val="24"/>
              </w:rPr>
              <w:t>月</w:t>
            </w:r>
            <w:r>
              <w:rPr>
                <w:spacing w:val="-5"/>
                <w:sz w:val="24"/>
                <w:szCs w:val="24"/>
                <w:u w:val="single" w:color="auto"/>
              </w:rPr>
              <w:t xml:space="preserve">   </w:t>
            </w:r>
            <w:r>
              <w:rPr>
                <w:spacing w:val="-69"/>
                <w:sz w:val="24"/>
                <w:szCs w:val="24"/>
              </w:rPr>
              <w:t xml:space="preserve"> </w:t>
            </w:r>
            <w:r>
              <w:rPr>
                <w:spacing w:val="-5"/>
                <w:sz w:val="24"/>
                <w:szCs w:val="24"/>
              </w:rPr>
              <w:t>日</w:t>
            </w:r>
            <w:r>
              <w:rPr>
                <w:sz w:val="24"/>
                <w:szCs w:val="24"/>
                <w:u w:val="single" w:color="auto"/>
              </w:rPr>
              <w:t xml:space="preserve">    </w:t>
            </w:r>
            <w:r>
              <w:rPr>
                <w:spacing w:val="-100"/>
                <w:sz w:val="24"/>
                <w:szCs w:val="24"/>
              </w:rPr>
              <w:t xml:space="preserve"> </w:t>
            </w:r>
            <w:r>
              <w:rPr>
                <w:spacing w:val="-5"/>
                <w:sz w:val="24"/>
                <w:szCs w:val="24"/>
              </w:rPr>
              <w:t>时</w:t>
            </w:r>
            <w:r>
              <w:rPr>
                <w:sz w:val="24"/>
                <w:szCs w:val="24"/>
                <w:u w:val="single" w:color="auto"/>
              </w:rPr>
              <w:t xml:space="preserve">    </w:t>
            </w:r>
            <w:r>
              <w:rPr>
                <w:spacing w:val="-108"/>
                <w:sz w:val="24"/>
                <w:szCs w:val="24"/>
              </w:rPr>
              <w:t xml:space="preserve"> </w:t>
            </w:r>
            <w:r>
              <w:rPr>
                <w:spacing w:val="-5"/>
                <w:sz w:val="24"/>
                <w:szCs w:val="24"/>
              </w:rPr>
              <w:t>分（投标文件递交截止时</w:t>
            </w:r>
          </w:p>
          <w:p w14:paraId="624D8B21">
            <w:pPr>
              <w:pStyle w:val="25"/>
              <w:spacing w:before="1" w:line="221" w:lineRule="auto"/>
              <w:ind w:left="130" w:leftChars="0"/>
              <w:rPr>
                <w:rFonts w:ascii="宋体" w:hAnsi="宋体" w:eastAsia="宋体" w:cs="宋体"/>
                <w:snapToGrid w:val="0"/>
                <w:color w:val="000000"/>
                <w:kern w:val="0"/>
                <w:sz w:val="24"/>
                <w:szCs w:val="24"/>
                <w:lang w:val="en-US" w:eastAsia="en-US" w:bidi="ar-SA"/>
              </w:rPr>
            </w:pPr>
            <w:r>
              <w:rPr>
                <w:spacing w:val="-4"/>
                <w:sz w:val="24"/>
                <w:szCs w:val="24"/>
              </w:rPr>
              <w:t>间）之前不准启封</w:t>
            </w:r>
          </w:p>
        </w:tc>
      </w:tr>
      <w:tr w14:paraId="1FCA8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1226" w:hRule="atLeast"/>
        </w:trPr>
        <w:tc>
          <w:tcPr>
            <w:tcW w:w="821" w:type="dxa"/>
            <w:vAlign w:val="top"/>
          </w:tcPr>
          <w:p w14:paraId="6A16D46A">
            <w:pPr>
              <w:spacing w:line="433" w:lineRule="auto"/>
              <w:rPr>
                <w:rFonts w:ascii="Arial"/>
                <w:sz w:val="21"/>
              </w:rPr>
            </w:pPr>
          </w:p>
          <w:p w14:paraId="12ABC17F">
            <w:pPr>
              <w:pStyle w:val="25"/>
              <w:spacing w:before="78" w:line="181" w:lineRule="auto"/>
              <w:ind w:left="295" w:leftChars="0"/>
              <w:rPr>
                <w:rFonts w:ascii="宋体" w:hAnsi="宋体" w:eastAsia="宋体" w:cs="宋体"/>
                <w:snapToGrid w:val="0"/>
                <w:color w:val="000000"/>
                <w:kern w:val="0"/>
                <w:sz w:val="24"/>
                <w:szCs w:val="24"/>
                <w:lang w:val="en-US" w:eastAsia="en-US" w:bidi="ar-SA"/>
              </w:rPr>
            </w:pPr>
            <w:r>
              <w:rPr>
                <w:spacing w:val="-4"/>
                <w:sz w:val="24"/>
                <w:szCs w:val="24"/>
              </w:rPr>
              <w:t>20</w:t>
            </w:r>
          </w:p>
        </w:tc>
        <w:tc>
          <w:tcPr>
            <w:tcW w:w="1991" w:type="dxa"/>
            <w:gridSpan w:val="2"/>
            <w:vAlign w:val="top"/>
          </w:tcPr>
          <w:p w14:paraId="28EBCF25">
            <w:pPr>
              <w:pStyle w:val="25"/>
              <w:spacing w:before="213" w:line="520" w:lineRule="exact"/>
              <w:ind w:left="545"/>
              <w:rPr>
                <w:sz w:val="24"/>
                <w:szCs w:val="24"/>
              </w:rPr>
            </w:pPr>
            <w:r>
              <w:rPr>
                <w:spacing w:val="-3"/>
                <w:position w:val="21"/>
                <w:sz w:val="24"/>
                <w:szCs w:val="24"/>
              </w:rPr>
              <w:t>是否退还</w:t>
            </w:r>
          </w:p>
          <w:p w14:paraId="315EF85A">
            <w:pPr>
              <w:pStyle w:val="25"/>
              <w:spacing w:line="220" w:lineRule="auto"/>
              <w:ind w:left="544" w:leftChars="0"/>
              <w:rPr>
                <w:rFonts w:ascii="宋体" w:hAnsi="宋体" w:eastAsia="宋体" w:cs="宋体"/>
                <w:snapToGrid w:val="0"/>
                <w:color w:val="000000"/>
                <w:kern w:val="0"/>
                <w:sz w:val="24"/>
                <w:szCs w:val="24"/>
                <w:lang w:val="en-US" w:eastAsia="en-US" w:bidi="ar-SA"/>
              </w:rPr>
            </w:pPr>
            <w:r>
              <w:rPr>
                <w:spacing w:val="-3"/>
                <w:sz w:val="24"/>
                <w:szCs w:val="24"/>
              </w:rPr>
              <w:t>投标文件</w:t>
            </w:r>
          </w:p>
        </w:tc>
        <w:tc>
          <w:tcPr>
            <w:tcW w:w="6221" w:type="dxa"/>
            <w:vAlign w:val="top"/>
          </w:tcPr>
          <w:p w14:paraId="1564FA5C">
            <w:pPr>
              <w:pStyle w:val="25"/>
              <w:spacing w:before="213" w:line="224" w:lineRule="auto"/>
              <w:ind w:left="135"/>
              <w:rPr>
                <w:sz w:val="24"/>
                <w:szCs w:val="24"/>
              </w:rPr>
            </w:pPr>
            <w:r>
              <w:rPr>
                <w:spacing w:val="-9"/>
                <w:sz w:val="24"/>
                <w:szCs w:val="24"/>
              </w:rPr>
              <w:t>□是</w:t>
            </w:r>
          </w:p>
          <w:p w14:paraId="612083D1">
            <w:pPr>
              <w:pStyle w:val="25"/>
              <w:spacing w:before="226" w:line="218" w:lineRule="auto"/>
              <w:ind w:left="135" w:leftChars="0"/>
              <w:rPr>
                <w:rFonts w:ascii="宋体" w:hAnsi="宋体" w:eastAsia="宋体" w:cs="宋体"/>
                <w:snapToGrid w:val="0"/>
                <w:color w:val="000000"/>
                <w:kern w:val="0"/>
                <w:sz w:val="24"/>
                <w:szCs w:val="24"/>
                <w:lang w:val="en-US" w:eastAsia="en-US" w:bidi="ar-SA"/>
              </w:rPr>
            </w:pPr>
            <w:r>
              <w:rPr>
                <w:position w:val="-3"/>
                <w:sz w:val="24"/>
                <w:szCs w:val="24"/>
              </w:rPr>
              <w:drawing>
                <wp:inline distT="0" distB="0" distL="0" distR="0">
                  <wp:extent cx="130810" cy="152400"/>
                  <wp:effectExtent l="0" t="0" r="2540" b="0"/>
                  <wp:docPr id="6" name="IM 8"/>
                  <wp:cNvGraphicFramePr/>
                  <a:graphic xmlns:a="http://schemas.openxmlformats.org/drawingml/2006/main">
                    <a:graphicData uri="http://schemas.openxmlformats.org/drawingml/2006/picture">
                      <pic:pic xmlns:pic="http://schemas.openxmlformats.org/drawingml/2006/picture">
                        <pic:nvPicPr>
                          <pic:cNvPr id="6" name="IM 8"/>
                          <pic:cNvPicPr/>
                        </pic:nvPicPr>
                        <pic:blipFill>
                          <a:blip r:embed="rId40"/>
                          <a:stretch>
                            <a:fillRect/>
                          </a:stretch>
                        </pic:blipFill>
                        <pic:spPr>
                          <a:xfrm>
                            <a:off x="0" y="0"/>
                            <a:ext cx="130911" cy="153009"/>
                          </a:xfrm>
                          <a:prstGeom prst="rect">
                            <a:avLst/>
                          </a:prstGeom>
                        </pic:spPr>
                      </pic:pic>
                    </a:graphicData>
                  </a:graphic>
                </wp:inline>
              </w:drawing>
            </w:r>
            <w:r>
              <w:rPr>
                <w:spacing w:val="-1"/>
                <w:sz w:val="24"/>
                <w:szCs w:val="24"/>
              </w:rPr>
              <w:t>否，不退还</w:t>
            </w:r>
          </w:p>
        </w:tc>
      </w:tr>
      <w:tr w14:paraId="20C74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926" w:hRule="atLeast"/>
        </w:trPr>
        <w:tc>
          <w:tcPr>
            <w:tcW w:w="821" w:type="dxa"/>
            <w:vAlign w:val="top"/>
          </w:tcPr>
          <w:p w14:paraId="14C9A77C">
            <w:pPr>
              <w:pStyle w:val="25"/>
              <w:spacing w:before="254" w:line="182" w:lineRule="auto"/>
              <w:ind w:left="295" w:leftChars="0"/>
              <w:rPr>
                <w:rFonts w:ascii="宋体" w:hAnsi="宋体" w:eastAsia="宋体" w:cs="宋体"/>
                <w:snapToGrid w:val="0"/>
                <w:color w:val="000000"/>
                <w:kern w:val="0"/>
                <w:sz w:val="24"/>
                <w:szCs w:val="24"/>
                <w:lang w:val="en-US" w:eastAsia="en-US" w:bidi="ar-SA"/>
              </w:rPr>
            </w:pPr>
            <w:r>
              <w:rPr>
                <w:spacing w:val="-4"/>
                <w:sz w:val="24"/>
                <w:szCs w:val="24"/>
              </w:rPr>
              <w:t>21</w:t>
            </w:r>
          </w:p>
        </w:tc>
        <w:tc>
          <w:tcPr>
            <w:tcW w:w="1991" w:type="dxa"/>
            <w:gridSpan w:val="2"/>
            <w:vAlign w:val="top"/>
          </w:tcPr>
          <w:p w14:paraId="3C5D8ADF">
            <w:pPr>
              <w:pStyle w:val="25"/>
              <w:spacing w:before="214" w:line="221" w:lineRule="auto"/>
              <w:ind w:left="424" w:leftChars="0"/>
              <w:rPr>
                <w:rFonts w:ascii="宋体" w:hAnsi="宋体" w:eastAsia="宋体" w:cs="宋体"/>
                <w:snapToGrid w:val="0"/>
                <w:color w:val="000000"/>
                <w:kern w:val="0"/>
                <w:sz w:val="24"/>
                <w:szCs w:val="24"/>
                <w:lang w:val="en-US" w:eastAsia="en-US" w:bidi="ar-SA"/>
              </w:rPr>
            </w:pPr>
            <w:r>
              <w:rPr>
                <w:spacing w:val="-2"/>
                <w:sz w:val="24"/>
                <w:szCs w:val="24"/>
              </w:rPr>
              <w:t>构成招标文件的其他材料</w:t>
            </w:r>
          </w:p>
        </w:tc>
        <w:tc>
          <w:tcPr>
            <w:tcW w:w="6221" w:type="dxa"/>
            <w:vAlign w:val="top"/>
          </w:tcPr>
          <w:p w14:paraId="5013B6DA">
            <w:pPr>
              <w:pStyle w:val="25"/>
              <w:spacing w:before="214" w:line="219" w:lineRule="auto"/>
              <w:jc w:val="right"/>
              <w:rPr>
                <w:rFonts w:ascii="宋体" w:hAnsi="宋体" w:eastAsia="宋体" w:cs="宋体"/>
                <w:snapToGrid w:val="0"/>
                <w:color w:val="000000"/>
                <w:kern w:val="0"/>
                <w:sz w:val="24"/>
                <w:szCs w:val="24"/>
                <w:lang w:val="en-US" w:eastAsia="en-US" w:bidi="ar-SA"/>
              </w:rPr>
            </w:pPr>
            <w:r>
              <w:rPr>
                <w:spacing w:val="-8"/>
                <w:sz w:val="24"/>
                <w:szCs w:val="24"/>
              </w:rPr>
              <w:t>招标文件的补充文件（如：补充通知、澄清或更正公告等）</w:t>
            </w:r>
          </w:p>
        </w:tc>
      </w:tr>
      <w:tr w14:paraId="4231B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1536" w:hRule="atLeast"/>
        </w:trPr>
        <w:tc>
          <w:tcPr>
            <w:tcW w:w="821" w:type="dxa"/>
            <w:vAlign w:val="top"/>
          </w:tcPr>
          <w:p w14:paraId="7D27D23F">
            <w:pPr>
              <w:spacing w:line="313" w:lineRule="auto"/>
              <w:rPr>
                <w:rFonts w:ascii="Arial"/>
                <w:sz w:val="21"/>
              </w:rPr>
            </w:pPr>
          </w:p>
          <w:p w14:paraId="3CD12094">
            <w:pPr>
              <w:spacing w:line="314" w:lineRule="auto"/>
              <w:rPr>
                <w:rFonts w:ascii="Arial"/>
                <w:sz w:val="21"/>
              </w:rPr>
            </w:pPr>
          </w:p>
          <w:p w14:paraId="6A709036">
            <w:pPr>
              <w:spacing w:line="314" w:lineRule="auto"/>
              <w:rPr>
                <w:rFonts w:ascii="Arial"/>
                <w:sz w:val="21"/>
              </w:rPr>
            </w:pPr>
          </w:p>
          <w:p w14:paraId="68DB91C3">
            <w:pPr>
              <w:pStyle w:val="25"/>
              <w:spacing w:before="78" w:line="181" w:lineRule="auto"/>
              <w:ind w:left="295" w:leftChars="0"/>
              <w:rPr>
                <w:rFonts w:ascii="宋体" w:hAnsi="宋体" w:eastAsia="宋体" w:cs="宋体"/>
                <w:snapToGrid w:val="0"/>
                <w:color w:val="000000"/>
                <w:kern w:val="0"/>
                <w:sz w:val="24"/>
                <w:szCs w:val="24"/>
                <w:lang w:val="en-US" w:eastAsia="en-US" w:bidi="ar-SA"/>
              </w:rPr>
            </w:pPr>
            <w:r>
              <w:rPr>
                <w:spacing w:val="-4"/>
                <w:sz w:val="24"/>
                <w:szCs w:val="24"/>
              </w:rPr>
              <w:t>22</w:t>
            </w:r>
          </w:p>
        </w:tc>
        <w:tc>
          <w:tcPr>
            <w:tcW w:w="1991" w:type="dxa"/>
            <w:gridSpan w:val="2"/>
            <w:vAlign w:val="top"/>
          </w:tcPr>
          <w:p w14:paraId="47BE7F46">
            <w:pPr>
              <w:spacing w:line="321" w:lineRule="auto"/>
              <w:rPr>
                <w:rFonts w:ascii="Arial"/>
                <w:sz w:val="21"/>
              </w:rPr>
            </w:pPr>
          </w:p>
          <w:p w14:paraId="4AE13BC9">
            <w:pPr>
              <w:pStyle w:val="25"/>
              <w:spacing w:before="78" w:line="520" w:lineRule="exact"/>
              <w:ind w:left="540"/>
              <w:rPr>
                <w:sz w:val="24"/>
                <w:szCs w:val="24"/>
              </w:rPr>
            </w:pPr>
            <w:r>
              <w:rPr>
                <w:spacing w:val="-2"/>
                <w:position w:val="21"/>
                <w:sz w:val="24"/>
                <w:szCs w:val="24"/>
              </w:rPr>
              <w:t>评标委员</w:t>
            </w:r>
          </w:p>
          <w:p w14:paraId="79AD0A0A">
            <w:pPr>
              <w:pStyle w:val="25"/>
              <w:spacing w:line="219" w:lineRule="auto"/>
              <w:ind w:left="540" w:leftChars="0"/>
              <w:rPr>
                <w:rFonts w:ascii="宋体" w:hAnsi="宋体" w:eastAsia="宋体" w:cs="宋体"/>
                <w:snapToGrid w:val="0"/>
                <w:color w:val="000000"/>
                <w:kern w:val="0"/>
                <w:sz w:val="24"/>
                <w:szCs w:val="24"/>
                <w:lang w:val="en-US" w:eastAsia="en-US" w:bidi="ar-SA"/>
              </w:rPr>
            </w:pPr>
            <w:r>
              <w:rPr>
                <w:spacing w:val="-2"/>
                <w:sz w:val="24"/>
                <w:szCs w:val="24"/>
              </w:rPr>
              <w:t>会的组建</w:t>
            </w:r>
          </w:p>
        </w:tc>
        <w:tc>
          <w:tcPr>
            <w:tcW w:w="6221" w:type="dxa"/>
            <w:vAlign w:val="center"/>
          </w:tcPr>
          <w:p w14:paraId="02738E83">
            <w:pPr>
              <w:pStyle w:val="25"/>
              <w:spacing w:line="219" w:lineRule="auto"/>
              <w:ind w:left="112" w:leftChars="0"/>
              <w:jc w:val="center"/>
              <w:rPr>
                <w:rFonts w:ascii="宋体" w:hAnsi="宋体" w:eastAsia="宋体" w:cs="宋体"/>
                <w:snapToGrid w:val="0"/>
                <w:color w:val="000000"/>
                <w:kern w:val="0"/>
                <w:sz w:val="24"/>
                <w:szCs w:val="24"/>
                <w:lang w:val="en-US" w:eastAsia="en-US" w:bidi="ar-SA"/>
              </w:rPr>
            </w:pPr>
            <w:r>
              <w:rPr>
                <w:rFonts w:hint="eastAsia"/>
                <w:spacing w:val="-8"/>
                <w:sz w:val="24"/>
                <w:szCs w:val="24"/>
                <w:lang w:val="en-US" w:eastAsia="en-US"/>
              </w:rPr>
              <w:t>评标委员会由采购人代表和有关经济、技术方面的评审专家共5人组成，其中采购人代表1人，有关经济、技术方面的评审专家4人，评审专家由采购人从相关评标专家库中随机抽取。</w:t>
            </w:r>
          </w:p>
        </w:tc>
      </w:tr>
      <w:tr w14:paraId="5E3AD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1060" w:hRule="atLeast"/>
        </w:trPr>
        <w:tc>
          <w:tcPr>
            <w:tcW w:w="821" w:type="dxa"/>
            <w:vAlign w:val="top"/>
          </w:tcPr>
          <w:p w14:paraId="17EA92A9">
            <w:pPr>
              <w:spacing w:line="426" w:lineRule="auto"/>
              <w:rPr>
                <w:rFonts w:ascii="Arial"/>
                <w:sz w:val="21"/>
              </w:rPr>
            </w:pPr>
          </w:p>
          <w:p w14:paraId="270BD9CE">
            <w:pPr>
              <w:pStyle w:val="25"/>
              <w:spacing w:before="78" w:line="181" w:lineRule="auto"/>
              <w:ind w:left="295" w:leftChars="0"/>
              <w:rPr>
                <w:rFonts w:ascii="宋体" w:hAnsi="宋体" w:eastAsia="宋体" w:cs="宋体"/>
                <w:snapToGrid w:val="0"/>
                <w:color w:val="000000"/>
                <w:kern w:val="0"/>
                <w:sz w:val="24"/>
                <w:szCs w:val="24"/>
                <w:lang w:val="en-US" w:eastAsia="en-US" w:bidi="ar-SA"/>
              </w:rPr>
            </w:pPr>
            <w:r>
              <w:rPr>
                <w:spacing w:val="-4"/>
                <w:sz w:val="24"/>
                <w:szCs w:val="24"/>
              </w:rPr>
              <w:t>23</w:t>
            </w:r>
          </w:p>
        </w:tc>
        <w:tc>
          <w:tcPr>
            <w:tcW w:w="1991" w:type="dxa"/>
            <w:gridSpan w:val="2"/>
            <w:vAlign w:val="top"/>
          </w:tcPr>
          <w:p w14:paraId="455D317E">
            <w:pPr>
              <w:pStyle w:val="25"/>
              <w:spacing w:before="206" w:line="520" w:lineRule="exact"/>
              <w:ind w:left="185"/>
              <w:rPr>
                <w:sz w:val="24"/>
                <w:szCs w:val="24"/>
              </w:rPr>
            </w:pPr>
            <w:r>
              <w:rPr>
                <w:spacing w:val="-2"/>
                <w:position w:val="21"/>
                <w:sz w:val="24"/>
                <w:szCs w:val="24"/>
              </w:rPr>
              <w:t>是否授权评标委</w:t>
            </w:r>
          </w:p>
          <w:p w14:paraId="26615E2E">
            <w:pPr>
              <w:pStyle w:val="25"/>
              <w:spacing w:line="219" w:lineRule="auto"/>
              <w:ind w:left="191" w:leftChars="0"/>
              <w:rPr>
                <w:rFonts w:ascii="宋体" w:hAnsi="宋体" w:eastAsia="宋体" w:cs="宋体"/>
                <w:snapToGrid w:val="0"/>
                <w:color w:val="000000"/>
                <w:kern w:val="0"/>
                <w:sz w:val="24"/>
                <w:szCs w:val="24"/>
                <w:lang w:val="en-US" w:eastAsia="en-US" w:bidi="ar-SA"/>
              </w:rPr>
            </w:pPr>
            <w:r>
              <w:rPr>
                <w:spacing w:val="-3"/>
                <w:sz w:val="24"/>
                <w:szCs w:val="24"/>
              </w:rPr>
              <w:t>员会确定中标人</w:t>
            </w:r>
          </w:p>
        </w:tc>
        <w:tc>
          <w:tcPr>
            <w:tcW w:w="6221" w:type="dxa"/>
            <w:vAlign w:val="top"/>
          </w:tcPr>
          <w:p w14:paraId="52494D29">
            <w:pPr>
              <w:pStyle w:val="25"/>
              <w:spacing w:before="204" w:line="226" w:lineRule="auto"/>
              <w:ind w:left="135"/>
              <w:rPr>
                <w:sz w:val="24"/>
                <w:szCs w:val="24"/>
              </w:rPr>
            </w:pPr>
            <w:r>
              <w:rPr>
                <w:spacing w:val="-17"/>
                <w:sz w:val="24"/>
                <w:szCs w:val="24"/>
              </w:rPr>
              <w:t>□是</w:t>
            </w:r>
          </w:p>
          <w:p w14:paraId="083BAD82">
            <w:pPr>
              <w:pStyle w:val="25"/>
              <w:spacing w:before="226" w:line="218" w:lineRule="auto"/>
              <w:ind w:left="135" w:leftChars="0"/>
              <w:rPr>
                <w:rFonts w:hint="eastAsia" w:ascii="宋体" w:hAnsi="宋体" w:eastAsia="宋体" w:cs="宋体"/>
                <w:snapToGrid w:val="0"/>
                <w:color w:val="000000"/>
                <w:kern w:val="0"/>
                <w:sz w:val="24"/>
                <w:szCs w:val="24"/>
                <w:lang w:val="en-US" w:eastAsia="en-US" w:bidi="ar-SA"/>
              </w:rPr>
            </w:pPr>
            <w:r>
              <w:rPr>
                <w:position w:val="-3"/>
                <w:sz w:val="24"/>
                <w:szCs w:val="24"/>
              </w:rPr>
              <w:drawing>
                <wp:inline distT="0" distB="0" distL="0" distR="0">
                  <wp:extent cx="130810" cy="152400"/>
                  <wp:effectExtent l="0" t="0" r="2540" b="0"/>
                  <wp:docPr id="9" name="IM 10"/>
                  <wp:cNvGraphicFramePr/>
                  <a:graphic xmlns:a="http://schemas.openxmlformats.org/drawingml/2006/main">
                    <a:graphicData uri="http://schemas.openxmlformats.org/drawingml/2006/picture">
                      <pic:pic xmlns:pic="http://schemas.openxmlformats.org/drawingml/2006/picture">
                        <pic:nvPicPr>
                          <pic:cNvPr id="9" name="IM 10"/>
                          <pic:cNvPicPr/>
                        </pic:nvPicPr>
                        <pic:blipFill>
                          <a:blip r:embed="rId40"/>
                          <a:stretch>
                            <a:fillRect/>
                          </a:stretch>
                        </pic:blipFill>
                        <pic:spPr>
                          <a:xfrm>
                            <a:off x="0" y="0"/>
                            <a:ext cx="130911" cy="153009"/>
                          </a:xfrm>
                          <a:prstGeom prst="rect">
                            <a:avLst/>
                          </a:prstGeom>
                        </pic:spPr>
                      </pic:pic>
                    </a:graphicData>
                  </a:graphic>
                </wp:inline>
              </w:drawing>
            </w:r>
            <w:r>
              <w:rPr>
                <w:spacing w:val="-14"/>
                <w:sz w:val="24"/>
                <w:szCs w:val="24"/>
              </w:rPr>
              <w:t>否，推荐的中标候选人数：</w:t>
            </w:r>
            <w:r>
              <w:rPr>
                <w:rFonts w:hint="eastAsia"/>
                <w:spacing w:val="-14"/>
                <w:sz w:val="24"/>
                <w:szCs w:val="24"/>
                <w:lang w:val="en-US" w:eastAsia="zh-CN"/>
              </w:rPr>
              <w:t>1</w:t>
            </w:r>
            <w:r>
              <w:rPr>
                <w:spacing w:val="-14"/>
                <w:sz w:val="24"/>
                <w:szCs w:val="24"/>
              </w:rPr>
              <w:t>名</w:t>
            </w:r>
          </w:p>
        </w:tc>
      </w:tr>
      <w:tr w14:paraId="71A2F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1536" w:hRule="atLeast"/>
        </w:trPr>
        <w:tc>
          <w:tcPr>
            <w:tcW w:w="821" w:type="dxa"/>
            <w:vAlign w:val="top"/>
          </w:tcPr>
          <w:p w14:paraId="16738006">
            <w:pPr>
              <w:spacing w:line="343" w:lineRule="auto"/>
              <w:rPr>
                <w:rFonts w:ascii="Arial"/>
                <w:sz w:val="21"/>
              </w:rPr>
            </w:pPr>
          </w:p>
          <w:p w14:paraId="15CB0231">
            <w:pPr>
              <w:spacing w:line="343" w:lineRule="auto"/>
              <w:rPr>
                <w:rFonts w:ascii="Arial"/>
                <w:sz w:val="21"/>
              </w:rPr>
            </w:pPr>
          </w:p>
          <w:p w14:paraId="106F310A">
            <w:pPr>
              <w:pStyle w:val="25"/>
              <w:spacing w:before="78" w:line="181" w:lineRule="auto"/>
              <w:ind w:left="295" w:leftChars="0"/>
              <w:rPr>
                <w:rFonts w:ascii="宋体" w:hAnsi="宋体" w:eastAsia="宋体" w:cs="宋体"/>
                <w:snapToGrid w:val="0"/>
                <w:color w:val="000000"/>
                <w:kern w:val="0"/>
                <w:sz w:val="24"/>
                <w:szCs w:val="24"/>
                <w:lang w:val="en-US" w:eastAsia="en-US" w:bidi="ar-SA"/>
              </w:rPr>
            </w:pPr>
            <w:r>
              <w:rPr>
                <w:spacing w:val="-4"/>
                <w:sz w:val="24"/>
                <w:szCs w:val="24"/>
              </w:rPr>
              <w:t>24</w:t>
            </w:r>
          </w:p>
        </w:tc>
        <w:tc>
          <w:tcPr>
            <w:tcW w:w="1991" w:type="dxa"/>
            <w:gridSpan w:val="2"/>
            <w:vAlign w:val="top"/>
          </w:tcPr>
          <w:p w14:paraId="705D9163">
            <w:pPr>
              <w:spacing w:line="322" w:lineRule="auto"/>
              <w:rPr>
                <w:rFonts w:ascii="Arial"/>
                <w:sz w:val="21"/>
              </w:rPr>
            </w:pPr>
          </w:p>
          <w:p w14:paraId="740F8A85">
            <w:pPr>
              <w:spacing w:line="323" w:lineRule="auto"/>
              <w:rPr>
                <w:rFonts w:ascii="Arial"/>
                <w:sz w:val="21"/>
              </w:rPr>
            </w:pPr>
          </w:p>
          <w:p w14:paraId="1749BE6D">
            <w:pPr>
              <w:pStyle w:val="25"/>
              <w:spacing w:before="78" w:line="219" w:lineRule="auto"/>
              <w:ind w:left="309" w:leftChars="0"/>
              <w:rPr>
                <w:rFonts w:ascii="宋体" w:hAnsi="宋体" w:eastAsia="宋体" w:cs="宋体"/>
                <w:snapToGrid w:val="0"/>
                <w:color w:val="000000"/>
                <w:kern w:val="0"/>
                <w:sz w:val="24"/>
                <w:szCs w:val="24"/>
                <w:lang w:val="en-US" w:eastAsia="en-US" w:bidi="ar-SA"/>
              </w:rPr>
            </w:pPr>
            <w:r>
              <w:rPr>
                <w:spacing w:val="-3"/>
                <w:sz w:val="24"/>
                <w:szCs w:val="24"/>
              </w:rPr>
              <w:t>公告发布媒介</w:t>
            </w:r>
          </w:p>
        </w:tc>
        <w:tc>
          <w:tcPr>
            <w:tcW w:w="6221" w:type="dxa"/>
            <w:vAlign w:val="top"/>
          </w:tcPr>
          <w:p w14:paraId="4519819D">
            <w:pPr>
              <w:pStyle w:val="25"/>
              <w:spacing w:before="207" w:line="400" w:lineRule="auto"/>
              <w:ind w:left="129" w:right="102" w:hanging="19"/>
              <w:jc w:val="both"/>
              <w:rPr>
                <w:rFonts w:ascii="宋体" w:hAnsi="宋体" w:eastAsia="宋体" w:cs="宋体"/>
                <w:snapToGrid w:val="0"/>
                <w:color w:val="000000"/>
                <w:kern w:val="0"/>
                <w:sz w:val="24"/>
                <w:szCs w:val="24"/>
                <w:lang w:val="en-US" w:eastAsia="en-US" w:bidi="ar-SA"/>
              </w:rPr>
            </w:pPr>
            <w:r>
              <w:rPr>
                <w:spacing w:val="8"/>
                <w:sz w:val="24"/>
                <w:szCs w:val="24"/>
              </w:rPr>
              <w:t>在《河南省政府采购网》</w:t>
            </w:r>
            <w:r>
              <w:rPr>
                <w:spacing w:val="-4"/>
                <w:sz w:val="24"/>
                <w:szCs w:val="24"/>
              </w:rPr>
              <w:t>、《全国公</w:t>
            </w:r>
            <w:r>
              <w:rPr>
                <w:spacing w:val="-1"/>
                <w:sz w:val="24"/>
                <w:szCs w:val="24"/>
              </w:rPr>
              <w:t>共资源交易平台（河南省·林州市）》上发布</w:t>
            </w:r>
          </w:p>
        </w:tc>
      </w:tr>
      <w:tr w14:paraId="487D0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1536" w:hRule="atLeast"/>
        </w:trPr>
        <w:tc>
          <w:tcPr>
            <w:tcW w:w="821" w:type="dxa"/>
            <w:vAlign w:val="top"/>
          </w:tcPr>
          <w:p w14:paraId="4F14AC18">
            <w:pPr>
              <w:spacing w:line="428" w:lineRule="auto"/>
              <w:rPr>
                <w:rFonts w:ascii="Arial"/>
                <w:sz w:val="21"/>
              </w:rPr>
            </w:pPr>
          </w:p>
          <w:p w14:paraId="67FDD7C3">
            <w:pPr>
              <w:pStyle w:val="25"/>
              <w:spacing w:before="78" w:line="181" w:lineRule="auto"/>
              <w:ind w:left="295" w:leftChars="0"/>
              <w:rPr>
                <w:rFonts w:hint="default" w:ascii="宋体" w:hAnsi="宋体" w:eastAsia="宋体" w:cs="宋体"/>
                <w:snapToGrid w:val="0"/>
                <w:color w:val="000000"/>
                <w:kern w:val="0"/>
                <w:sz w:val="24"/>
                <w:szCs w:val="24"/>
                <w:lang w:val="en-US" w:eastAsia="zh-CN" w:bidi="ar-SA"/>
              </w:rPr>
            </w:pPr>
            <w:r>
              <w:rPr>
                <w:spacing w:val="-4"/>
                <w:sz w:val="24"/>
                <w:szCs w:val="24"/>
              </w:rPr>
              <w:t>25</w:t>
            </w:r>
          </w:p>
        </w:tc>
        <w:tc>
          <w:tcPr>
            <w:tcW w:w="1991" w:type="dxa"/>
            <w:gridSpan w:val="2"/>
            <w:vAlign w:val="top"/>
          </w:tcPr>
          <w:p w14:paraId="1E9AA02E">
            <w:pPr>
              <w:spacing w:line="388" w:lineRule="auto"/>
              <w:rPr>
                <w:rFonts w:ascii="宋体" w:hAnsi="宋体" w:eastAsia="宋体" w:cs="宋体"/>
                <w:snapToGrid w:val="0"/>
                <w:color w:val="000000"/>
                <w:spacing w:val="-8"/>
                <w:kern w:val="0"/>
                <w:sz w:val="24"/>
                <w:szCs w:val="24"/>
                <w:lang w:val="en-US" w:eastAsia="en-US" w:bidi="ar-SA"/>
              </w:rPr>
            </w:pPr>
          </w:p>
          <w:p w14:paraId="1F9CF470">
            <w:pPr>
              <w:pStyle w:val="25"/>
              <w:spacing w:before="78" w:line="220" w:lineRule="auto"/>
              <w:ind w:left="541" w:leftChars="0"/>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付款方式</w:t>
            </w:r>
          </w:p>
        </w:tc>
        <w:tc>
          <w:tcPr>
            <w:tcW w:w="6221" w:type="dxa"/>
            <w:vAlign w:val="top"/>
          </w:tcPr>
          <w:p w14:paraId="466FD011">
            <w:pPr>
              <w:pStyle w:val="25"/>
              <w:spacing w:line="219" w:lineRule="auto"/>
              <w:ind w:left="111" w:leftChars="0"/>
              <w:rPr>
                <w:rFonts w:ascii="宋体" w:hAnsi="宋体" w:eastAsia="宋体" w:cs="宋体"/>
                <w:snapToGrid w:val="0"/>
                <w:color w:val="000000"/>
                <w:spacing w:val="-8"/>
                <w:kern w:val="0"/>
                <w:sz w:val="24"/>
                <w:szCs w:val="24"/>
                <w:lang w:val="en-US" w:eastAsia="en-US" w:bidi="ar-SA"/>
              </w:rPr>
            </w:pPr>
            <w:r>
              <w:rPr>
                <w:rFonts w:hint="eastAsia" w:ascii="宋体" w:hAnsi="宋体" w:eastAsia="宋体" w:cs="宋体"/>
                <w:snapToGrid w:val="0"/>
                <w:color w:val="000000"/>
                <w:spacing w:val="-8"/>
                <w:kern w:val="0"/>
                <w:sz w:val="24"/>
                <w:szCs w:val="24"/>
                <w:lang w:val="en-US" w:eastAsia="en-US" w:bidi="ar-SA"/>
              </w:rPr>
              <w:t>本合同生效后，采购人在每季度</w:t>
            </w:r>
            <w:r>
              <w:rPr>
                <w:rFonts w:ascii="宋体" w:hAnsi="宋体" w:eastAsia="宋体" w:cs="宋体"/>
                <w:snapToGrid w:val="0"/>
                <w:color w:val="000000"/>
                <w:spacing w:val="-8"/>
                <w:kern w:val="0"/>
                <w:sz w:val="24"/>
                <w:szCs w:val="24"/>
                <w:lang w:val="en-US" w:eastAsia="en-US" w:bidi="ar-SA"/>
              </w:rPr>
              <w:t>后</w:t>
            </w:r>
            <w:r>
              <w:rPr>
                <w:rFonts w:hint="eastAsia" w:ascii="宋体" w:hAnsi="宋体" w:eastAsia="宋体" w:cs="宋体"/>
                <w:snapToGrid w:val="0"/>
                <w:color w:val="000000"/>
                <w:spacing w:val="-8"/>
                <w:kern w:val="0"/>
                <w:sz w:val="24"/>
                <w:szCs w:val="24"/>
                <w:lang w:val="en-US" w:eastAsia="en-US" w:bidi="ar-SA"/>
              </w:rPr>
              <w:t>的第一个月</w:t>
            </w:r>
            <w:r>
              <w:rPr>
                <w:rFonts w:ascii="宋体" w:hAnsi="宋体" w:eastAsia="宋体" w:cs="宋体"/>
                <w:snapToGrid w:val="0"/>
                <w:color w:val="000000"/>
                <w:spacing w:val="-8"/>
                <w:kern w:val="0"/>
                <w:sz w:val="24"/>
                <w:szCs w:val="24"/>
                <w:lang w:val="en-US" w:eastAsia="en-US" w:bidi="ar-SA"/>
              </w:rPr>
              <w:t>内支付</w:t>
            </w:r>
            <w:r>
              <w:rPr>
                <w:rFonts w:hint="eastAsia" w:ascii="宋体" w:hAnsi="宋体" w:eastAsia="宋体" w:cs="宋体"/>
                <w:snapToGrid w:val="0"/>
                <w:color w:val="000000"/>
                <w:spacing w:val="-8"/>
                <w:kern w:val="0"/>
                <w:sz w:val="24"/>
                <w:szCs w:val="24"/>
                <w:lang w:val="en-US" w:eastAsia="en-US" w:bidi="ar-SA"/>
              </w:rPr>
              <w:t xml:space="preserve">乙方上季度的维保费，季度维保费用 = </w:t>
            </w:r>
            <w:r>
              <w:rPr>
                <w:rFonts w:ascii="宋体" w:hAnsi="宋体" w:eastAsia="宋体" w:cs="宋体"/>
                <w:snapToGrid w:val="0"/>
                <w:color w:val="000000"/>
                <w:spacing w:val="-8"/>
                <w:kern w:val="0"/>
                <w:sz w:val="24"/>
                <w:szCs w:val="24"/>
                <w:lang w:val="en-US" w:eastAsia="en-US" w:bidi="ar-SA"/>
              </w:rPr>
              <w:t>维护</w:t>
            </w:r>
            <w:r>
              <w:rPr>
                <w:rFonts w:hint="eastAsia" w:ascii="宋体" w:hAnsi="宋体" w:eastAsia="宋体" w:cs="宋体"/>
                <w:snapToGrid w:val="0"/>
                <w:color w:val="000000"/>
                <w:spacing w:val="-8"/>
                <w:kern w:val="0"/>
                <w:sz w:val="24"/>
                <w:szCs w:val="24"/>
                <w:lang w:val="en-US" w:eastAsia="en-US" w:bidi="ar-SA"/>
              </w:rPr>
              <w:t>人员工资及车辆燃油维修费用 + 设备更换费用 + 新建费用 + 后台软件升级费用 + 网络费用+电子警察供电费</w:t>
            </w:r>
          </w:p>
        </w:tc>
      </w:tr>
      <w:tr w14:paraId="11301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1536" w:hRule="atLeast"/>
        </w:trPr>
        <w:tc>
          <w:tcPr>
            <w:tcW w:w="821" w:type="dxa"/>
            <w:vAlign w:val="top"/>
          </w:tcPr>
          <w:p w14:paraId="50B451DC">
            <w:pPr>
              <w:spacing w:line="429" w:lineRule="auto"/>
              <w:rPr>
                <w:rFonts w:ascii="Arial"/>
                <w:sz w:val="21"/>
              </w:rPr>
            </w:pPr>
          </w:p>
          <w:p w14:paraId="362D4C69">
            <w:pPr>
              <w:pStyle w:val="25"/>
              <w:spacing w:before="78" w:line="181" w:lineRule="auto"/>
              <w:ind w:left="295" w:leftChars="0"/>
              <w:rPr>
                <w:rFonts w:ascii="宋体" w:hAnsi="宋体" w:eastAsia="宋体" w:cs="宋体"/>
                <w:snapToGrid w:val="0"/>
                <w:color w:val="000000"/>
                <w:kern w:val="0"/>
                <w:sz w:val="24"/>
                <w:szCs w:val="24"/>
                <w:lang w:val="en-US" w:eastAsia="en-US" w:bidi="ar-SA"/>
              </w:rPr>
            </w:pPr>
            <w:r>
              <w:rPr>
                <w:spacing w:val="-4"/>
                <w:sz w:val="24"/>
                <w:szCs w:val="24"/>
              </w:rPr>
              <w:t>26</w:t>
            </w:r>
          </w:p>
        </w:tc>
        <w:tc>
          <w:tcPr>
            <w:tcW w:w="1991" w:type="dxa"/>
            <w:gridSpan w:val="2"/>
            <w:vAlign w:val="top"/>
          </w:tcPr>
          <w:p w14:paraId="57076118">
            <w:pPr>
              <w:spacing w:line="389" w:lineRule="auto"/>
              <w:rPr>
                <w:rFonts w:ascii="Arial"/>
                <w:sz w:val="21"/>
              </w:rPr>
            </w:pPr>
          </w:p>
          <w:p w14:paraId="4C9A5777">
            <w:pPr>
              <w:pStyle w:val="25"/>
              <w:spacing w:before="78" w:line="221" w:lineRule="auto"/>
              <w:ind w:left="425" w:leftChars="0"/>
              <w:rPr>
                <w:rFonts w:ascii="宋体" w:hAnsi="宋体" w:eastAsia="宋体" w:cs="宋体"/>
                <w:snapToGrid w:val="0"/>
                <w:color w:val="000000"/>
                <w:kern w:val="0"/>
                <w:sz w:val="24"/>
                <w:szCs w:val="24"/>
                <w:lang w:val="en-US" w:eastAsia="en-US" w:bidi="ar-SA"/>
              </w:rPr>
            </w:pPr>
            <w:r>
              <w:rPr>
                <w:spacing w:val="-3"/>
                <w:sz w:val="24"/>
                <w:szCs w:val="24"/>
              </w:rPr>
              <w:t>履约保证金</w:t>
            </w:r>
          </w:p>
        </w:tc>
        <w:tc>
          <w:tcPr>
            <w:tcW w:w="6221" w:type="dxa"/>
            <w:vAlign w:val="top"/>
          </w:tcPr>
          <w:p w14:paraId="4A4EB147">
            <w:pPr>
              <w:pStyle w:val="25"/>
              <w:spacing w:before="209" w:line="520" w:lineRule="exact"/>
              <w:ind w:left="111"/>
              <w:rPr>
                <w:sz w:val="24"/>
                <w:szCs w:val="24"/>
              </w:rPr>
            </w:pPr>
            <w:r>
              <w:rPr>
                <w:spacing w:val="8"/>
                <w:position w:val="21"/>
                <w:sz w:val="24"/>
                <w:szCs w:val="24"/>
              </w:rPr>
              <w:t>根据安阳市财政局关于进一步优化政府采购</w:t>
            </w:r>
            <w:r>
              <w:rPr>
                <w:spacing w:val="7"/>
                <w:position w:val="21"/>
                <w:sz w:val="24"/>
                <w:szCs w:val="24"/>
              </w:rPr>
              <w:t>营商环境的</w:t>
            </w:r>
          </w:p>
          <w:p w14:paraId="2F68D615">
            <w:pPr>
              <w:pStyle w:val="25"/>
              <w:spacing w:line="219" w:lineRule="auto"/>
              <w:ind w:left="111" w:leftChars="0"/>
              <w:rPr>
                <w:rFonts w:hint="eastAsia" w:ascii="宋体" w:hAnsi="宋体" w:eastAsia="宋体" w:cs="宋体"/>
                <w:snapToGrid w:val="0"/>
                <w:color w:val="000000"/>
                <w:kern w:val="0"/>
                <w:sz w:val="24"/>
                <w:szCs w:val="24"/>
                <w:lang w:val="en-US" w:eastAsia="en-US" w:bidi="ar-SA"/>
              </w:rPr>
            </w:pPr>
            <w:r>
              <w:rPr>
                <w:spacing w:val="-1"/>
                <w:sz w:val="24"/>
                <w:szCs w:val="24"/>
              </w:rPr>
              <w:t>通知，本项目不收取履约保证金</w:t>
            </w:r>
          </w:p>
        </w:tc>
      </w:tr>
      <w:tr w14:paraId="4D479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551" w:hRule="atLeast"/>
        </w:trPr>
        <w:tc>
          <w:tcPr>
            <w:tcW w:w="821" w:type="dxa"/>
            <w:vAlign w:val="center"/>
          </w:tcPr>
          <w:p w14:paraId="109110C1">
            <w:pPr>
              <w:pStyle w:val="25"/>
              <w:spacing w:before="78" w:line="181" w:lineRule="auto"/>
              <w:ind w:left="295" w:leftChars="0"/>
              <w:jc w:val="both"/>
              <w:rPr>
                <w:rFonts w:ascii="宋体" w:hAnsi="宋体" w:eastAsia="宋体" w:cs="宋体"/>
                <w:snapToGrid w:val="0"/>
                <w:color w:val="000000"/>
                <w:kern w:val="0"/>
                <w:sz w:val="24"/>
                <w:szCs w:val="24"/>
                <w:lang w:val="en-US" w:eastAsia="en-US" w:bidi="ar-SA"/>
              </w:rPr>
            </w:pPr>
            <w:r>
              <w:rPr>
                <w:spacing w:val="-4"/>
                <w:sz w:val="24"/>
                <w:szCs w:val="24"/>
              </w:rPr>
              <w:t>27</w:t>
            </w:r>
          </w:p>
        </w:tc>
        <w:tc>
          <w:tcPr>
            <w:tcW w:w="1991" w:type="dxa"/>
            <w:gridSpan w:val="2"/>
            <w:vAlign w:val="center"/>
          </w:tcPr>
          <w:p w14:paraId="0D7ACD88">
            <w:pPr>
              <w:pStyle w:val="25"/>
              <w:spacing w:before="78" w:line="221" w:lineRule="auto"/>
              <w:ind w:left="425" w:leftChars="0"/>
              <w:jc w:val="center"/>
              <w:rPr>
                <w:spacing w:val="-3"/>
                <w:sz w:val="24"/>
                <w:szCs w:val="24"/>
              </w:rPr>
            </w:pPr>
            <w:r>
              <w:rPr>
                <w:rFonts w:hint="eastAsia"/>
                <w:spacing w:val="-3"/>
                <w:sz w:val="24"/>
                <w:szCs w:val="24"/>
              </w:rPr>
              <w:t>质保期</w:t>
            </w:r>
          </w:p>
        </w:tc>
        <w:tc>
          <w:tcPr>
            <w:tcW w:w="6221" w:type="dxa"/>
            <w:vAlign w:val="center"/>
          </w:tcPr>
          <w:p w14:paraId="50E3FD7B">
            <w:pPr>
              <w:pStyle w:val="25"/>
              <w:spacing w:line="219" w:lineRule="auto"/>
              <w:ind w:left="111" w:leftChars="0"/>
              <w:jc w:val="center"/>
              <w:rPr>
                <w:spacing w:val="-1"/>
                <w:sz w:val="24"/>
                <w:szCs w:val="24"/>
              </w:rPr>
            </w:pPr>
            <w:r>
              <w:rPr>
                <w:rFonts w:hint="eastAsia"/>
                <w:spacing w:val="-1"/>
                <w:sz w:val="24"/>
                <w:szCs w:val="24"/>
              </w:rPr>
              <w:t>新增、更换设备质保期三年</w:t>
            </w:r>
          </w:p>
        </w:tc>
      </w:tr>
      <w:tr w14:paraId="35D17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1160" w:hRule="atLeast"/>
        </w:trPr>
        <w:tc>
          <w:tcPr>
            <w:tcW w:w="821" w:type="dxa"/>
            <w:vAlign w:val="top"/>
          </w:tcPr>
          <w:p w14:paraId="6E8E7893">
            <w:pPr>
              <w:spacing w:line="246" w:lineRule="auto"/>
              <w:rPr>
                <w:rFonts w:ascii="Arial"/>
                <w:sz w:val="21"/>
              </w:rPr>
            </w:pPr>
          </w:p>
          <w:p w14:paraId="0F79B5EE">
            <w:pPr>
              <w:spacing w:line="247" w:lineRule="auto"/>
              <w:rPr>
                <w:rFonts w:ascii="Arial"/>
                <w:sz w:val="21"/>
              </w:rPr>
            </w:pPr>
          </w:p>
          <w:p w14:paraId="27BDCC83">
            <w:pPr>
              <w:pStyle w:val="25"/>
              <w:spacing w:before="78" w:line="181" w:lineRule="auto"/>
              <w:ind w:left="295" w:leftChars="0"/>
              <w:rPr>
                <w:rFonts w:ascii="宋体" w:hAnsi="宋体" w:eastAsia="宋体" w:cs="宋体"/>
                <w:snapToGrid w:val="0"/>
                <w:color w:val="000000"/>
                <w:kern w:val="0"/>
                <w:sz w:val="24"/>
                <w:szCs w:val="24"/>
                <w:lang w:val="en-US" w:eastAsia="en-US" w:bidi="ar-SA"/>
              </w:rPr>
            </w:pPr>
            <w:r>
              <w:rPr>
                <w:spacing w:val="-4"/>
                <w:sz w:val="24"/>
                <w:szCs w:val="24"/>
              </w:rPr>
              <w:t>28</w:t>
            </w:r>
          </w:p>
        </w:tc>
        <w:tc>
          <w:tcPr>
            <w:tcW w:w="1991" w:type="dxa"/>
            <w:gridSpan w:val="2"/>
            <w:vAlign w:val="top"/>
          </w:tcPr>
          <w:p w14:paraId="5F5F04B1">
            <w:pPr>
              <w:pStyle w:val="25"/>
              <w:spacing w:before="210" w:line="520" w:lineRule="exact"/>
              <w:ind w:left="545"/>
              <w:rPr>
                <w:sz w:val="24"/>
                <w:szCs w:val="24"/>
              </w:rPr>
            </w:pPr>
            <w:r>
              <w:rPr>
                <w:spacing w:val="-3"/>
                <w:position w:val="21"/>
                <w:sz w:val="24"/>
                <w:szCs w:val="24"/>
              </w:rPr>
              <w:t>是否接受</w:t>
            </w:r>
          </w:p>
          <w:p w14:paraId="5A55BCF8">
            <w:pPr>
              <w:pStyle w:val="25"/>
              <w:spacing w:before="1" w:line="220" w:lineRule="auto"/>
              <w:ind w:left="569" w:leftChars="0"/>
              <w:rPr>
                <w:rFonts w:ascii="宋体" w:hAnsi="宋体" w:eastAsia="宋体" w:cs="宋体"/>
                <w:snapToGrid w:val="0"/>
                <w:color w:val="000000"/>
                <w:kern w:val="0"/>
                <w:sz w:val="24"/>
                <w:szCs w:val="24"/>
                <w:lang w:val="en-US" w:eastAsia="en-US" w:bidi="ar-SA"/>
              </w:rPr>
            </w:pPr>
            <w:r>
              <w:rPr>
                <w:spacing w:val="-8"/>
                <w:sz w:val="24"/>
                <w:szCs w:val="24"/>
              </w:rPr>
              <w:t>电子投标</w:t>
            </w:r>
          </w:p>
        </w:tc>
        <w:tc>
          <w:tcPr>
            <w:tcW w:w="6221" w:type="dxa"/>
            <w:vAlign w:val="top"/>
          </w:tcPr>
          <w:p w14:paraId="5EC21530">
            <w:pPr>
              <w:pStyle w:val="25"/>
              <w:spacing w:before="207" w:line="523" w:lineRule="exact"/>
              <w:ind w:left="135"/>
              <w:rPr>
                <w:sz w:val="24"/>
                <w:szCs w:val="24"/>
              </w:rPr>
            </w:pPr>
            <w:r>
              <w:rPr>
                <w:rFonts w:hint="eastAsia" w:ascii="宋体" w:hAnsi="宋体" w:eastAsia="宋体" w:cs="宋体"/>
                <w:spacing w:val="-1"/>
                <w:position w:val="21"/>
                <w:sz w:val="24"/>
                <w:szCs w:val="24"/>
                <w:lang w:eastAsia="zh-CN"/>
              </w:rPr>
              <w:t>☑</w:t>
            </w:r>
            <w:r>
              <w:rPr>
                <w:rFonts w:ascii="宋体" w:hAnsi="宋体" w:eastAsia="宋体" w:cs="宋体"/>
                <w:spacing w:val="-1"/>
                <w:position w:val="21"/>
                <w:sz w:val="24"/>
                <w:szCs w:val="24"/>
              </w:rPr>
              <w:t>是</w:t>
            </w:r>
            <w:r>
              <w:rPr>
                <w:spacing w:val="-1"/>
                <w:position w:val="21"/>
                <w:sz w:val="24"/>
                <w:szCs w:val="24"/>
              </w:rPr>
              <w:t>，接受，请按规定提交电子投标文件</w:t>
            </w:r>
          </w:p>
          <w:p w14:paraId="1CC4D5EC">
            <w:pPr>
              <w:pStyle w:val="25"/>
              <w:spacing w:before="1" w:line="220" w:lineRule="auto"/>
              <w:ind w:left="135" w:leftChars="0"/>
              <w:rPr>
                <w:rFonts w:hint="eastAsia" w:ascii="宋体" w:hAnsi="宋体" w:eastAsia="宋体" w:cs="宋体"/>
                <w:snapToGrid w:val="0"/>
                <w:color w:val="000000"/>
                <w:kern w:val="0"/>
                <w:sz w:val="24"/>
                <w:szCs w:val="24"/>
                <w:lang w:val="en-US" w:eastAsia="en-US" w:bidi="ar-SA"/>
              </w:rPr>
            </w:pPr>
            <w:r>
              <w:rPr>
                <w:spacing w:val="-5"/>
                <w:sz w:val="24"/>
                <w:szCs w:val="24"/>
              </w:rPr>
              <w:t>□否，不接受</w:t>
            </w:r>
          </w:p>
        </w:tc>
      </w:tr>
      <w:tr w14:paraId="0711C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1536" w:hRule="atLeast"/>
        </w:trPr>
        <w:tc>
          <w:tcPr>
            <w:tcW w:w="821" w:type="dxa"/>
            <w:vAlign w:val="top"/>
          </w:tcPr>
          <w:p w14:paraId="2638C496">
            <w:pPr>
              <w:spacing w:line="346" w:lineRule="auto"/>
              <w:rPr>
                <w:rFonts w:ascii="Arial"/>
                <w:sz w:val="21"/>
              </w:rPr>
            </w:pPr>
          </w:p>
          <w:p w14:paraId="4A8A4764">
            <w:pPr>
              <w:spacing w:line="347" w:lineRule="auto"/>
              <w:rPr>
                <w:rFonts w:ascii="Arial"/>
                <w:sz w:val="21"/>
              </w:rPr>
            </w:pPr>
          </w:p>
          <w:p w14:paraId="1DCB06D2">
            <w:pPr>
              <w:pStyle w:val="25"/>
              <w:spacing w:before="78" w:line="181" w:lineRule="auto"/>
              <w:ind w:left="295" w:leftChars="0"/>
              <w:rPr>
                <w:rFonts w:ascii="宋体" w:hAnsi="宋体" w:eastAsia="宋体" w:cs="宋体"/>
                <w:snapToGrid w:val="0"/>
                <w:color w:val="000000"/>
                <w:kern w:val="0"/>
                <w:sz w:val="24"/>
                <w:szCs w:val="24"/>
                <w:lang w:val="en-US" w:eastAsia="en-US" w:bidi="ar-SA"/>
              </w:rPr>
            </w:pPr>
            <w:r>
              <w:rPr>
                <w:spacing w:val="-4"/>
                <w:sz w:val="24"/>
                <w:szCs w:val="24"/>
              </w:rPr>
              <w:t>29</w:t>
            </w:r>
          </w:p>
        </w:tc>
        <w:tc>
          <w:tcPr>
            <w:tcW w:w="1991" w:type="dxa"/>
            <w:gridSpan w:val="2"/>
            <w:vAlign w:val="top"/>
          </w:tcPr>
          <w:p w14:paraId="22CCB5BD">
            <w:pPr>
              <w:spacing w:line="285" w:lineRule="auto"/>
              <w:rPr>
                <w:rFonts w:ascii="Arial"/>
                <w:sz w:val="21"/>
              </w:rPr>
            </w:pPr>
          </w:p>
          <w:p w14:paraId="6A93DDA9">
            <w:pPr>
              <w:spacing w:line="285" w:lineRule="auto"/>
              <w:rPr>
                <w:rFonts w:ascii="Arial"/>
                <w:sz w:val="21"/>
              </w:rPr>
            </w:pPr>
          </w:p>
          <w:p w14:paraId="433D1754">
            <w:pPr>
              <w:spacing w:line="285" w:lineRule="auto"/>
              <w:rPr>
                <w:rFonts w:ascii="Arial"/>
                <w:sz w:val="21"/>
              </w:rPr>
            </w:pPr>
          </w:p>
          <w:p w14:paraId="407BCB34">
            <w:pPr>
              <w:spacing w:line="285" w:lineRule="auto"/>
              <w:rPr>
                <w:rFonts w:ascii="Arial"/>
                <w:sz w:val="21"/>
              </w:rPr>
            </w:pPr>
          </w:p>
          <w:p w14:paraId="60A2779B">
            <w:pPr>
              <w:spacing w:line="285" w:lineRule="auto"/>
              <w:rPr>
                <w:rFonts w:ascii="Arial"/>
                <w:sz w:val="21"/>
              </w:rPr>
            </w:pPr>
          </w:p>
          <w:p w14:paraId="730E81FD">
            <w:pPr>
              <w:pStyle w:val="25"/>
              <w:spacing w:before="78" w:line="520" w:lineRule="exact"/>
              <w:ind w:left="305"/>
              <w:rPr>
                <w:sz w:val="24"/>
                <w:szCs w:val="24"/>
              </w:rPr>
            </w:pPr>
            <w:r>
              <w:rPr>
                <w:spacing w:val="-2"/>
                <w:position w:val="21"/>
                <w:sz w:val="24"/>
                <w:szCs w:val="24"/>
              </w:rPr>
              <w:t>是否专门面向</w:t>
            </w:r>
          </w:p>
          <w:p w14:paraId="6A3C03F3">
            <w:pPr>
              <w:pStyle w:val="25"/>
              <w:spacing w:line="219" w:lineRule="auto"/>
              <w:ind w:left="324" w:leftChars="0"/>
              <w:rPr>
                <w:rFonts w:ascii="宋体" w:hAnsi="宋体" w:eastAsia="宋体" w:cs="宋体"/>
                <w:snapToGrid w:val="0"/>
                <w:color w:val="000000"/>
                <w:kern w:val="0"/>
                <w:sz w:val="24"/>
                <w:szCs w:val="24"/>
                <w:lang w:val="en-US" w:eastAsia="en-US" w:bidi="ar-SA"/>
              </w:rPr>
            </w:pPr>
            <w:r>
              <w:rPr>
                <w:spacing w:val="-5"/>
                <w:sz w:val="24"/>
                <w:szCs w:val="24"/>
              </w:rPr>
              <w:t>中小企业采购</w:t>
            </w:r>
          </w:p>
        </w:tc>
        <w:tc>
          <w:tcPr>
            <w:tcW w:w="6221" w:type="dxa"/>
            <w:vAlign w:val="top"/>
          </w:tcPr>
          <w:p w14:paraId="0F59F77B">
            <w:pPr>
              <w:pStyle w:val="25"/>
              <w:spacing w:before="207" w:line="401" w:lineRule="auto"/>
              <w:ind w:left="112" w:right="102" w:firstLine="23"/>
              <w:jc w:val="both"/>
              <w:rPr>
                <w:sz w:val="24"/>
                <w:szCs w:val="24"/>
              </w:rPr>
            </w:pPr>
            <w:r>
              <w:rPr>
                <w:rFonts w:hint="eastAsia"/>
                <w:spacing w:val="-5"/>
                <w:sz w:val="24"/>
                <w:szCs w:val="24"/>
                <w:lang w:eastAsia="zh-CN"/>
              </w:rPr>
              <w:t>□</w:t>
            </w:r>
            <w:r>
              <w:rPr>
                <w:spacing w:val="8"/>
                <w:sz w:val="24"/>
                <w:szCs w:val="24"/>
              </w:rPr>
              <w:t>是，请</w:t>
            </w:r>
            <w:r>
              <w:rPr>
                <w:rFonts w:hint="eastAsia"/>
                <w:spacing w:val="8"/>
                <w:sz w:val="24"/>
                <w:szCs w:val="24"/>
                <w:lang w:eastAsia="zh-CN"/>
              </w:rPr>
              <w:t>供应商</w:t>
            </w:r>
            <w:r>
              <w:rPr>
                <w:spacing w:val="8"/>
                <w:sz w:val="24"/>
                <w:szCs w:val="24"/>
              </w:rPr>
              <w:t>按相关规定提供《中小企业声明函》或</w:t>
            </w:r>
            <w:r>
              <w:rPr>
                <w:spacing w:val="12"/>
                <w:sz w:val="24"/>
                <w:szCs w:val="24"/>
              </w:rPr>
              <w:t xml:space="preserve"> </w:t>
            </w:r>
            <w:r>
              <w:rPr>
                <w:spacing w:val="-2"/>
                <w:sz w:val="24"/>
                <w:szCs w:val="24"/>
              </w:rPr>
              <w:t>《残疾人福利性单位声明函》或提供由省级以上</w:t>
            </w:r>
            <w:r>
              <w:rPr>
                <w:spacing w:val="-3"/>
                <w:sz w:val="24"/>
                <w:szCs w:val="24"/>
              </w:rPr>
              <w:t>监狱管理</w:t>
            </w:r>
            <w:r>
              <w:rPr>
                <w:sz w:val="24"/>
                <w:szCs w:val="24"/>
              </w:rPr>
              <w:t xml:space="preserve"> </w:t>
            </w:r>
            <w:r>
              <w:rPr>
                <w:spacing w:val="-7"/>
                <w:sz w:val="24"/>
                <w:szCs w:val="24"/>
              </w:rPr>
              <w:t>局、戒毒管理局（含新疆生产建设兵团） 出具的属于监狱</w:t>
            </w:r>
            <w:r>
              <w:rPr>
                <w:spacing w:val="-2"/>
                <w:sz w:val="24"/>
                <w:szCs w:val="24"/>
              </w:rPr>
              <w:t>企业的证明文件</w:t>
            </w:r>
          </w:p>
          <w:p w14:paraId="029F4926">
            <w:pPr>
              <w:pStyle w:val="25"/>
              <w:spacing w:before="231" w:line="401" w:lineRule="auto"/>
              <w:ind w:left="111" w:right="33" w:firstLine="24"/>
              <w:jc w:val="both"/>
              <w:rPr>
                <w:sz w:val="24"/>
                <w:szCs w:val="24"/>
              </w:rPr>
            </w:pPr>
            <w:r>
              <w:rPr>
                <w:rFonts w:hint="eastAsia"/>
                <w:spacing w:val="-5"/>
                <w:sz w:val="24"/>
                <w:szCs w:val="24"/>
                <w:lang w:eastAsia="zh-CN"/>
              </w:rPr>
              <w:t>☑</w:t>
            </w:r>
            <w:r>
              <w:rPr>
                <w:spacing w:val="-5"/>
                <w:sz w:val="24"/>
                <w:szCs w:val="24"/>
              </w:rPr>
              <w:t>否，</w:t>
            </w:r>
            <w:r>
              <w:rPr>
                <w:spacing w:val="-67"/>
                <w:sz w:val="24"/>
                <w:szCs w:val="24"/>
              </w:rPr>
              <w:t xml:space="preserve"> </w:t>
            </w:r>
            <w:r>
              <w:rPr>
                <w:spacing w:val="-5"/>
                <w:sz w:val="24"/>
                <w:szCs w:val="24"/>
              </w:rPr>
              <w:t>根据招标文件具体落实的政府采购政策</w:t>
            </w:r>
            <w:r>
              <w:rPr>
                <w:spacing w:val="-6"/>
                <w:sz w:val="24"/>
                <w:szCs w:val="24"/>
              </w:rPr>
              <w:t>价格扣除比</w:t>
            </w:r>
            <w:r>
              <w:rPr>
                <w:sz w:val="24"/>
                <w:szCs w:val="24"/>
              </w:rPr>
              <w:t xml:space="preserve"> </w:t>
            </w:r>
            <w:r>
              <w:rPr>
                <w:spacing w:val="-9"/>
                <w:sz w:val="24"/>
                <w:szCs w:val="24"/>
              </w:rPr>
              <w:t>例，用扣除后的价格参与评标。该价格仅作为评标价使用，</w:t>
            </w:r>
          </w:p>
          <w:p w14:paraId="0E76BD11">
            <w:pPr>
              <w:pStyle w:val="32"/>
              <w:spacing w:line="360" w:lineRule="auto"/>
              <w:ind w:right="-72"/>
              <w:rPr>
                <w:rFonts w:ascii="宋体" w:hAnsi="宋体" w:eastAsia="宋体" w:cs="宋体"/>
                <w:snapToGrid w:val="0"/>
                <w:color w:val="000000"/>
                <w:kern w:val="0"/>
                <w:sz w:val="24"/>
                <w:szCs w:val="24"/>
                <w:lang w:val="en-US" w:eastAsia="en-US" w:bidi="ar-SA"/>
              </w:rPr>
            </w:pPr>
            <w:r>
              <w:rPr>
                <w:spacing w:val="-2"/>
                <w:sz w:val="24"/>
                <w:szCs w:val="24"/>
              </w:rPr>
              <w:t>中标价和合同签约价仍以其投标文件中的投标报价为准</w:t>
            </w:r>
          </w:p>
        </w:tc>
      </w:tr>
      <w:tr w14:paraId="197CE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1536" w:hRule="atLeast"/>
        </w:trPr>
        <w:tc>
          <w:tcPr>
            <w:tcW w:w="821" w:type="dxa"/>
            <w:vAlign w:val="top"/>
          </w:tcPr>
          <w:p w14:paraId="1960F3E9">
            <w:pPr>
              <w:spacing w:line="342" w:lineRule="auto"/>
              <w:rPr>
                <w:rFonts w:ascii="Arial"/>
                <w:sz w:val="21"/>
              </w:rPr>
            </w:pPr>
          </w:p>
          <w:p w14:paraId="21F03CC4">
            <w:pPr>
              <w:spacing w:line="342" w:lineRule="auto"/>
              <w:rPr>
                <w:rFonts w:ascii="Arial"/>
                <w:sz w:val="21"/>
              </w:rPr>
            </w:pPr>
          </w:p>
          <w:p w14:paraId="69CBDD76">
            <w:pPr>
              <w:pStyle w:val="25"/>
              <w:spacing w:before="78" w:line="181" w:lineRule="auto"/>
              <w:ind w:left="297" w:leftChars="0"/>
              <w:rPr>
                <w:rFonts w:ascii="宋体" w:hAnsi="宋体" w:eastAsia="宋体" w:cs="宋体"/>
                <w:snapToGrid w:val="0"/>
                <w:color w:val="000000"/>
                <w:kern w:val="0"/>
                <w:sz w:val="24"/>
                <w:szCs w:val="24"/>
                <w:lang w:val="en-US" w:eastAsia="en-US" w:bidi="ar-SA"/>
              </w:rPr>
            </w:pPr>
            <w:r>
              <w:rPr>
                <w:spacing w:val="-4"/>
                <w:sz w:val="24"/>
                <w:szCs w:val="24"/>
              </w:rPr>
              <w:t>30</w:t>
            </w:r>
          </w:p>
        </w:tc>
        <w:tc>
          <w:tcPr>
            <w:tcW w:w="1991" w:type="dxa"/>
            <w:gridSpan w:val="2"/>
            <w:vAlign w:val="top"/>
          </w:tcPr>
          <w:p w14:paraId="27279E27">
            <w:pPr>
              <w:spacing w:line="326" w:lineRule="auto"/>
              <w:rPr>
                <w:rFonts w:ascii="Arial"/>
                <w:sz w:val="21"/>
              </w:rPr>
            </w:pPr>
          </w:p>
          <w:p w14:paraId="77414C13">
            <w:pPr>
              <w:spacing w:line="326" w:lineRule="auto"/>
              <w:rPr>
                <w:rFonts w:ascii="Arial"/>
                <w:sz w:val="21"/>
              </w:rPr>
            </w:pPr>
          </w:p>
          <w:p w14:paraId="63F444AC">
            <w:pPr>
              <w:pStyle w:val="25"/>
              <w:spacing w:before="78" w:line="219" w:lineRule="auto"/>
              <w:ind w:left="663" w:leftChars="0"/>
              <w:rPr>
                <w:rFonts w:ascii="宋体" w:hAnsi="宋体" w:eastAsia="宋体" w:cs="宋体"/>
                <w:snapToGrid w:val="0"/>
                <w:color w:val="000000"/>
                <w:kern w:val="0"/>
                <w:sz w:val="24"/>
                <w:szCs w:val="24"/>
                <w:lang w:val="en-US" w:eastAsia="en-US" w:bidi="ar-SA"/>
              </w:rPr>
            </w:pPr>
            <w:r>
              <w:rPr>
                <w:spacing w:val="-3"/>
                <w:sz w:val="24"/>
                <w:szCs w:val="24"/>
              </w:rPr>
              <w:t>折扣价</w:t>
            </w:r>
          </w:p>
        </w:tc>
        <w:tc>
          <w:tcPr>
            <w:tcW w:w="6221" w:type="dxa"/>
            <w:vAlign w:val="top"/>
          </w:tcPr>
          <w:p w14:paraId="53115BC5">
            <w:pPr>
              <w:pStyle w:val="25"/>
              <w:spacing w:before="212" w:line="360" w:lineRule="auto"/>
              <w:ind w:left="111" w:right="102" w:firstLine="24"/>
              <w:jc w:val="both"/>
              <w:rPr>
                <w:sz w:val="24"/>
                <w:szCs w:val="24"/>
              </w:rPr>
            </w:pPr>
            <w:r>
              <w:rPr>
                <w:rFonts w:hint="eastAsia"/>
                <w:spacing w:val="-7"/>
                <w:sz w:val="24"/>
                <w:szCs w:val="24"/>
                <w:lang w:eastAsia="zh-CN"/>
              </w:rPr>
              <w:t>☑</w:t>
            </w:r>
            <w:r>
              <w:rPr>
                <w:spacing w:val="-7"/>
                <w:sz w:val="24"/>
                <w:szCs w:val="24"/>
              </w:rPr>
              <w:t>接受，</w:t>
            </w:r>
            <w:r>
              <w:rPr>
                <w:spacing w:val="-22"/>
                <w:sz w:val="24"/>
                <w:szCs w:val="24"/>
              </w:rPr>
              <w:t xml:space="preserve"> </w:t>
            </w:r>
            <w:r>
              <w:rPr>
                <w:spacing w:val="-7"/>
                <w:sz w:val="24"/>
                <w:szCs w:val="24"/>
              </w:rPr>
              <w:t>根据招标文件具体落实的政府采购政策给予的价</w:t>
            </w:r>
            <w:r>
              <w:rPr>
                <w:sz w:val="24"/>
                <w:szCs w:val="24"/>
              </w:rPr>
              <w:t xml:space="preserve"> </w:t>
            </w:r>
            <w:r>
              <w:rPr>
                <w:spacing w:val="-3"/>
                <w:sz w:val="24"/>
                <w:szCs w:val="24"/>
              </w:rPr>
              <w:t>格扣除比例及公共资源交易平台系统程序填报（招标文件</w:t>
            </w:r>
            <w:r>
              <w:rPr>
                <w:spacing w:val="7"/>
                <w:sz w:val="24"/>
                <w:szCs w:val="24"/>
              </w:rPr>
              <w:t>未给定格式或公共资源交易平台系统程序无设定格</w:t>
            </w:r>
            <w:r>
              <w:rPr>
                <w:rFonts w:ascii="宋体" w:hAnsi="宋体" w:eastAsia="宋体" w:cs="宋体"/>
                <w:spacing w:val="-3"/>
                <w:sz w:val="24"/>
                <w:szCs w:val="24"/>
              </w:rPr>
              <w:t>式的无须单独填报） ，该价格仅作为评标价使用，中标价和合</w:t>
            </w:r>
            <w:r>
              <w:rPr>
                <w:spacing w:val="-2"/>
                <w:sz w:val="24"/>
                <w:szCs w:val="24"/>
              </w:rPr>
              <w:t>同签约价仍以其投标文件中的投标报价为准</w:t>
            </w:r>
          </w:p>
          <w:p w14:paraId="60D0028B">
            <w:pPr>
              <w:pStyle w:val="25"/>
              <w:spacing w:line="360" w:lineRule="auto"/>
              <w:ind w:left="115" w:leftChars="0"/>
              <w:rPr>
                <w:rFonts w:ascii="宋体" w:hAnsi="宋体" w:eastAsia="宋体" w:cs="宋体"/>
                <w:snapToGrid w:val="0"/>
                <w:color w:val="000000"/>
                <w:kern w:val="0"/>
                <w:sz w:val="24"/>
                <w:szCs w:val="24"/>
                <w:lang w:val="en-US" w:eastAsia="en-US" w:bidi="ar-SA"/>
              </w:rPr>
            </w:pPr>
            <w:r>
              <w:rPr>
                <w:rFonts w:hint="eastAsia"/>
                <w:spacing w:val="-5"/>
                <w:sz w:val="24"/>
                <w:szCs w:val="24"/>
                <w:lang w:eastAsia="zh-CN"/>
              </w:rPr>
              <w:t>□</w:t>
            </w:r>
            <w:r>
              <w:rPr>
                <w:spacing w:val="-1"/>
                <w:sz w:val="24"/>
                <w:szCs w:val="24"/>
              </w:rPr>
              <w:t>不接受，本项目专门面向中小企业采购</w:t>
            </w:r>
          </w:p>
        </w:tc>
      </w:tr>
      <w:tr w14:paraId="64A5C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1536" w:hRule="atLeast"/>
        </w:trPr>
        <w:tc>
          <w:tcPr>
            <w:tcW w:w="821" w:type="dxa"/>
            <w:vAlign w:val="top"/>
          </w:tcPr>
          <w:p w14:paraId="41B66398">
            <w:pPr>
              <w:spacing w:line="251" w:lineRule="auto"/>
              <w:rPr>
                <w:rFonts w:ascii="Arial"/>
                <w:sz w:val="21"/>
              </w:rPr>
            </w:pPr>
          </w:p>
          <w:p w14:paraId="736BD5F3">
            <w:pPr>
              <w:pStyle w:val="25"/>
              <w:spacing w:before="78" w:line="182" w:lineRule="auto"/>
              <w:ind w:left="297" w:leftChars="0"/>
              <w:rPr>
                <w:spacing w:val="-4"/>
                <w:sz w:val="24"/>
                <w:szCs w:val="24"/>
              </w:rPr>
            </w:pPr>
          </w:p>
          <w:p w14:paraId="0DB76B8F">
            <w:pPr>
              <w:pStyle w:val="25"/>
              <w:spacing w:before="78" w:line="182" w:lineRule="auto"/>
              <w:ind w:left="297" w:leftChars="0"/>
              <w:rPr>
                <w:rFonts w:ascii="宋体" w:hAnsi="宋体" w:eastAsia="宋体" w:cs="宋体"/>
                <w:snapToGrid w:val="0"/>
                <w:color w:val="000000"/>
                <w:kern w:val="0"/>
                <w:sz w:val="24"/>
                <w:szCs w:val="24"/>
                <w:lang w:val="en-US" w:eastAsia="en-US" w:bidi="ar-SA"/>
              </w:rPr>
            </w:pPr>
            <w:r>
              <w:rPr>
                <w:spacing w:val="-4"/>
                <w:sz w:val="24"/>
                <w:szCs w:val="24"/>
              </w:rPr>
              <w:t>31</w:t>
            </w:r>
          </w:p>
        </w:tc>
        <w:tc>
          <w:tcPr>
            <w:tcW w:w="1991" w:type="dxa"/>
            <w:gridSpan w:val="2"/>
            <w:vAlign w:val="top"/>
          </w:tcPr>
          <w:p w14:paraId="3BDEC9B6">
            <w:pPr>
              <w:pStyle w:val="25"/>
              <w:spacing w:before="205" w:line="220" w:lineRule="auto"/>
              <w:ind w:left="182"/>
              <w:rPr>
                <w:sz w:val="24"/>
                <w:szCs w:val="24"/>
              </w:rPr>
            </w:pPr>
            <w:r>
              <w:rPr>
                <w:spacing w:val="-2"/>
                <w:sz w:val="24"/>
                <w:szCs w:val="24"/>
              </w:rPr>
              <w:t>本项目中小企业</w:t>
            </w:r>
          </w:p>
          <w:p w14:paraId="5A155E7B">
            <w:pPr>
              <w:pStyle w:val="25"/>
              <w:spacing w:before="234" w:line="221" w:lineRule="auto"/>
              <w:ind w:left="180"/>
              <w:rPr>
                <w:sz w:val="24"/>
                <w:szCs w:val="24"/>
              </w:rPr>
            </w:pPr>
            <w:r>
              <w:rPr>
                <w:spacing w:val="-2"/>
                <w:sz w:val="24"/>
                <w:szCs w:val="24"/>
              </w:rPr>
              <w:t>划分标准所属行</w:t>
            </w:r>
          </w:p>
          <w:p w14:paraId="1C2DCEE2">
            <w:pPr>
              <w:pStyle w:val="25"/>
              <w:spacing w:before="232" w:line="233" w:lineRule="auto"/>
              <w:ind w:left="900" w:leftChars="0"/>
              <w:rPr>
                <w:rFonts w:ascii="宋体" w:hAnsi="宋体" w:eastAsia="宋体" w:cs="宋体"/>
                <w:snapToGrid w:val="0"/>
                <w:color w:val="000000"/>
                <w:kern w:val="0"/>
                <w:sz w:val="24"/>
                <w:szCs w:val="24"/>
                <w:lang w:val="en-US" w:eastAsia="en-US" w:bidi="ar-SA"/>
              </w:rPr>
            </w:pPr>
            <w:r>
              <w:rPr>
                <w:sz w:val="24"/>
                <w:szCs w:val="24"/>
              </w:rPr>
              <w:t>业</w:t>
            </w:r>
          </w:p>
        </w:tc>
        <w:tc>
          <w:tcPr>
            <w:tcW w:w="6221" w:type="dxa"/>
            <w:vAlign w:val="top"/>
          </w:tcPr>
          <w:p w14:paraId="6E1BBA30">
            <w:pPr>
              <w:spacing w:line="322" w:lineRule="auto"/>
              <w:rPr>
                <w:rFonts w:ascii="Arial"/>
                <w:sz w:val="21"/>
              </w:rPr>
            </w:pPr>
          </w:p>
          <w:p w14:paraId="52244A70">
            <w:pPr>
              <w:spacing w:line="322" w:lineRule="auto"/>
              <w:rPr>
                <w:rFonts w:ascii="Arial"/>
                <w:sz w:val="21"/>
              </w:rPr>
            </w:pPr>
          </w:p>
          <w:p w14:paraId="1F489FFD">
            <w:pPr>
              <w:pStyle w:val="25"/>
              <w:spacing w:before="78" w:line="220" w:lineRule="auto"/>
              <w:ind w:left="112" w:leftChars="0"/>
              <w:rPr>
                <w:rFonts w:ascii="宋体" w:hAnsi="宋体" w:eastAsia="宋体" w:cs="宋体"/>
                <w:snapToGrid w:val="0"/>
                <w:color w:val="000000"/>
                <w:kern w:val="0"/>
                <w:sz w:val="24"/>
                <w:szCs w:val="24"/>
                <w:lang w:val="en-US" w:eastAsia="en-US" w:bidi="ar-SA"/>
              </w:rPr>
            </w:pPr>
            <w:r>
              <w:rPr>
                <w:spacing w:val="-2"/>
                <w:sz w:val="24"/>
                <w:szCs w:val="24"/>
              </w:rPr>
              <w:t>其他未列明行业</w:t>
            </w:r>
          </w:p>
        </w:tc>
      </w:tr>
      <w:tr w14:paraId="3415F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1536" w:hRule="atLeast"/>
        </w:trPr>
        <w:tc>
          <w:tcPr>
            <w:tcW w:w="821" w:type="dxa"/>
            <w:vAlign w:val="top"/>
          </w:tcPr>
          <w:p w14:paraId="3F782024">
            <w:pPr>
              <w:spacing w:line="244" w:lineRule="auto"/>
              <w:rPr>
                <w:rFonts w:ascii="Arial"/>
                <w:sz w:val="21"/>
              </w:rPr>
            </w:pPr>
          </w:p>
          <w:p w14:paraId="01F3B7B4">
            <w:pPr>
              <w:spacing w:line="244" w:lineRule="auto"/>
              <w:rPr>
                <w:rFonts w:ascii="Arial"/>
                <w:sz w:val="21"/>
              </w:rPr>
            </w:pPr>
          </w:p>
          <w:p w14:paraId="6E5B6F18">
            <w:pPr>
              <w:spacing w:line="244" w:lineRule="auto"/>
              <w:rPr>
                <w:rFonts w:ascii="Arial"/>
                <w:sz w:val="21"/>
              </w:rPr>
            </w:pPr>
          </w:p>
          <w:p w14:paraId="786C7C09">
            <w:pPr>
              <w:spacing w:line="244" w:lineRule="auto"/>
              <w:rPr>
                <w:rFonts w:ascii="Arial"/>
                <w:sz w:val="21"/>
              </w:rPr>
            </w:pPr>
          </w:p>
          <w:p w14:paraId="55A646E8">
            <w:pPr>
              <w:spacing w:line="245" w:lineRule="auto"/>
              <w:rPr>
                <w:rFonts w:ascii="Arial"/>
                <w:sz w:val="21"/>
              </w:rPr>
            </w:pPr>
          </w:p>
          <w:p w14:paraId="160B5C03">
            <w:pPr>
              <w:spacing w:line="245" w:lineRule="auto"/>
              <w:rPr>
                <w:rFonts w:ascii="Arial"/>
                <w:sz w:val="21"/>
              </w:rPr>
            </w:pPr>
          </w:p>
          <w:p w14:paraId="1AF4137E">
            <w:pPr>
              <w:pStyle w:val="25"/>
              <w:spacing w:before="78" w:line="181" w:lineRule="auto"/>
              <w:ind w:left="297" w:leftChars="0"/>
              <w:rPr>
                <w:rFonts w:hint="eastAsia" w:ascii="宋体" w:hAnsi="宋体" w:eastAsia="宋体" w:cs="宋体"/>
                <w:snapToGrid w:val="0"/>
                <w:color w:val="000000"/>
                <w:kern w:val="0"/>
                <w:sz w:val="24"/>
                <w:szCs w:val="24"/>
                <w:lang w:val="en-US" w:eastAsia="zh-CN" w:bidi="ar-SA"/>
              </w:rPr>
            </w:pPr>
            <w:r>
              <w:rPr>
                <w:spacing w:val="-4"/>
                <w:sz w:val="24"/>
                <w:szCs w:val="24"/>
              </w:rPr>
              <w:t>3</w:t>
            </w:r>
            <w:r>
              <w:rPr>
                <w:rFonts w:hint="eastAsia"/>
                <w:spacing w:val="-4"/>
                <w:sz w:val="24"/>
                <w:szCs w:val="24"/>
                <w:lang w:val="en-US" w:eastAsia="zh-CN"/>
              </w:rPr>
              <w:t>2</w:t>
            </w:r>
          </w:p>
        </w:tc>
        <w:tc>
          <w:tcPr>
            <w:tcW w:w="1991" w:type="dxa"/>
            <w:gridSpan w:val="2"/>
            <w:vAlign w:val="top"/>
          </w:tcPr>
          <w:p w14:paraId="625F1B8E">
            <w:pPr>
              <w:spacing w:line="249" w:lineRule="auto"/>
              <w:rPr>
                <w:rFonts w:ascii="Arial"/>
                <w:sz w:val="21"/>
              </w:rPr>
            </w:pPr>
          </w:p>
          <w:p w14:paraId="3A6D730C">
            <w:pPr>
              <w:spacing w:line="249" w:lineRule="auto"/>
              <w:rPr>
                <w:rFonts w:ascii="Arial"/>
                <w:sz w:val="21"/>
              </w:rPr>
            </w:pPr>
          </w:p>
          <w:p w14:paraId="535C1E0A">
            <w:pPr>
              <w:spacing w:line="249" w:lineRule="auto"/>
              <w:rPr>
                <w:rFonts w:ascii="Arial"/>
                <w:sz w:val="21"/>
              </w:rPr>
            </w:pPr>
          </w:p>
          <w:p w14:paraId="17829F67">
            <w:pPr>
              <w:spacing w:line="249" w:lineRule="auto"/>
              <w:rPr>
                <w:rFonts w:ascii="Arial"/>
                <w:sz w:val="21"/>
              </w:rPr>
            </w:pPr>
          </w:p>
          <w:p w14:paraId="663A80D0">
            <w:pPr>
              <w:spacing w:line="249" w:lineRule="auto"/>
              <w:rPr>
                <w:rFonts w:ascii="Arial"/>
                <w:sz w:val="21"/>
              </w:rPr>
            </w:pPr>
          </w:p>
          <w:p w14:paraId="72BCB4D3">
            <w:pPr>
              <w:spacing w:line="249" w:lineRule="auto"/>
              <w:rPr>
                <w:rFonts w:ascii="Arial"/>
                <w:sz w:val="21"/>
              </w:rPr>
            </w:pPr>
          </w:p>
          <w:p w14:paraId="5586FECA">
            <w:pPr>
              <w:spacing w:line="250" w:lineRule="auto"/>
              <w:rPr>
                <w:rFonts w:ascii="Arial"/>
                <w:sz w:val="21"/>
              </w:rPr>
            </w:pPr>
          </w:p>
          <w:p w14:paraId="59F9FD02">
            <w:pPr>
              <w:pStyle w:val="25"/>
              <w:spacing w:before="78" w:line="221" w:lineRule="auto"/>
              <w:ind w:left="422" w:leftChars="0"/>
              <w:rPr>
                <w:rFonts w:ascii="宋体" w:hAnsi="宋体" w:eastAsia="宋体" w:cs="宋体"/>
                <w:snapToGrid w:val="0"/>
                <w:color w:val="000000"/>
                <w:kern w:val="0"/>
                <w:sz w:val="24"/>
                <w:szCs w:val="24"/>
                <w:lang w:val="en-US" w:eastAsia="en-US" w:bidi="ar-SA"/>
              </w:rPr>
            </w:pPr>
            <w:r>
              <w:rPr>
                <w:spacing w:val="-2"/>
                <w:sz w:val="24"/>
                <w:szCs w:val="24"/>
              </w:rPr>
              <w:t>质疑和投诉</w:t>
            </w:r>
          </w:p>
        </w:tc>
        <w:tc>
          <w:tcPr>
            <w:tcW w:w="6221" w:type="dxa"/>
            <w:vAlign w:val="top"/>
          </w:tcPr>
          <w:p w14:paraId="0ED80001">
            <w:pPr>
              <w:pStyle w:val="25"/>
              <w:spacing w:before="206" w:line="400" w:lineRule="auto"/>
              <w:ind w:left="110" w:right="37" w:firstLine="2"/>
              <w:rPr>
                <w:rFonts w:ascii="宋体" w:hAnsi="宋体" w:eastAsia="宋体" w:cs="宋体"/>
                <w:snapToGrid w:val="0"/>
                <w:color w:val="000000"/>
                <w:kern w:val="0"/>
                <w:sz w:val="24"/>
                <w:szCs w:val="24"/>
                <w:lang w:val="en-US" w:eastAsia="en-US" w:bidi="ar-SA"/>
              </w:rPr>
            </w:pPr>
            <w:r>
              <w:rPr>
                <w:spacing w:val="-7"/>
                <w:sz w:val="24"/>
                <w:szCs w:val="24"/>
              </w:rPr>
              <w:t>参与本次采购活动的</w:t>
            </w:r>
            <w:r>
              <w:rPr>
                <w:rFonts w:hint="eastAsia"/>
                <w:spacing w:val="-7"/>
                <w:sz w:val="24"/>
                <w:szCs w:val="24"/>
                <w:lang w:eastAsia="zh-CN"/>
              </w:rPr>
              <w:t>供应商</w:t>
            </w:r>
            <w:r>
              <w:rPr>
                <w:spacing w:val="-7"/>
                <w:sz w:val="24"/>
                <w:szCs w:val="24"/>
              </w:rPr>
              <w:t>如有异议， 可在各环节法定质</w:t>
            </w:r>
            <w:r>
              <w:rPr>
                <w:spacing w:val="7"/>
                <w:sz w:val="24"/>
                <w:szCs w:val="24"/>
              </w:rPr>
              <w:t xml:space="preserve"> </w:t>
            </w:r>
            <w:r>
              <w:rPr>
                <w:spacing w:val="8"/>
                <w:sz w:val="24"/>
                <w:szCs w:val="24"/>
              </w:rPr>
              <w:t>疑期内向采购代理机构一次性提出针对该采购</w:t>
            </w:r>
            <w:r>
              <w:rPr>
                <w:spacing w:val="7"/>
                <w:sz w:val="24"/>
                <w:szCs w:val="24"/>
              </w:rPr>
              <w:t>程序环节</w:t>
            </w:r>
            <w:r>
              <w:rPr>
                <w:sz w:val="24"/>
                <w:szCs w:val="24"/>
              </w:rPr>
              <w:t xml:space="preserve"> </w:t>
            </w:r>
            <w:r>
              <w:rPr>
                <w:spacing w:val="-7"/>
                <w:sz w:val="24"/>
                <w:szCs w:val="24"/>
              </w:rPr>
              <w:t>的书面质疑函， 书面原件送达至招标文件列示的采购代理</w:t>
            </w:r>
            <w:r>
              <w:rPr>
                <w:spacing w:val="10"/>
                <w:sz w:val="24"/>
                <w:szCs w:val="24"/>
              </w:rPr>
              <w:t xml:space="preserve"> </w:t>
            </w:r>
            <w:r>
              <w:rPr>
                <w:spacing w:val="-2"/>
                <w:sz w:val="24"/>
                <w:szCs w:val="24"/>
              </w:rPr>
              <w:t>机构及采购单位联系人处；依据法规规定，质疑函应</w:t>
            </w:r>
            <w:r>
              <w:rPr>
                <w:spacing w:val="-3"/>
                <w:sz w:val="24"/>
                <w:szCs w:val="24"/>
              </w:rPr>
              <w:t>当有</w:t>
            </w:r>
            <w:r>
              <w:rPr>
                <w:sz w:val="24"/>
                <w:szCs w:val="24"/>
              </w:rPr>
              <w:t xml:space="preserve"> </w:t>
            </w:r>
            <w:r>
              <w:rPr>
                <w:spacing w:val="-2"/>
                <w:sz w:val="24"/>
                <w:szCs w:val="24"/>
              </w:rPr>
              <w:t>明确的请求和必要的证明材料，应当包括下列内容：1.投</w:t>
            </w:r>
            <w:r>
              <w:rPr>
                <w:sz w:val="24"/>
                <w:szCs w:val="24"/>
              </w:rPr>
              <w:t xml:space="preserve"> </w:t>
            </w:r>
            <w:r>
              <w:rPr>
                <w:spacing w:val="-3"/>
                <w:sz w:val="24"/>
                <w:szCs w:val="24"/>
              </w:rPr>
              <w:t>标人的姓名或者名称、地址、邮编、联系人及联系电话；</w:t>
            </w:r>
            <w:r>
              <w:rPr>
                <w:spacing w:val="10"/>
                <w:sz w:val="24"/>
                <w:szCs w:val="24"/>
              </w:rPr>
              <w:t xml:space="preserve"> </w:t>
            </w:r>
            <w:r>
              <w:rPr>
                <w:spacing w:val="-2"/>
                <w:sz w:val="24"/>
                <w:szCs w:val="24"/>
              </w:rPr>
              <w:t>2.质疑项目的名称、编号；3.具体、明确的质疑事项和与</w:t>
            </w:r>
            <w:r>
              <w:rPr>
                <w:spacing w:val="2"/>
                <w:sz w:val="24"/>
                <w:szCs w:val="24"/>
              </w:rPr>
              <w:t xml:space="preserve"> </w:t>
            </w:r>
            <w:r>
              <w:rPr>
                <w:spacing w:val="-17"/>
                <w:sz w:val="24"/>
                <w:szCs w:val="24"/>
              </w:rPr>
              <w:t>质疑事项相关的请求；</w:t>
            </w:r>
            <w:r>
              <w:rPr>
                <w:spacing w:val="80"/>
                <w:sz w:val="24"/>
                <w:szCs w:val="24"/>
              </w:rPr>
              <w:t xml:space="preserve"> </w:t>
            </w:r>
            <w:r>
              <w:rPr>
                <w:spacing w:val="-17"/>
                <w:sz w:val="24"/>
                <w:szCs w:val="24"/>
              </w:rPr>
              <w:t>4.事实依据；</w:t>
            </w:r>
            <w:r>
              <w:rPr>
                <w:spacing w:val="69"/>
                <w:sz w:val="24"/>
                <w:szCs w:val="24"/>
              </w:rPr>
              <w:t xml:space="preserve"> </w:t>
            </w:r>
            <w:r>
              <w:rPr>
                <w:spacing w:val="-17"/>
                <w:sz w:val="24"/>
                <w:szCs w:val="24"/>
              </w:rPr>
              <w:t xml:space="preserve">5.必要的法律依据； </w:t>
            </w:r>
            <w:r>
              <w:rPr>
                <w:spacing w:val="-13"/>
                <w:sz w:val="24"/>
                <w:szCs w:val="24"/>
              </w:rPr>
              <w:t>6.提出质疑的日期。</w:t>
            </w:r>
            <w:r>
              <w:rPr>
                <w:rFonts w:hint="eastAsia"/>
                <w:spacing w:val="-13"/>
                <w:sz w:val="24"/>
                <w:szCs w:val="24"/>
                <w:lang w:eastAsia="zh-CN"/>
              </w:rPr>
              <w:t>供应商</w:t>
            </w:r>
            <w:r>
              <w:rPr>
                <w:spacing w:val="-13"/>
                <w:sz w:val="24"/>
                <w:szCs w:val="24"/>
              </w:rPr>
              <w:t>为自然人的， 应当由本人签字；</w:t>
            </w:r>
            <w:r>
              <w:rPr>
                <w:spacing w:val="17"/>
                <w:sz w:val="24"/>
                <w:szCs w:val="24"/>
              </w:rPr>
              <w:t xml:space="preserve"> </w:t>
            </w:r>
            <w:r>
              <w:rPr>
                <w:rFonts w:hint="eastAsia"/>
                <w:spacing w:val="-9"/>
                <w:sz w:val="24"/>
                <w:szCs w:val="24"/>
                <w:lang w:eastAsia="zh-CN"/>
              </w:rPr>
              <w:t>供应商</w:t>
            </w:r>
            <w:r>
              <w:rPr>
                <w:spacing w:val="-9"/>
                <w:sz w:val="24"/>
                <w:szCs w:val="24"/>
              </w:rPr>
              <w:t>为法人或者其他组织的，</w:t>
            </w:r>
            <w:r>
              <w:rPr>
                <w:spacing w:val="53"/>
                <w:sz w:val="24"/>
                <w:szCs w:val="24"/>
              </w:rPr>
              <w:t xml:space="preserve"> </w:t>
            </w:r>
            <w:r>
              <w:rPr>
                <w:spacing w:val="-9"/>
                <w:sz w:val="24"/>
                <w:szCs w:val="24"/>
              </w:rPr>
              <w:t>应当由法定代表人、主要</w:t>
            </w:r>
            <w:r>
              <w:rPr>
                <w:sz w:val="24"/>
                <w:szCs w:val="24"/>
              </w:rPr>
              <w:t xml:space="preserve"> </w:t>
            </w:r>
            <w:r>
              <w:rPr>
                <w:spacing w:val="-13"/>
                <w:sz w:val="24"/>
                <w:szCs w:val="24"/>
              </w:rPr>
              <w:t>负责人， 或者其授权代表签字或者盖章，</w:t>
            </w:r>
            <w:r>
              <w:rPr>
                <w:spacing w:val="52"/>
                <w:sz w:val="24"/>
                <w:szCs w:val="24"/>
              </w:rPr>
              <w:t xml:space="preserve"> </w:t>
            </w:r>
            <w:r>
              <w:rPr>
                <w:spacing w:val="-13"/>
                <w:sz w:val="24"/>
                <w:szCs w:val="24"/>
              </w:rPr>
              <w:t>并</w:t>
            </w:r>
            <w:r>
              <w:rPr>
                <w:spacing w:val="-14"/>
                <w:sz w:val="24"/>
                <w:szCs w:val="24"/>
              </w:rPr>
              <w:t>加盖公章。如</w:t>
            </w:r>
            <w:r>
              <w:rPr>
                <w:sz w:val="24"/>
                <w:szCs w:val="24"/>
              </w:rPr>
              <w:t xml:space="preserve"> </w:t>
            </w:r>
            <w:r>
              <w:rPr>
                <w:spacing w:val="-7"/>
                <w:sz w:val="24"/>
                <w:szCs w:val="24"/>
              </w:rPr>
              <w:t>对采购代理机构的答复仍有异议的， 可向招标文件列示的</w:t>
            </w:r>
            <w:r>
              <w:rPr>
                <w:spacing w:val="10"/>
                <w:sz w:val="24"/>
                <w:szCs w:val="24"/>
              </w:rPr>
              <w:t xml:space="preserve"> </w:t>
            </w:r>
            <w:r>
              <w:rPr>
                <w:spacing w:val="-3"/>
                <w:sz w:val="24"/>
                <w:szCs w:val="24"/>
              </w:rPr>
              <w:t>监督部门提出书面投诉。（具体程序按照《政府采购质疑和投诉办法》执行）</w:t>
            </w:r>
          </w:p>
        </w:tc>
      </w:tr>
      <w:tr w14:paraId="2F72F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1536" w:hRule="atLeast"/>
        </w:trPr>
        <w:tc>
          <w:tcPr>
            <w:tcW w:w="821" w:type="dxa"/>
            <w:vAlign w:val="top"/>
          </w:tcPr>
          <w:p w14:paraId="7D72F9B7">
            <w:pPr>
              <w:spacing w:line="244" w:lineRule="auto"/>
              <w:rPr>
                <w:rFonts w:ascii="Arial"/>
                <w:sz w:val="21"/>
              </w:rPr>
            </w:pPr>
          </w:p>
          <w:p w14:paraId="14B3D3A1">
            <w:pPr>
              <w:spacing w:line="244" w:lineRule="auto"/>
              <w:rPr>
                <w:rFonts w:ascii="Arial"/>
                <w:sz w:val="21"/>
              </w:rPr>
            </w:pPr>
          </w:p>
          <w:p w14:paraId="361AB914">
            <w:pPr>
              <w:spacing w:line="244" w:lineRule="auto"/>
              <w:rPr>
                <w:rFonts w:ascii="Arial"/>
                <w:sz w:val="21"/>
              </w:rPr>
            </w:pPr>
          </w:p>
          <w:p w14:paraId="6327269A">
            <w:pPr>
              <w:spacing w:line="244" w:lineRule="auto"/>
              <w:rPr>
                <w:rFonts w:ascii="Arial"/>
                <w:sz w:val="21"/>
              </w:rPr>
            </w:pPr>
          </w:p>
          <w:p w14:paraId="064D7313">
            <w:pPr>
              <w:spacing w:line="245" w:lineRule="auto"/>
              <w:rPr>
                <w:rFonts w:ascii="Arial"/>
                <w:sz w:val="21"/>
              </w:rPr>
            </w:pPr>
          </w:p>
          <w:p w14:paraId="07CF5FE5">
            <w:pPr>
              <w:spacing w:line="245" w:lineRule="auto"/>
              <w:rPr>
                <w:rFonts w:ascii="Arial"/>
                <w:sz w:val="21"/>
              </w:rPr>
            </w:pPr>
          </w:p>
          <w:p w14:paraId="32B6A050">
            <w:pPr>
              <w:pStyle w:val="25"/>
              <w:spacing w:before="78" w:line="181" w:lineRule="auto"/>
              <w:ind w:left="297" w:leftChars="0"/>
              <w:rPr>
                <w:rFonts w:hint="eastAsia" w:ascii="宋体" w:hAnsi="宋体" w:eastAsia="宋体" w:cs="宋体"/>
                <w:snapToGrid w:val="0"/>
                <w:color w:val="000000"/>
                <w:kern w:val="0"/>
                <w:sz w:val="24"/>
                <w:szCs w:val="24"/>
                <w:lang w:val="en-US" w:eastAsia="zh-CN" w:bidi="ar-SA"/>
              </w:rPr>
            </w:pPr>
            <w:r>
              <w:rPr>
                <w:spacing w:val="-4"/>
                <w:sz w:val="24"/>
                <w:szCs w:val="24"/>
              </w:rPr>
              <w:t>3</w:t>
            </w:r>
            <w:r>
              <w:rPr>
                <w:rFonts w:hint="eastAsia"/>
                <w:spacing w:val="-4"/>
                <w:sz w:val="24"/>
                <w:szCs w:val="24"/>
                <w:lang w:val="en-US" w:eastAsia="zh-CN"/>
              </w:rPr>
              <w:t>3</w:t>
            </w:r>
          </w:p>
        </w:tc>
        <w:tc>
          <w:tcPr>
            <w:tcW w:w="1991" w:type="dxa"/>
            <w:gridSpan w:val="2"/>
            <w:vAlign w:val="top"/>
          </w:tcPr>
          <w:p w14:paraId="2B243E80">
            <w:pPr>
              <w:spacing w:line="291" w:lineRule="auto"/>
              <w:rPr>
                <w:rFonts w:ascii="Arial"/>
                <w:sz w:val="21"/>
              </w:rPr>
            </w:pPr>
          </w:p>
          <w:p w14:paraId="2EEB7DD1">
            <w:pPr>
              <w:spacing w:line="292" w:lineRule="auto"/>
              <w:rPr>
                <w:rFonts w:ascii="Arial"/>
                <w:sz w:val="21"/>
              </w:rPr>
            </w:pPr>
          </w:p>
          <w:p w14:paraId="394E69F2">
            <w:pPr>
              <w:spacing w:line="292" w:lineRule="auto"/>
              <w:rPr>
                <w:rFonts w:ascii="Arial"/>
                <w:sz w:val="21"/>
              </w:rPr>
            </w:pPr>
          </w:p>
          <w:p w14:paraId="40279B9C">
            <w:pPr>
              <w:spacing w:line="292" w:lineRule="auto"/>
              <w:rPr>
                <w:rFonts w:ascii="Arial"/>
                <w:sz w:val="21"/>
              </w:rPr>
            </w:pPr>
          </w:p>
          <w:p w14:paraId="0736A7C4">
            <w:pPr>
              <w:pStyle w:val="25"/>
              <w:spacing w:before="78" w:line="520" w:lineRule="exact"/>
              <w:ind w:left="662"/>
              <w:rPr>
                <w:sz w:val="24"/>
                <w:szCs w:val="24"/>
              </w:rPr>
            </w:pPr>
            <w:r>
              <w:rPr>
                <w:spacing w:val="-3"/>
                <w:position w:val="21"/>
                <w:sz w:val="24"/>
                <w:szCs w:val="24"/>
              </w:rPr>
              <w:t>招标代</w:t>
            </w:r>
          </w:p>
          <w:p w14:paraId="25931CE3">
            <w:pPr>
              <w:pStyle w:val="25"/>
              <w:spacing w:line="220" w:lineRule="auto"/>
              <w:ind w:left="544" w:leftChars="0"/>
              <w:rPr>
                <w:rFonts w:ascii="宋体" w:hAnsi="宋体" w:eastAsia="宋体" w:cs="宋体"/>
                <w:snapToGrid w:val="0"/>
                <w:color w:val="000000"/>
                <w:kern w:val="0"/>
                <w:sz w:val="24"/>
                <w:szCs w:val="24"/>
                <w:lang w:val="en-US" w:eastAsia="en-US" w:bidi="ar-SA"/>
              </w:rPr>
            </w:pPr>
            <w:r>
              <w:rPr>
                <w:spacing w:val="-3"/>
                <w:sz w:val="24"/>
                <w:szCs w:val="24"/>
              </w:rPr>
              <w:t>理服务费</w:t>
            </w:r>
          </w:p>
        </w:tc>
        <w:tc>
          <w:tcPr>
            <w:tcW w:w="6221" w:type="dxa"/>
            <w:vAlign w:val="top"/>
          </w:tcPr>
          <w:p w14:paraId="77D836C4">
            <w:pPr>
              <w:pStyle w:val="25"/>
              <w:spacing w:before="212" w:line="400" w:lineRule="auto"/>
              <w:ind w:left="110" w:firstLine="2"/>
              <w:jc w:val="left"/>
              <w:rPr>
                <w:rFonts w:ascii="宋体" w:hAnsi="宋体" w:eastAsia="宋体" w:cs="宋体"/>
                <w:snapToGrid w:val="0"/>
                <w:color w:val="000000"/>
                <w:kern w:val="0"/>
                <w:sz w:val="24"/>
                <w:szCs w:val="24"/>
                <w:lang w:val="en-US" w:eastAsia="en-US" w:bidi="ar-SA"/>
              </w:rPr>
            </w:pPr>
            <w:r>
              <w:rPr>
                <w:spacing w:val="-4"/>
                <w:sz w:val="24"/>
                <w:szCs w:val="24"/>
              </w:rPr>
              <w:t>参照</w:t>
            </w:r>
            <w:r>
              <w:rPr>
                <w:spacing w:val="24"/>
                <w:sz w:val="24"/>
                <w:szCs w:val="24"/>
              </w:rPr>
              <w:t>《</w:t>
            </w:r>
            <w:r>
              <w:rPr>
                <w:spacing w:val="-56"/>
                <w:sz w:val="24"/>
                <w:szCs w:val="24"/>
              </w:rPr>
              <w:t xml:space="preserve"> </w:t>
            </w:r>
            <w:r>
              <w:rPr>
                <w:spacing w:val="-2"/>
                <w:sz w:val="24"/>
                <w:szCs w:val="24"/>
              </w:rPr>
              <w:t>河南省招标代理服务收费指</w:t>
            </w:r>
            <w:r>
              <w:rPr>
                <w:spacing w:val="24"/>
                <w:sz w:val="24"/>
                <w:szCs w:val="24"/>
              </w:rPr>
              <w:t>导意见</w:t>
            </w:r>
            <w:r>
              <w:rPr>
                <w:spacing w:val="-66"/>
                <w:sz w:val="24"/>
                <w:szCs w:val="24"/>
              </w:rPr>
              <w:t xml:space="preserve"> </w:t>
            </w:r>
            <w:r>
              <w:rPr>
                <w:spacing w:val="24"/>
                <w:sz w:val="24"/>
                <w:szCs w:val="24"/>
              </w:rPr>
              <w:t xml:space="preserve">》豫招协 </w:t>
            </w:r>
            <w:r>
              <w:rPr>
                <w:spacing w:val="-2"/>
                <w:sz w:val="24"/>
                <w:szCs w:val="24"/>
              </w:rPr>
              <w:t>〔2023〕002 号文规定的招标代理服务收费计算标准计取，由中标人在领取中标通知书前向采购代理机构交纳， 采购代理服务费计入报价， 投标文件中不得单独列项。上述收 费标准之间如有不一致或冲突的， 则以有利于采购代理机构的原则实施</w:t>
            </w:r>
          </w:p>
        </w:tc>
      </w:tr>
      <w:tr w14:paraId="53F64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1536" w:hRule="atLeast"/>
        </w:trPr>
        <w:tc>
          <w:tcPr>
            <w:tcW w:w="821" w:type="dxa"/>
            <w:vAlign w:val="top"/>
          </w:tcPr>
          <w:p w14:paraId="53C8EDF9">
            <w:pPr>
              <w:spacing w:line="243" w:lineRule="auto"/>
              <w:rPr>
                <w:rFonts w:ascii="Arial"/>
                <w:sz w:val="21"/>
              </w:rPr>
            </w:pPr>
          </w:p>
          <w:p w14:paraId="1294949D">
            <w:pPr>
              <w:spacing w:line="243" w:lineRule="auto"/>
              <w:rPr>
                <w:rFonts w:ascii="Arial"/>
                <w:sz w:val="21"/>
              </w:rPr>
            </w:pPr>
          </w:p>
          <w:p w14:paraId="6542E510">
            <w:pPr>
              <w:spacing w:line="243" w:lineRule="auto"/>
              <w:rPr>
                <w:rFonts w:ascii="Arial"/>
                <w:sz w:val="21"/>
              </w:rPr>
            </w:pPr>
          </w:p>
          <w:p w14:paraId="420FE7FF">
            <w:pPr>
              <w:spacing w:line="244" w:lineRule="auto"/>
              <w:rPr>
                <w:rFonts w:ascii="Arial"/>
                <w:sz w:val="21"/>
              </w:rPr>
            </w:pPr>
          </w:p>
          <w:p w14:paraId="299AB0AB">
            <w:pPr>
              <w:spacing w:line="244" w:lineRule="auto"/>
              <w:rPr>
                <w:rFonts w:ascii="Arial"/>
                <w:sz w:val="21"/>
              </w:rPr>
            </w:pPr>
          </w:p>
          <w:p w14:paraId="5260F40A">
            <w:pPr>
              <w:spacing w:line="244" w:lineRule="auto"/>
              <w:rPr>
                <w:rFonts w:ascii="Arial"/>
                <w:sz w:val="21"/>
              </w:rPr>
            </w:pPr>
          </w:p>
          <w:p w14:paraId="6551FB73">
            <w:pPr>
              <w:spacing w:line="244" w:lineRule="auto"/>
              <w:rPr>
                <w:rFonts w:ascii="Arial"/>
                <w:sz w:val="21"/>
              </w:rPr>
            </w:pPr>
          </w:p>
          <w:p w14:paraId="410DA4DA">
            <w:pPr>
              <w:spacing w:line="244" w:lineRule="auto"/>
              <w:rPr>
                <w:rFonts w:ascii="Arial"/>
                <w:sz w:val="21"/>
              </w:rPr>
            </w:pPr>
          </w:p>
          <w:p w14:paraId="12E291DC">
            <w:pPr>
              <w:spacing w:line="244" w:lineRule="auto"/>
              <w:rPr>
                <w:rFonts w:ascii="Arial"/>
                <w:sz w:val="21"/>
              </w:rPr>
            </w:pPr>
          </w:p>
          <w:p w14:paraId="0E90F40D">
            <w:pPr>
              <w:spacing w:line="244" w:lineRule="auto"/>
              <w:rPr>
                <w:rFonts w:ascii="Arial"/>
                <w:sz w:val="21"/>
              </w:rPr>
            </w:pPr>
          </w:p>
          <w:p w14:paraId="17E5C1C8">
            <w:pPr>
              <w:spacing w:line="244" w:lineRule="auto"/>
              <w:rPr>
                <w:rFonts w:ascii="Arial"/>
                <w:sz w:val="21"/>
              </w:rPr>
            </w:pPr>
          </w:p>
          <w:p w14:paraId="1A0EE505">
            <w:pPr>
              <w:spacing w:line="244" w:lineRule="auto"/>
              <w:rPr>
                <w:rFonts w:ascii="Arial"/>
                <w:sz w:val="21"/>
              </w:rPr>
            </w:pPr>
          </w:p>
          <w:p w14:paraId="45FCCC8F">
            <w:pPr>
              <w:spacing w:line="244" w:lineRule="auto"/>
              <w:rPr>
                <w:rFonts w:ascii="Arial"/>
                <w:sz w:val="21"/>
              </w:rPr>
            </w:pPr>
          </w:p>
          <w:p w14:paraId="3769EE2C">
            <w:pPr>
              <w:spacing w:line="244" w:lineRule="auto"/>
              <w:rPr>
                <w:rFonts w:ascii="Arial"/>
                <w:sz w:val="21"/>
              </w:rPr>
            </w:pPr>
          </w:p>
          <w:p w14:paraId="748D38A3">
            <w:pPr>
              <w:spacing w:line="244" w:lineRule="auto"/>
              <w:rPr>
                <w:rFonts w:ascii="Arial"/>
                <w:sz w:val="21"/>
              </w:rPr>
            </w:pPr>
          </w:p>
          <w:p w14:paraId="15E6D065">
            <w:pPr>
              <w:spacing w:line="244" w:lineRule="auto"/>
              <w:rPr>
                <w:rFonts w:ascii="Arial"/>
                <w:sz w:val="21"/>
              </w:rPr>
            </w:pPr>
          </w:p>
          <w:p w14:paraId="3EB82CDF">
            <w:pPr>
              <w:spacing w:line="244" w:lineRule="auto"/>
              <w:rPr>
                <w:rFonts w:ascii="Arial"/>
                <w:sz w:val="21"/>
              </w:rPr>
            </w:pPr>
          </w:p>
          <w:p w14:paraId="071D095C">
            <w:pPr>
              <w:spacing w:line="244" w:lineRule="auto"/>
              <w:rPr>
                <w:rFonts w:ascii="Arial"/>
                <w:sz w:val="21"/>
              </w:rPr>
            </w:pPr>
          </w:p>
          <w:p w14:paraId="02DBECCB">
            <w:pPr>
              <w:spacing w:line="244" w:lineRule="auto"/>
              <w:rPr>
                <w:rFonts w:ascii="Arial"/>
                <w:sz w:val="21"/>
              </w:rPr>
            </w:pPr>
          </w:p>
          <w:p w14:paraId="5BCA0BAC">
            <w:pPr>
              <w:spacing w:line="244" w:lineRule="auto"/>
              <w:rPr>
                <w:rFonts w:ascii="Arial"/>
                <w:sz w:val="21"/>
              </w:rPr>
            </w:pPr>
          </w:p>
          <w:p w14:paraId="185FB8B7">
            <w:pPr>
              <w:spacing w:line="244" w:lineRule="auto"/>
              <w:rPr>
                <w:rFonts w:ascii="Arial"/>
                <w:sz w:val="21"/>
              </w:rPr>
            </w:pPr>
          </w:p>
          <w:p w14:paraId="12BB18B8">
            <w:pPr>
              <w:spacing w:line="244" w:lineRule="auto"/>
              <w:rPr>
                <w:rFonts w:ascii="Arial"/>
                <w:sz w:val="21"/>
              </w:rPr>
            </w:pPr>
          </w:p>
          <w:p w14:paraId="590ACFE9">
            <w:pPr>
              <w:spacing w:line="244" w:lineRule="auto"/>
              <w:rPr>
                <w:rFonts w:ascii="Arial"/>
                <w:sz w:val="21"/>
              </w:rPr>
            </w:pPr>
          </w:p>
          <w:p w14:paraId="085A7C86">
            <w:pPr>
              <w:spacing w:line="244" w:lineRule="auto"/>
              <w:rPr>
                <w:rFonts w:ascii="Arial"/>
                <w:sz w:val="21"/>
              </w:rPr>
            </w:pPr>
          </w:p>
          <w:p w14:paraId="1C794EBE">
            <w:pPr>
              <w:pStyle w:val="25"/>
              <w:spacing w:before="78" w:line="181" w:lineRule="auto"/>
              <w:ind w:left="297" w:leftChars="0"/>
              <w:rPr>
                <w:rFonts w:hint="eastAsia" w:ascii="宋体" w:hAnsi="宋体" w:eastAsia="宋体" w:cs="宋体"/>
                <w:snapToGrid w:val="0"/>
                <w:color w:val="000000"/>
                <w:kern w:val="0"/>
                <w:sz w:val="24"/>
                <w:szCs w:val="24"/>
                <w:lang w:val="en-US" w:eastAsia="zh-CN" w:bidi="ar-SA"/>
              </w:rPr>
            </w:pPr>
            <w:r>
              <w:rPr>
                <w:spacing w:val="-4"/>
                <w:sz w:val="24"/>
                <w:szCs w:val="24"/>
              </w:rPr>
              <w:t>3</w:t>
            </w:r>
            <w:r>
              <w:rPr>
                <w:rFonts w:hint="eastAsia"/>
                <w:spacing w:val="-4"/>
                <w:sz w:val="24"/>
                <w:szCs w:val="24"/>
                <w:lang w:val="en-US" w:eastAsia="zh-CN"/>
              </w:rPr>
              <w:t>4</w:t>
            </w:r>
          </w:p>
        </w:tc>
        <w:tc>
          <w:tcPr>
            <w:tcW w:w="1991" w:type="dxa"/>
            <w:gridSpan w:val="2"/>
            <w:vAlign w:val="top"/>
          </w:tcPr>
          <w:p w14:paraId="353FC455">
            <w:pPr>
              <w:spacing w:line="241" w:lineRule="auto"/>
              <w:rPr>
                <w:rFonts w:ascii="Arial"/>
                <w:sz w:val="21"/>
              </w:rPr>
            </w:pPr>
          </w:p>
          <w:p w14:paraId="12062E5D">
            <w:pPr>
              <w:spacing w:line="241" w:lineRule="auto"/>
              <w:rPr>
                <w:rFonts w:ascii="Arial"/>
                <w:sz w:val="21"/>
              </w:rPr>
            </w:pPr>
          </w:p>
          <w:p w14:paraId="5541CD3C">
            <w:pPr>
              <w:spacing w:line="241" w:lineRule="auto"/>
              <w:rPr>
                <w:rFonts w:ascii="Arial"/>
                <w:sz w:val="21"/>
              </w:rPr>
            </w:pPr>
          </w:p>
          <w:p w14:paraId="26CF3320">
            <w:pPr>
              <w:spacing w:line="241" w:lineRule="auto"/>
              <w:rPr>
                <w:rFonts w:ascii="Arial"/>
                <w:sz w:val="21"/>
              </w:rPr>
            </w:pPr>
          </w:p>
          <w:p w14:paraId="554E0122">
            <w:pPr>
              <w:spacing w:line="242" w:lineRule="auto"/>
              <w:rPr>
                <w:rFonts w:ascii="Arial"/>
                <w:sz w:val="21"/>
              </w:rPr>
            </w:pPr>
          </w:p>
          <w:p w14:paraId="0D913D17">
            <w:pPr>
              <w:spacing w:line="242" w:lineRule="auto"/>
              <w:rPr>
                <w:rFonts w:ascii="Arial"/>
                <w:sz w:val="21"/>
              </w:rPr>
            </w:pPr>
          </w:p>
          <w:p w14:paraId="7CB7C2A4">
            <w:pPr>
              <w:spacing w:line="242" w:lineRule="auto"/>
              <w:rPr>
                <w:rFonts w:ascii="Arial"/>
                <w:sz w:val="21"/>
              </w:rPr>
            </w:pPr>
          </w:p>
          <w:p w14:paraId="0BF906B3">
            <w:pPr>
              <w:spacing w:line="242" w:lineRule="auto"/>
              <w:rPr>
                <w:rFonts w:ascii="Arial"/>
                <w:sz w:val="21"/>
              </w:rPr>
            </w:pPr>
          </w:p>
          <w:p w14:paraId="4F86DC67">
            <w:pPr>
              <w:spacing w:line="242" w:lineRule="auto"/>
              <w:rPr>
                <w:rFonts w:ascii="Arial"/>
                <w:sz w:val="21"/>
              </w:rPr>
            </w:pPr>
          </w:p>
          <w:p w14:paraId="6A22C091">
            <w:pPr>
              <w:spacing w:line="242" w:lineRule="auto"/>
              <w:rPr>
                <w:rFonts w:ascii="Arial"/>
                <w:sz w:val="21"/>
              </w:rPr>
            </w:pPr>
          </w:p>
          <w:p w14:paraId="40253288">
            <w:pPr>
              <w:pStyle w:val="25"/>
              <w:spacing w:before="78" w:line="520" w:lineRule="exact"/>
              <w:ind w:left="553"/>
              <w:rPr>
                <w:sz w:val="24"/>
                <w:szCs w:val="24"/>
              </w:rPr>
            </w:pPr>
            <w:r>
              <w:rPr>
                <w:spacing w:val="-4"/>
                <w:position w:val="21"/>
                <w:sz w:val="24"/>
                <w:szCs w:val="24"/>
              </w:rPr>
              <w:t>需要补充</w:t>
            </w:r>
          </w:p>
          <w:p w14:paraId="37C4536B">
            <w:pPr>
              <w:pStyle w:val="25"/>
              <w:spacing w:line="220" w:lineRule="auto"/>
              <w:ind w:left="441" w:leftChars="0"/>
              <w:rPr>
                <w:rFonts w:ascii="宋体" w:hAnsi="宋体" w:eastAsia="宋体" w:cs="宋体"/>
                <w:snapToGrid w:val="0"/>
                <w:color w:val="000000"/>
                <w:kern w:val="0"/>
                <w:sz w:val="24"/>
                <w:szCs w:val="24"/>
                <w:lang w:val="en-US" w:eastAsia="en-US" w:bidi="ar-SA"/>
              </w:rPr>
            </w:pPr>
            <w:r>
              <w:rPr>
                <w:spacing w:val="-5"/>
                <w:sz w:val="24"/>
                <w:szCs w:val="24"/>
              </w:rPr>
              <w:t>的其他内容</w:t>
            </w:r>
          </w:p>
        </w:tc>
        <w:tc>
          <w:tcPr>
            <w:tcW w:w="6221" w:type="dxa"/>
            <w:vAlign w:val="top"/>
          </w:tcPr>
          <w:p w14:paraId="332F266B">
            <w:pPr>
              <w:pStyle w:val="25"/>
              <w:spacing w:before="206" w:line="400" w:lineRule="auto"/>
              <w:ind w:left="116" w:right="102" w:firstLine="12"/>
              <w:rPr>
                <w:sz w:val="24"/>
                <w:szCs w:val="24"/>
              </w:rPr>
            </w:pPr>
            <w:r>
              <w:rPr>
                <w:spacing w:val="7"/>
                <w:sz w:val="24"/>
                <w:szCs w:val="24"/>
              </w:rPr>
              <w:t>1.开标时应由</w:t>
            </w:r>
            <w:r>
              <w:rPr>
                <w:rFonts w:hint="eastAsia"/>
                <w:spacing w:val="7"/>
                <w:sz w:val="24"/>
                <w:szCs w:val="24"/>
                <w:lang w:eastAsia="zh-CN"/>
              </w:rPr>
              <w:t>供应商</w:t>
            </w:r>
            <w:r>
              <w:rPr>
                <w:spacing w:val="7"/>
                <w:sz w:val="24"/>
                <w:szCs w:val="24"/>
              </w:rPr>
              <w:t>法定代表人或其委托</w:t>
            </w:r>
            <w:r>
              <w:rPr>
                <w:spacing w:val="6"/>
                <w:sz w:val="24"/>
                <w:szCs w:val="24"/>
              </w:rPr>
              <w:t>代理人持本人</w:t>
            </w:r>
            <w:r>
              <w:rPr>
                <w:sz w:val="24"/>
                <w:szCs w:val="24"/>
              </w:rPr>
              <w:t xml:space="preserve"> </w:t>
            </w:r>
            <w:r>
              <w:rPr>
                <w:spacing w:val="-3"/>
                <w:sz w:val="24"/>
                <w:szCs w:val="24"/>
              </w:rPr>
              <w:t>身份证及加盖公章的复印件、授权委托书（无委托除外）参加开标会议，否则投标无效。但，网上不见面电子</w:t>
            </w:r>
            <w:r>
              <w:rPr>
                <w:spacing w:val="-2"/>
                <w:sz w:val="24"/>
                <w:szCs w:val="24"/>
              </w:rPr>
              <w:t>开标除外</w:t>
            </w:r>
          </w:p>
          <w:p w14:paraId="3953B806">
            <w:pPr>
              <w:pStyle w:val="25"/>
              <w:spacing w:before="233" w:line="400" w:lineRule="auto"/>
              <w:ind w:left="114" w:right="102"/>
              <w:rPr>
                <w:sz w:val="24"/>
                <w:szCs w:val="24"/>
              </w:rPr>
            </w:pPr>
            <w:r>
              <w:rPr>
                <w:spacing w:val="-7"/>
                <w:sz w:val="24"/>
                <w:szCs w:val="24"/>
              </w:rPr>
              <w:t>2.招标文件中相关内容前后表述不一致的， 以表述在前的</w:t>
            </w:r>
            <w:r>
              <w:rPr>
                <w:spacing w:val="13"/>
                <w:sz w:val="24"/>
                <w:szCs w:val="24"/>
              </w:rPr>
              <w:t xml:space="preserve"> </w:t>
            </w:r>
            <w:r>
              <w:rPr>
                <w:spacing w:val="-2"/>
                <w:sz w:val="24"/>
                <w:szCs w:val="24"/>
              </w:rPr>
              <w:t>为准或有利于项目实施的原则确定；同一组</w:t>
            </w:r>
            <w:r>
              <w:rPr>
                <w:spacing w:val="-3"/>
                <w:sz w:val="24"/>
                <w:szCs w:val="24"/>
              </w:rPr>
              <w:t>成文件不同版</w:t>
            </w:r>
          </w:p>
          <w:p w14:paraId="4E487F87">
            <w:pPr>
              <w:pStyle w:val="25"/>
              <w:spacing w:line="219" w:lineRule="auto"/>
              <w:ind w:left="112"/>
              <w:rPr>
                <w:sz w:val="24"/>
                <w:szCs w:val="24"/>
              </w:rPr>
            </w:pPr>
            <w:r>
              <w:rPr>
                <w:spacing w:val="-1"/>
                <w:sz w:val="24"/>
                <w:szCs w:val="24"/>
              </w:rPr>
              <w:t>本之间有不一致的，以形成时间在后者为准</w:t>
            </w:r>
          </w:p>
          <w:p w14:paraId="133BD739">
            <w:pPr>
              <w:pStyle w:val="25"/>
              <w:spacing w:before="234" w:line="220" w:lineRule="auto"/>
              <w:ind w:left="116"/>
              <w:rPr>
                <w:sz w:val="24"/>
                <w:szCs w:val="24"/>
              </w:rPr>
            </w:pPr>
            <w:r>
              <w:rPr>
                <w:spacing w:val="-2"/>
                <w:sz w:val="24"/>
                <w:szCs w:val="24"/>
              </w:rPr>
              <w:t>3.签字、盖章要求</w:t>
            </w:r>
          </w:p>
          <w:p w14:paraId="4F6FE3F2">
            <w:pPr>
              <w:pStyle w:val="25"/>
              <w:spacing w:before="235" w:line="520" w:lineRule="exact"/>
              <w:ind w:left="117"/>
              <w:rPr>
                <w:sz w:val="24"/>
                <w:szCs w:val="24"/>
              </w:rPr>
            </w:pPr>
            <w:r>
              <w:rPr>
                <w:spacing w:val="2"/>
                <w:position w:val="21"/>
                <w:sz w:val="24"/>
                <w:szCs w:val="24"/>
              </w:rPr>
              <w:t>（1）招标文件明示签字、盖章的地方必须按规定签字、</w:t>
            </w:r>
          </w:p>
          <w:p w14:paraId="315388FD">
            <w:pPr>
              <w:pStyle w:val="25"/>
              <w:spacing w:line="219" w:lineRule="auto"/>
              <w:ind w:left="112"/>
              <w:rPr>
                <w:sz w:val="24"/>
                <w:szCs w:val="24"/>
              </w:rPr>
            </w:pPr>
            <w:r>
              <w:rPr>
                <w:spacing w:val="-3"/>
                <w:sz w:val="24"/>
                <w:szCs w:val="24"/>
              </w:rPr>
              <w:t>盖章</w:t>
            </w:r>
          </w:p>
          <w:p w14:paraId="27DF2CA2">
            <w:pPr>
              <w:pStyle w:val="25"/>
              <w:spacing w:before="235" w:line="400" w:lineRule="auto"/>
              <w:ind w:left="110" w:right="102" w:firstLine="7"/>
              <w:rPr>
                <w:sz w:val="24"/>
                <w:szCs w:val="24"/>
              </w:rPr>
            </w:pPr>
            <w:r>
              <w:rPr>
                <w:spacing w:val="2"/>
                <w:sz w:val="24"/>
                <w:szCs w:val="24"/>
              </w:rPr>
              <w:t>（2）投标文件中如果有涂改、插字、删除等情况，必须</w:t>
            </w:r>
            <w:r>
              <w:rPr>
                <w:spacing w:val="10"/>
                <w:sz w:val="24"/>
                <w:szCs w:val="24"/>
              </w:rPr>
              <w:t xml:space="preserve"> </w:t>
            </w:r>
            <w:r>
              <w:rPr>
                <w:spacing w:val="8"/>
                <w:sz w:val="24"/>
                <w:szCs w:val="24"/>
              </w:rPr>
              <w:t>在文件改动处由法定代表人或其授权的代理人</w:t>
            </w:r>
            <w:r>
              <w:rPr>
                <w:spacing w:val="7"/>
                <w:sz w:val="24"/>
                <w:szCs w:val="24"/>
              </w:rPr>
              <w:t>的签字或</w:t>
            </w:r>
          </w:p>
          <w:p w14:paraId="202DDBC1">
            <w:pPr>
              <w:pStyle w:val="25"/>
              <w:spacing w:before="1" w:line="219" w:lineRule="auto"/>
              <w:ind w:left="112"/>
              <w:rPr>
                <w:sz w:val="24"/>
                <w:szCs w:val="24"/>
              </w:rPr>
            </w:pPr>
            <w:r>
              <w:rPr>
                <w:spacing w:val="-1"/>
                <w:sz w:val="24"/>
                <w:szCs w:val="24"/>
              </w:rPr>
              <w:t>盖章，并标明“修改”字样</w:t>
            </w:r>
          </w:p>
          <w:p w14:paraId="69F3C18C">
            <w:pPr>
              <w:pStyle w:val="25"/>
              <w:spacing w:before="234" w:line="400" w:lineRule="auto"/>
              <w:ind w:left="111" w:right="102"/>
              <w:rPr>
                <w:sz w:val="24"/>
                <w:szCs w:val="24"/>
              </w:rPr>
            </w:pPr>
            <w:r>
              <w:rPr>
                <w:spacing w:val="2"/>
                <w:sz w:val="24"/>
                <w:szCs w:val="24"/>
              </w:rPr>
              <w:t>注：投标文件中各电子标书要加签有效的</w:t>
            </w:r>
            <w:r>
              <w:rPr>
                <w:rFonts w:hint="eastAsia"/>
                <w:spacing w:val="2"/>
                <w:sz w:val="24"/>
                <w:szCs w:val="24"/>
                <w:lang w:eastAsia="zh-CN"/>
              </w:rPr>
              <w:t>供应商</w:t>
            </w:r>
            <w:r>
              <w:rPr>
                <w:spacing w:val="2"/>
                <w:sz w:val="24"/>
                <w:szCs w:val="24"/>
              </w:rPr>
              <w:t>机构</w:t>
            </w:r>
            <w:r>
              <w:rPr>
                <w:spacing w:val="-39"/>
                <w:sz w:val="24"/>
                <w:szCs w:val="24"/>
              </w:rPr>
              <w:t xml:space="preserve"> </w:t>
            </w:r>
            <w:r>
              <w:rPr>
                <w:sz w:val="24"/>
                <w:szCs w:val="24"/>
              </w:rPr>
              <w:t xml:space="preserve">CA </w:t>
            </w:r>
            <w:r>
              <w:rPr>
                <w:spacing w:val="1"/>
                <w:sz w:val="24"/>
                <w:szCs w:val="24"/>
              </w:rPr>
              <w:t>数字证书、法定代表人个人</w:t>
            </w:r>
            <w:r>
              <w:rPr>
                <w:spacing w:val="-31"/>
                <w:sz w:val="24"/>
                <w:szCs w:val="24"/>
              </w:rPr>
              <w:t xml:space="preserve"> </w:t>
            </w:r>
            <w:r>
              <w:rPr>
                <w:sz w:val="24"/>
                <w:szCs w:val="24"/>
              </w:rPr>
              <w:t>CA</w:t>
            </w:r>
            <w:r>
              <w:rPr>
                <w:spacing w:val="-45"/>
                <w:sz w:val="24"/>
                <w:szCs w:val="24"/>
              </w:rPr>
              <w:t xml:space="preserve"> </w:t>
            </w:r>
            <w:r>
              <w:rPr>
                <w:spacing w:val="1"/>
                <w:sz w:val="24"/>
                <w:szCs w:val="24"/>
              </w:rPr>
              <w:t>数字证书。根据《中华人</w:t>
            </w:r>
            <w:r>
              <w:rPr>
                <w:sz w:val="24"/>
                <w:szCs w:val="24"/>
              </w:rPr>
              <w:t xml:space="preserve"> </w:t>
            </w:r>
            <w:r>
              <w:rPr>
                <w:spacing w:val="-3"/>
                <w:sz w:val="24"/>
                <w:szCs w:val="24"/>
              </w:rPr>
              <w:t>民共和国电子签名法》，第二条“本法所称电子签名，是</w:t>
            </w:r>
            <w:r>
              <w:rPr>
                <w:spacing w:val="10"/>
                <w:sz w:val="24"/>
                <w:szCs w:val="24"/>
              </w:rPr>
              <w:t xml:space="preserve"> </w:t>
            </w:r>
            <w:r>
              <w:rPr>
                <w:spacing w:val="-2"/>
                <w:sz w:val="24"/>
                <w:szCs w:val="24"/>
              </w:rPr>
              <w:t>指数据在电文中以电子形式所含、所附用于识别签</w:t>
            </w:r>
            <w:r>
              <w:rPr>
                <w:spacing w:val="-3"/>
                <w:sz w:val="24"/>
                <w:szCs w:val="24"/>
              </w:rPr>
              <w:t>名人身</w:t>
            </w:r>
            <w:r>
              <w:rPr>
                <w:sz w:val="24"/>
                <w:szCs w:val="24"/>
              </w:rPr>
              <w:t xml:space="preserve"> </w:t>
            </w:r>
            <w:r>
              <w:rPr>
                <w:spacing w:val="-4"/>
                <w:sz w:val="24"/>
                <w:szCs w:val="24"/>
              </w:rPr>
              <w:t>份并表明签名人认可其中内容的数据</w:t>
            </w:r>
            <w:r>
              <w:rPr>
                <w:spacing w:val="-84"/>
                <w:sz w:val="24"/>
                <w:szCs w:val="24"/>
              </w:rPr>
              <w:t xml:space="preserve"> </w:t>
            </w:r>
            <w:r>
              <w:rPr>
                <w:spacing w:val="-4"/>
                <w:sz w:val="24"/>
                <w:szCs w:val="24"/>
              </w:rPr>
              <w:t>”，第十四条“可靠</w:t>
            </w:r>
            <w:r>
              <w:rPr>
                <w:sz w:val="24"/>
                <w:szCs w:val="24"/>
              </w:rPr>
              <w:t xml:space="preserve"> </w:t>
            </w:r>
            <w:r>
              <w:rPr>
                <w:spacing w:val="-4"/>
                <w:sz w:val="24"/>
                <w:szCs w:val="24"/>
              </w:rPr>
              <w:t>的电子签名与手写签名或盖章具有同等的法律效应</w:t>
            </w:r>
            <w:r>
              <w:rPr>
                <w:spacing w:val="-83"/>
                <w:sz w:val="24"/>
                <w:szCs w:val="24"/>
              </w:rPr>
              <w:t xml:space="preserve"> </w:t>
            </w:r>
            <w:r>
              <w:rPr>
                <w:spacing w:val="-4"/>
                <w:sz w:val="24"/>
                <w:szCs w:val="24"/>
              </w:rPr>
              <w:t>”，可</w:t>
            </w:r>
            <w:r>
              <w:rPr>
                <w:sz w:val="24"/>
                <w:szCs w:val="24"/>
              </w:rPr>
              <w:t xml:space="preserve"> </w:t>
            </w:r>
            <w:r>
              <w:rPr>
                <w:spacing w:val="1"/>
                <w:sz w:val="24"/>
                <w:szCs w:val="24"/>
              </w:rPr>
              <w:t>以认定：用户使用</w:t>
            </w:r>
            <w:r>
              <w:rPr>
                <w:spacing w:val="-31"/>
                <w:sz w:val="24"/>
                <w:szCs w:val="24"/>
              </w:rPr>
              <w:t xml:space="preserve"> </w:t>
            </w:r>
            <w:r>
              <w:rPr>
                <w:sz w:val="24"/>
                <w:szCs w:val="24"/>
              </w:rPr>
              <w:t>CA</w:t>
            </w:r>
            <w:r>
              <w:rPr>
                <w:spacing w:val="-45"/>
                <w:sz w:val="24"/>
                <w:szCs w:val="24"/>
              </w:rPr>
              <w:t xml:space="preserve"> </w:t>
            </w:r>
            <w:r>
              <w:rPr>
                <w:spacing w:val="1"/>
                <w:sz w:val="24"/>
                <w:szCs w:val="24"/>
              </w:rPr>
              <w:t>数字认证，具有与手写签名相同的</w:t>
            </w:r>
          </w:p>
          <w:p w14:paraId="7EBF79CD">
            <w:pPr>
              <w:pStyle w:val="25"/>
              <w:spacing w:before="1" w:line="220" w:lineRule="auto"/>
              <w:ind w:left="112"/>
              <w:rPr>
                <w:sz w:val="24"/>
                <w:szCs w:val="24"/>
              </w:rPr>
            </w:pPr>
            <w:r>
              <w:rPr>
                <w:spacing w:val="-2"/>
                <w:sz w:val="24"/>
                <w:szCs w:val="24"/>
              </w:rPr>
              <w:t>法律效应</w:t>
            </w:r>
          </w:p>
          <w:p w14:paraId="2082B3A2">
            <w:pPr>
              <w:pStyle w:val="25"/>
              <w:spacing w:before="233" w:line="520" w:lineRule="exact"/>
              <w:ind w:left="110"/>
              <w:rPr>
                <w:rFonts w:ascii="宋体" w:hAnsi="宋体" w:eastAsia="宋体" w:cs="宋体"/>
                <w:spacing w:val="7"/>
                <w:position w:val="21"/>
                <w:sz w:val="24"/>
                <w:szCs w:val="24"/>
              </w:rPr>
            </w:pPr>
            <w:r>
              <w:rPr>
                <w:spacing w:val="7"/>
                <w:position w:val="21"/>
                <w:sz w:val="24"/>
                <w:szCs w:val="24"/>
              </w:rPr>
              <w:t>4.</w:t>
            </w:r>
            <w:r>
              <w:rPr>
                <w:rFonts w:ascii="宋体" w:hAnsi="宋体" w:eastAsia="宋体" w:cs="宋体"/>
                <w:spacing w:val="7"/>
                <w:position w:val="21"/>
                <w:sz w:val="24"/>
                <w:szCs w:val="24"/>
              </w:rPr>
              <w:t>招标文件中所称的原件包括根据国家或地方相关规定</w:t>
            </w:r>
          </w:p>
          <w:p w14:paraId="5981508D">
            <w:pPr>
              <w:pStyle w:val="25"/>
              <w:spacing w:before="233" w:line="520" w:lineRule="exact"/>
              <w:ind w:left="110"/>
              <w:rPr>
                <w:rFonts w:ascii="宋体" w:hAnsi="宋体" w:eastAsia="宋体" w:cs="宋体"/>
                <w:spacing w:val="7"/>
                <w:position w:val="21"/>
                <w:sz w:val="24"/>
                <w:szCs w:val="24"/>
              </w:rPr>
            </w:pPr>
            <w:r>
              <w:rPr>
                <w:rFonts w:ascii="宋体" w:hAnsi="宋体" w:eastAsia="宋体" w:cs="宋体"/>
                <w:spacing w:val="7"/>
                <w:position w:val="21"/>
                <w:sz w:val="24"/>
                <w:szCs w:val="24"/>
              </w:rPr>
              <w:t>从相关行政主管部门官方网站获取的网页截图或网页打印件</w:t>
            </w:r>
          </w:p>
          <w:p w14:paraId="2026F865">
            <w:pPr>
              <w:pStyle w:val="25"/>
              <w:numPr>
                <w:ilvl w:val="0"/>
                <w:numId w:val="1"/>
              </w:numPr>
              <w:spacing w:before="233" w:line="520" w:lineRule="exact"/>
              <w:ind w:left="110"/>
              <w:rPr>
                <w:rFonts w:ascii="宋体" w:hAnsi="宋体" w:eastAsia="宋体" w:cs="宋体"/>
                <w:spacing w:val="7"/>
                <w:position w:val="21"/>
                <w:sz w:val="24"/>
                <w:szCs w:val="24"/>
              </w:rPr>
            </w:pPr>
            <w:r>
              <w:rPr>
                <w:rFonts w:ascii="宋体" w:hAnsi="宋体" w:eastAsia="宋体" w:cs="宋体"/>
                <w:spacing w:val="7"/>
                <w:position w:val="21"/>
                <w:sz w:val="24"/>
                <w:szCs w:val="24"/>
              </w:rPr>
              <w:t>在项目公告发布后，因第三方机构（如：信用信息查询 网站等）相关内容调整，造成与招标文件要求不一致的， 以第三方机构调整后的内容为准（因调整后没有招标文件要求项的，则不需提供该项材料）</w:t>
            </w:r>
          </w:p>
          <w:p w14:paraId="351A8CAC">
            <w:pPr>
              <w:pStyle w:val="25"/>
              <w:numPr>
                <w:ilvl w:val="0"/>
                <w:numId w:val="1"/>
              </w:numPr>
              <w:spacing w:before="233" w:line="520" w:lineRule="exact"/>
              <w:ind w:left="110"/>
              <w:rPr>
                <w:rFonts w:ascii="宋体" w:hAnsi="宋体" w:eastAsia="宋体" w:cs="宋体"/>
                <w:spacing w:val="7"/>
                <w:position w:val="21"/>
                <w:sz w:val="24"/>
                <w:szCs w:val="24"/>
              </w:rPr>
            </w:pPr>
          </w:p>
          <w:p w14:paraId="4E8787F7">
            <w:pPr>
              <w:pStyle w:val="32"/>
              <w:numPr>
                <w:ilvl w:val="0"/>
                <w:numId w:val="0"/>
              </w:numPr>
              <w:spacing w:line="360" w:lineRule="auto"/>
              <w:ind w:left="0" w:leftChars="0" w:firstLine="240" w:firstLineChars="100"/>
              <w:rPr>
                <w:rFonts w:ascii="宋体" w:hAnsi="宋体" w:cs="宋体"/>
                <w:color w:val="auto"/>
              </w:rPr>
            </w:pPr>
            <w:r>
              <w:rPr>
                <w:rFonts w:hint="eastAsia" w:ascii="宋体" w:hAnsi="宋体" w:eastAsia="宋体" w:cs="宋体"/>
                <w:color w:val="auto"/>
                <w:lang w:val="en-US" w:eastAsia="zh-CN"/>
              </w:rPr>
              <w:t>A、</w:t>
            </w:r>
            <w:r>
              <w:rPr>
                <w:rFonts w:hint="eastAsia" w:ascii="宋体" w:hAnsi="宋体" w:cs="宋体"/>
                <w:color w:val="auto"/>
              </w:rPr>
              <w:t>本项目贯彻落实财库[2022]19号《关于进一步加大政府采购支持中小企业力度的通知》、财库[2020]46号《政府采购促进中小企业发展管理办法》的规定，豫财购[2013]14号《河南省财政厅、河南省工业和信息化厅关于政府采购促进小型微型企业发展的实施意见》。中小企业划型标准以工信部联企业〔2011〕300号《工业和信息化部、国家统计局、国家发展和改革委员会、财政部关于印发中小企业划型标准规定的通知》为依据。</w:t>
            </w:r>
          </w:p>
          <w:p w14:paraId="11E69957">
            <w:pPr>
              <w:pStyle w:val="32"/>
              <w:spacing w:line="360" w:lineRule="auto"/>
              <w:ind w:right="6" w:firstLine="480" w:firstLineChars="200"/>
              <w:rPr>
                <w:rFonts w:ascii="宋体" w:hAnsi="宋体" w:cs="宋体"/>
                <w:color w:val="auto"/>
              </w:rPr>
            </w:pPr>
            <w:r>
              <w:rPr>
                <w:rFonts w:hint="eastAsia" w:ascii="宋体" w:hAnsi="宋体" w:cs="宋体"/>
                <w:color w:val="auto"/>
              </w:rPr>
              <w:t>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75AA0D2A">
            <w:pPr>
              <w:pStyle w:val="32"/>
              <w:spacing w:line="360" w:lineRule="auto"/>
              <w:ind w:right="-72" w:firstLine="480" w:firstLineChars="200"/>
              <w:rPr>
                <w:rFonts w:ascii="宋体" w:hAnsi="宋体" w:cs="宋体"/>
                <w:color w:val="auto"/>
              </w:rPr>
            </w:pPr>
            <w:r>
              <w:rPr>
                <w:rFonts w:hint="eastAsia" w:ascii="宋体" w:hAnsi="宋体" w:cs="宋体"/>
                <w:color w:val="auto"/>
              </w:rPr>
              <w:t>符合中小企业划分标准的个体工商户，在政府采购活动中视同中小企业。小型、微型企业提供中型企业制造的货物的，视同为中型企业。</w:t>
            </w:r>
          </w:p>
          <w:p w14:paraId="52954D9E">
            <w:pPr>
              <w:pStyle w:val="32"/>
              <w:spacing w:line="360" w:lineRule="auto"/>
              <w:ind w:left="28" w:right="-72" w:firstLine="480" w:firstLineChars="200"/>
              <w:rPr>
                <w:rFonts w:ascii="宋体" w:hAnsi="宋体" w:cs="宋体"/>
                <w:color w:val="auto"/>
              </w:rPr>
            </w:pPr>
            <w:r>
              <w:rPr>
                <w:rFonts w:hint="eastAsia" w:ascii="宋体" w:hAnsi="宋体" w:cs="宋体"/>
                <w:color w:val="auto"/>
              </w:rPr>
              <w:t>在政府采购活动中，</w:t>
            </w:r>
            <w:r>
              <w:rPr>
                <w:rFonts w:hint="eastAsia" w:ascii="宋体" w:hAnsi="宋体" w:cs="宋体"/>
                <w:color w:val="auto"/>
                <w:lang w:eastAsia="zh-CN"/>
              </w:rPr>
              <w:t>供应商</w:t>
            </w:r>
            <w:r>
              <w:rPr>
                <w:rFonts w:hint="eastAsia" w:ascii="宋体" w:hAnsi="宋体" w:cs="宋体"/>
                <w:color w:val="auto"/>
              </w:rPr>
              <w:t>提供的货物、工程或者服务符合下列情形的，享受本办法规定的中小企业扶持政策：</w:t>
            </w:r>
          </w:p>
          <w:p w14:paraId="2D6808C8">
            <w:pPr>
              <w:pStyle w:val="32"/>
              <w:spacing w:line="360" w:lineRule="auto"/>
              <w:ind w:left="28" w:right="-72" w:firstLine="480" w:firstLineChars="200"/>
              <w:rPr>
                <w:rFonts w:ascii="宋体" w:hAnsi="宋体" w:cs="宋体"/>
                <w:color w:val="auto"/>
              </w:rPr>
            </w:pPr>
            <w:r>
              <w:rPr>
                <w:rFonts w:hint="eastAsia" w:ascii="宋体" w:hAnsi="宋体" w:cs="宋体"/>
                <w:color w:val="auto"/>
              </w:rPr>
              <w:t>（一）在货物采购项目中，货物由中小企业制造，即货物由中小企业生产且使用该中小企业商号或者注册商标。</w:t>
            </w:r>
          </w:p>
          <w:p w14:paraId="37C1041A">
            <w:pPr>
              <w:pStyle w:val="32"/>
              <w:spacing w:line="360" w:lineRule="auto"/>
              <w:ind w:left="28" w:right="-72" w:firstLine="480" w:firstLineChars="200"/>
              <w:rPr>
                <w:rFonts w:ascii="宋体" w:hAnsi="宋体" w:cs="宋体"/>
                <w:color w:val="auto"/>
              </w:rPr>
            </w:pPr>
            <w:r>
              <w:rPr>
                <w:rFonts w:hint="eastAsia" w:ascii="宋体" w:hAnsi="宋体" w:cs="宋体"/>
                <w:color w:val="auto"/>
              </w:rPr>
              <w:t>（二）在工程采购项目中，工程由中小企业承建，即工程施工单位为中小企业。</w:t>
            </w:r>
          </w:p>
          <w:p w14:paraId="559CB802">
            <w:pPr>
              <w:pStyle w:val="32"/>
              <w:spacing w:line="360" w:lineRule="auto"/>
              <w:ind w:left="28" w:right="-72" w:firstLine="480" w:firstLineChars="200"/>
              <w:rPr>
                <w:rFonts w:ascii="宋体" w:hAnsi="宋体" w:cs="宋体"/>
                <w:color w:val="auto"/>
              </w:rPr>
            </w:pPr>
            <w:r>
              <w:rPr>
                <w:rFonts w:hint="eastAsia" w:ascii="宋体" w:hAnsi="宋体" w:cs="宋体"/>
                <w:color w:val="auto"/>
              </w:rPr>
              <w:t>（三）在服务采购项目中，服务由中小企业承接，即提供服务的人员为中小企业依照《中华人民共和国民法典》订立劳动合同的从业人员。</w:t>
            </w:r>
          </w:p>
          <w:p w14:paraId="37795F17">
            <w:pPr>
              <w:pStyle w:val="32"/>
              <w:spacing w:line="360" w:lineRule="auto"/>
              <w:ind w:left="28" w:right="-72" w:firstLine="480" w:firstLineChars="200"/>
              <w:rPr>
                <w:rFonts w:ascii="宋体" w:hAnsi="宋体" w:cs="宋体"/>
                <w:color w:val="auto"/>
              </w:rPr>
            </w:pPr>
            <w:r>
              <w:rPr>
                <w:rFonts w:hint="eastAsia" w:ascii="宋体" w:hAnsi="宋体" w:cs="宋体"/>
                <w:color w:val="auto"/>
              </w:rPr>
              <w:t>在货物采购项目中，</w:t>
            </w:r>
            <w:r>
              <w:rPr>
                <w:rFonts w:hint="eastAsia" w:ascii="宋体" w:hAnsi="宋体" w:cs="宋体"/>
                <w:color w:val="auto"/>
                <w:lang w:eastAsia="zh-CN"/>
              </w:rPr>
              <w:t>供应商</w:t>
            </w:r>
            <w:r>
              <w:rPr>
                <w:rFonts w:hint="eastAsia" w:ascii="宋体" w:hAnsi="宋体" w:cs="宋体"/>
                <w:color w:val="auto"/>
              </w:rPr>
              <w:t>提供的货物既有中小企业制造货物，也有大型企业制造货物的，不享受本办法规定的中小企业扶持政策。</w:t>
            </w:r>
          </w:p>
          <w:p w14:paraId="282F3201">
            <w:pPr>
              <w:pStyle w:val="32"/>
              <w:spacing w:line="360" w:lineRule="auto"/>
              <w:ind w:left="28" w:right="-72" w:firstLine="480" w:firstLineChars="200"/>
              <w:rPr>
                <w:rFonts w:ascii="宋体" w:hAnsi="宋体" w:cs="宋体"/>
                <w:color w:val="auto"/>
              </w:rPr>
            </w:pPr>
            <w:r>
              <w:rPr>
                <w:rFonts w:hint="eastAsia" w:ascii="宋体" w:hAnsi="宋体" w:cs="宋体"/>
                <w:color w:val="auto"/>
              </w:rPr>
              <w:t>以联合体形式参加政府采购活动，联合体各方均为中小企业的，联合体视同中小企业。其中，联合体各方均为小微企业的，联合体视同小微企业。</w:t>
            </w:r>
          </w:p>
          <w:p w14:paraId="73EBE8B6">
            <w:pPr>
              <w:pStyle w:val="32"/>
              <w:spacing w:line="360" w:lineRule="auto"/>
              <w:ind w:left="28" w:right="-72" w:firstLine="480" w:firstLineChars="200"/>
              <w:rPr>
                <w:rFonts w:ascii="宋体" w:hAnsi="宋体" w:cs="宋体"/>
                <w:color w:val="auto"/>
              </w:rPr>
            </w:pPr>
            <w:r>
              <w:rPr>
                <w:rFonts w:hint="eastAsia" w:ascii="宋体" w:hAnsi="宋体" w:cs="宋体"/>
                <w:color w:val="auto"/>
              </w:rPr>
              <w:t>关于投标报价评分中给予中小企业优惠的说明：评审时给予小型或微型企业</w:t>
            </w:r>
            <w:r>
              <w:rPr>
                <w:rFonts w:hint="eastAsia" w:ascii="宋体" w:hAnsi="宋体" w:cs="宋体"/>
                <w:color w:val="auto"/>
                <w:lang w:val="en-US" w:eastAsia="zh-CN"/>
              </w:rPr>
              <w:t>20</w:t>
            </w:r>
            <w:r>
              <w:rPr>
                <w:rFonts w:hint="eastAsia" w:ascii="宋体" w:hAnsi="宋体" w:cs="宋体"/>
                <w:color w:val="auto"/>
              </w:rPr>
              <w:t>%的价格扣除，用扣除后的价格参与评审。</w:t>
            </w:r>
          </w:p>
          <w:p w14:paraId="59E7264B">
            <w:pPr>
              <w:pStyle w:val="32"/>
              <w:spacing w:line="360" w:lineRule="auto"/>
              <w:ind w:left="28" w:right="-72" w:firstLine="480" w:firstLineChars="200"/>
              <w:rPr>
                <w:rFonts w:ascii="宋体" w:hAnsi="宋体" w:cs="宋体"/>
                <w:color w:val="auto"/>
              </w:rPr>
            </w:pPr>
            <w:r>
              <w:rPr>
                <w:rFonts w:hint="eastAsia" w:ascii="宋体" w:hAnsi="宋体" w:cs="宋体"/>
                <w:color w:val="auto"/>
              </w:rPr>
              <w:t>大型企业评标报价=投标报价</w:t>
            </w:r>
          </w:p>
          <w:p w14:paraId="36F76461">
            <w:pPr>
              <w:pStyle w:val="32"/>
              <w:spacing w:line="360" w:lineRule="auto"/>
              <w:ind w:left="28" w:right="-72" w:firstLine="480" w:firstLineChars="200"/>
              <w:rPr>
                <w:rFonts w:ascii="宋体" w:hAnsi="宋体" w:cs="宋体"/>
                <w:color w:val="auto"/>
              </w:rPr>
            </w:pPr>
            <w:r>
              <w:rPr>
                <w:rFonts w:hint="eastAsia" w:ascii="宋体" w:hAnsi="宋体" w:cs="宋体"/>
                <w:color w:val="auto"/>
              </w:rPr>
              <w:t>中型企业评标报价=投标报价</w:t>
            </w:r>
          </w:p>
          <w:p w14:paraId="161BE9CB">
            <w:pPr>
              <w:pStyle w:val="32"/>
              <w:spacing w:line="360" w:lineRule="auto"/>
              <w:ind w:left="28" w:right="-72" w:firstLine="480" w:firstLineChars="200"/>
              <w:rPr>
                <w:rFonts w:ascii="宋体" w:hAnsi="宋体" w:cs="宋体"/>
                <w:color w:val="auto"/>
              </w:rPr>
            </w:pPr>
            <w:r>
              <w:rPr>
                <w:rFonts w:hint="eastAsia" w:ascii="宋体" w:hAnsi="宋体" w:cs="宋体"/>
                <w:color w:val="auto"/>
              </w:rPr>
              <w:t>小型或微型</w:t>
            </w:r>
            <w:r>
              <w:rPr>
                <w:rFonts w:hint="eastAsia" w:ascii="宋体" w:hAnsi="宋体" w:cs="宋体"/>
                <w:color w:val="auto"/>
                <w:highlight w:val="none"/>
              </w:rPr>
              <w:t>企业评标报价=投标报价*（</w:t>
            </w:r>
            <w:r>
              <w:rPr>
                <w:rFonts w:hint="eastAsia" w:ascii="宋体" w:hAnsi="宋体" w:eastAsia="宋体" w:cs="宋体"/>
                <w:color w:val="auto"/>
                <w:highlight w:val="none"/>
                <w:lang w:val="en-US" w:eastAsia="zh-CN"/>
              </w:rPr>
              <w:t>20</w:t>
            </w:r>
            <w:r>
              <w:rPr>
                <w:rFonts w:hint="eastAsia" w:ascii="宋体" w:hAnsi="宋体" w:cs="宋体"/>
                <w:color w:val="auto"/>
                <w:highlight w:val="none"/>
              </w:rPr>
              <w:t>%）</w:t>
            </w:r>
          </w:p>
          <w:p w14:paraId="1909DBD8">
            <w:pPr>
              <w:pStyle w:val="32"/>
              <w:spacing w:line="360" w:lineRule="auto"/>
              <w:ind w:left="28" w:right="-72" w:firstLine="480" w:firstLineChars="200"/>
              <w:rPr>
                <w:rFonts w:ascii="宋体" w:hAnsi="宋体" w:cs="宋体"/>
                <w:color w:val="auto"/>
              </w:rPr>
            </w:pPr>
            <w:r>
              <w:rPr>
                <w:rFonts w:hint="eastAsia" w:ascii="宋体" w:hAnsi="宋体" w:cs="宋体"/>
                <w:color w:val="auto"/>
              </w:rPr>
              <w:t>B、根据《财政部、司法部关于政府采购支持监狱企业发展有关问题的通知》（财库[2014]68号）规定，本项目支持监狱企业参与政府采购活动。监狱企业参加本项目投标时，须提供由省级以上监狱管理局、戒毒管理局（含新疆生产建设兵团）出具的属于监狱企业的证明文件，视同小型、微型企业。</w:t>
            </w:r>
          </w:p>
          <w:p w14:paraId="007707DD">
            <w:pPr>
              <w:pStyle w:val="32"/>
              <w:spacing w:line="360" w:lineRule="auto"/>
              <w:ind w:left="28" w:right="-72" w:firstLine="480" w:firstLineChars="200"/>
              <w:rPr>
                <w:rFonts w:ascii="宋体" w:hAnsi="宋体" w:cs="宋体"/>
                <w:color w:val="auto"/>
              </w:rPr>
            </w:pPr>
            <w:r>
              <w:rPr>
                <w:rFonts w:hint="eastAsia" w:ascii="宋体" w:hAnsi="宋体" w:cs="宋体"/>
                <w:color w:val="auto"/>
              </w:rPr>
              <w:t>C、根据《关于促进残疾人就业政府采购政策的通知》（财库〔2017〕141号）文件规定，本项目支持残疾人福利性单位参与政府采购活动。符合条件的残疾人福利性单位参加本项目投标时，应当提供本通知规定的《残疾人福利性单位声明函》，并对声明的真实性负责，视同小型、微型企业。</w:t>
            </w:r>
          </w:p>
          <w:p w14:paraId="20B96687">
            <w:pPr>
              <w:pStyle w:val="25"/>
              <w:spacing w:before="233" w:line="520" w:lineRule="exact"/>
              <w:ind w:left="111"/>
              <w:rPr>
                <w:spacing w:val="-2"/>
                <w:position w:val="21"/>
                <w:sz w:val="24"/>
                <w:szCs w:val="24"/>
                <w14:textOutline w14:w="4354">
                  <w14:solidFill>
                    <w14:srgbClr w14:val="000000"/>
                  </w14:solidFill>
                  <w14:prstDash w14:val="solid"/>
                  <w14:miter w14:val="0"/>
                </w14:textOutline>
              </w:rPr>
            </w:pPr>
            <w:r>
              <w:rPr>
                <w:spacing w:val="-2"/>
                <w:position w:val="21"/>
                <w:sz w:val="24"/>
                <w:szCs w:val="24"/>
                <w14:textOutline w14:w="4354">
                  <w14:solidFill>
                    <w14:srgbClr w14:val="000000"/>
                  </w14:solidFill>
                  <w14:prstDash w14:val="solid"/>
                  <w14:miter w14:val="0"/>
                </w14:textOutline>
              </w:rPr>
              <w:t>注：本项目</w:t>
            </w:r>
            <w:r>
              <w:rPr>
                <w:rFonts w:hint="eastAsia"/>
                <w:spacing w:val="-2"/>
                <w:position w:val="21"/>
                <w:sz w:val="24"/>
                <w:szCs w:val="24"/>
                <w:lang w:val="en-US" w:eastAsia="zh-CN"/>
                <w14:textOutline w14:w="4354">
                  <w14:solidFill>
                    <w14:srgbClr w14:val="000000"/>
                  </w14:solidFill>
                  <w14:prstDash w14:val="solid"/>
                  <w14:miter w14:val="0"/>
                </w14:textOutline>
              </w:rPr>
              <w:t>不</w:t>
            </w:r>
            <w:r>
              <w:rPr>
                <w:spacing w:val="-2"/>
                <w:position w:val="21"/>
                <w:sz w:val="24"/>
                <w:szCs w:val="24"/>
                <w14:textOutline w14:w="4354">
                  <w14:solidFill>
                    <w14:srgbClr w14:val="000000"/>
                  </w14:solidFill>
                  <w14:prstDash w14:val="solid"/>
                  <w14:miter w14:val="0"/>
                </w14:textOutline>
              </w:rPr>
              <w:t>专门面向中小企业采购项目，且不接受联合体投标。</w:t>
            </w:r>
          </w:p>
          <w:p w14:paraId="1E67AF5A">
            <w:pPr>
              <w:pStyle w:val="25"/>
              <w:spacing w:before="232" w:line="400" w:lineRule="auto"/>
              <w:ind w:left="109" w:right="102" w:firstLine="8"/>
              <w:rPr>
                <w:sz w:val="24"/>
                <w:szCs w:val="24"/>
              </w:rPr>
            </w:pPr>
            <w:r>
              <w:rPr>
                <w:spacing w:val="-14"/>
                <w:sz w:val="24"/>
                <w:szCs w:val="24"/>
              </w:rPr>
              <w:t>（2）根据《节能产品政府采购实施意见》（财库「2004」18</w:t>
            </w:r>
            <w:r>
              <w:rPr>
                <w:spacing w:val="1"/>
                <w:sz w:val="24"/>
                <w:szCs w:val="24"/>
              </w:rPr>
              <w:t xml:space="preserve"> </w:t>
            </w:r>
            <w:r>
              <w:rPr>
                <w:spacing w:val="-1"/>
                <w:sz w:val="24"/>
                <w:szCs w:val="24"/>
              </w:rPr>
              <w:t>5</w:t>
            </w:r>
            <w:r>
              <w:rPr>
                <w:spacing w:val="-26"/>
                <w:sz w:val="24"/>
                <w:szCs w:val="24"/>
              </w:rPr>
              <w:t xml:space="preserve"> </w:t>
            </w:r>
            <w:r>
              <w:rPr>
                <w:spacing w:val="-1"/>
                <w:sz w:val="24"/>
                <w:szCs w:val="24"/>
              </w:rPr>
              <w:t>号）的规定，投标产品如果是最新一期节能产品政府采</w:t>
            </w:r>
            <w:r>
              <w:rPr>
                <w:sz w:val="24"/>
                <w:szCs w:val="24"/>
              </w:rPr>
              <w:t xml:space="preserve"> </w:t>
            </w:r>
            <w:r>
              <w:rPr>
                <w:spacing w:val="-9"/>
                <w:sz w:val="24"/>
                <w:szCs w:val="24"/>
              </w:rPr>
              <w:t>购清单内的产品且在有效期内，</w:t>
            </w:r>
            <w:r>
              <w:rPr>
                <w:spacing w:val="41"/>
                <w:sz w:val="24"/>
                <w:szCs w:val="24"/>
              </w:rPr>
              <w:t xml:space="preserve"> </w:t>
            </w:r>
            <w:r>
              <w:rPr>
                <w:spacing w:val="-9"/>
                <w:sz w:val="24"/>
                <w:szCs w:val="24"/>
              </w:rPr>
              <w:t>优先予以采购。（响应文</w:t>
            </w:r>
            <w:r>
              <w:rPr>
                <w:sz w:val="24"/>
                <w:szCs w:val="24"/>
              </w:rPr>
              <w:t xml:space="preserve"> </w:t>
            </w:r>
            <w:r>
              <w:rPr>
                <w:spacing w:val="-8"/>
                <w:sz w:val="24"/>
                <w:szCs w:val="24"/>
              </w:rPr>
              <w:t>件中须提供有效的证明材料且加盖供应商公章，</w:t>
            </w:r>
            <w:r>
              <w:rPr>
                <w:spacing w:val="29"/>
                <w:sz w:val="24"/>
                <w:szCs w:val="24"/>
              </w:rPr>
              <w:t xml:space="preserve"> </w:t>
            </w:r>
            <w:r>
              <w:rPr>
                <w:spacing w:val="-8"/>
                <w:sz w:val="24"/>
                <w:szCs w:val="24"/>
              </w:rPr>
              <w:t>否则不予</w:t>
            </w:r>
          </w:p>
          <w:p w14:paraId="08AA10A5">
            <w:pPr>
              <w:pStyle w:val="25"/>
              <w:spacing w:before="1" w:line="221" w:lineRule="auto"/>
              <w:ind w:left="111"/>
              <w:rPr>
                <w:sz w:val="24"/>
                <w:szCs w:val="24"/>
              </w:rPr>
            </w:pPr>
            <w:r>
              <w:rPr>
                <w:spacing w:val="-6"/>
                <w:sz w:val="24"/>
                <w:szCs w:val="24"/>
              </w:rPr>
              <w:t>认可）</w:t>
            </w:r>
          </w:p>
          <w:p w14:paraId="3F550A95">
            <w:pPr>
              <w:pStyle w:val="25"/>
              <w:spacing w:before="1" w:line="220" w:lineRule="auto"/>
              <w:ind w:left="114" w:leftChars="0"/>
              <w:rPr>
                <w:rFonts w:ascii="宋体" w:hAnsi="宋体" w:eastAsia="宋体" w:cs="宋体"/>
                <w:snapToGrid w:val="0"/>
                <w:color w:val="000000"/>
                <w:kern w:val="0"/>
                <w:sz w:val="24"/>
                <w:szCs w:val="24"/>
                <w:lang w:val="en-US" w:eastAsia="en-US" w:bidi="ar-SA"/>
              </w:rPr>
            </w:pPr>
          </w:p>
        </w:tc>
      </w:tr>
      <w:tr w14:paraId="4E3A7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5" w:type="dxa"/>
          <w:trHeight w:val="924" w:hRule="atLeast"/>
        </w:trPr>
        <w:tc>
          <w:tcPr>
            <w:tcW w:w="9033" w:type="dxa"/>
            <w:gridSpan w:val="4"/>
            <w:vAlign w:val="center"/>
          </w:tcPr>
          <w:p w14:paraId="54B0EAB3">
            <w:pPr>
              <w:pStyle w:val="25"/>
              <w:spacing w:before="1" w:line="220" w:lineRule="auto"/>
              <w:ind w:left="114" w:leftChars="0"/>
              <w:jc w:val="center"/>
              <w:rPr>
                <w:spacing w:val="2"/>
                <w:sz w:val="24"/>
                <w:szCs w:val="24"/>
              </w:rPr>
            </w:pPr>
            <w:r>
              <w:rPr>
                <w:spacing w:val="-1"/>
                <w:sz w:val="24"/>
                <w:szCs w:val="24"/>
              </w:rPr>
              <w:t>本招标文件最终解释权归采购人和采购代理机构所有</w:t>
            </w:r>
          </w:p>
        </w:tc>
      </w:tr>
    </w:tbl>
    <w:p w14:paraId="77D6FF74">
      <w:pPr>
        <w:rPr>
          <w:rFonts w:ascii="Arial"/>
          <w:sz w:val="21"/>
        </w:rPr>
      </w:pPr>
    </w:p>
    <w:p w14:paraId="4F1CB8FB">
      <w:pPr>
        <w:numPr>
          <w:ilvl w:val="0"/>
          <w:numId w:val="2"/>
        </w:numPr>
        <w:spacing w:line="400" w:lineRule="exact"/>
        <w:ind w:firstLine="420" w:firstLineChars="200"/>
        <w:outlineLvl w:val="1"/>
        <w:rPr>
          <w:rFonts w:ascii="宋体" w:cs="宋体"/>
          <w:color w:val="auto"/>
          <w:sz w:val="24"/>
        </w:rPr>
      </w:pPr>
      <w:bookmarkStart w:id="1" w:name="_Toc40112130"/>
      <w:bookmarkStart w:id="2" w:name="_Toc21150"/>
      <w:bookmarkStart w:id="3" w:name="_Toc17929"/>
      <w:bookmarkStart w:id="4" w:name="_Toc7824"/>
      <w:bookmarkStart w:id="5" w:name="_Toc20682"/>
      <w:bookmarkStart w:id="6" w:name="_Toc9123"/>
      <w:r>
        <w:rPr>
          <w:rStyle w:val="33"/>
          <w:rFonts w:hint="eastAsia"/>
          <w:color w:val="auto"/>
          <w:sz w:val="21"/>
          <w:szCs w:val="21"/>
        </w:rPr>
        <w:t>总则</w:t>
      </w:r>
      <w:bookmarkEnd w:id="1"/>
      <w:bookmarkEnd w:id="2"/>
      <w:bookmarkEnd w:id="3"/>
      <w:bookmarkEnd w:id="4"/>
      <w:bookmarkEnd w:id="5"/>
      <w:bookmarkEnd w:id="6"/>
    </w:p>
    <w:p w14:paraId="6D650CD4">
      <w:pPr>
        <w:numPr>
          <w:ilvl w:val="1"/>
          <w:numId w:val="3"/>
        </w:numPr>
        <w:spacing w:line="400" w:lineRule="exact"/>
        <w:ind w:firstLine="420" w:firstLineChars="200"/>
        <w:rPr>
          <w:rFonts w:ascii="宋体" w:cs="宋体"/>
          <w:b/>
          <w:bCs/>
          <w:color w:val="auto"/>
        </w:rPr>
      </w:pPr>
      <w:bookmarkStart w:id="7" w:name="_Toc20743"/>
      <w:bookmarkStart w:id="8" w:name="_Toc5358"/>
      <w:bookmarkStart w:id="9" w:name="_Toc30432"/>
      <w:bookmarkStart w:id="10" w:name="_Toc2427"/>
      <w:bookmarkStart w:id="11" w:name="_Toc2081"/>
      <w:bookmarkStart w:id="12" w:name="_Toc30513"/>
      <w:bookmarkStart w:id="13" w:name="_Toc28200"/>
      <w:bookmarkStart w:id="14" w:name="_Toc15062"/>
      <w:bookmarkStart w:id="15" w:name="_Toc4828"/>
      <w:bookmarkStart w:id="16" w:name="_Toc28377"/>
      <w:bookmarkStart w:id="17" w:name="_Toc14496"/>
      <w:r>
        <w:rPr>
          <w:rFonts w:hint="eastAsia" w:ascii="宋体" w:hAnsi="宋体" w:cs="宋体"/>
          <w:b/>
          <w:bCs/>
          <w:color w:val="auto"/>
        </w:rPr>
        <w:t>适用范围</w:t>
      </w:r>
      <w:bookmarkEnd w:id="7"/>
      <w:bookmarkEnd w:id="8"/>
      <w:bookmarkEnd w:id="9"/>
      <w:bookmarkEnd w:id="10"/>
      <w:bookmarkEnd w:id="11"/>
      <w:bookmarkEnd w:id="12"/>
      <w:bookmarkEnd w:id="13"/>
      <w:bookmarkEnd w:id="14"/>
      <w:bookmarkEnd w:id="15"/>
      <w:bookmarkEnd w:id="16"/>
      <w:bookmarkEnd w:id="17"/>
    </w:p>
    <w:p w14:paraId="37593BA0">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本招标文件仅适用于本次所述的货物及其伴随的服务采购。</w:t>
      </w:r>
    </w:p>
    <w:p w14:paraId="554EED99">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本招标文件的解释权归采购人所有。</w:t>
      </w:r>
    </w:p>
    <w:p w14:paraId="1241C5E9">
      <w:pPr>
        <w:numPr>
          <w:ilvl w:val="1"/>
          <w:numId w:val="3"/>
        </w:numPr>
        <w:spacing w:line="400" w:lineRule="exact"/>
        <w:ind w:firstLine="420" w:firstLineChars="200"/>
        <w:rPr>
          <w:rFonts w:ascii="宋体" w:cs="宋体"/>
          <w:b/>
          <w:bCs/>
          <w:color w:val="auto"/>
        </w:rPr>
      </w:pPr>
      <w:bookmarkStart w:id="18" w:name="_Toc29424"/>
      <w:bookmarkStart w:id="19" w:name="_Toc19192"/>
      <w:bookmarkStart w:id="20" w:name="_Toc16716"/>
      <w:bookmarkStart w:id="21" w:name="_Toc18955"/>
      <w:r>
        <w:rPr>
          <w:rFonts w:hint="eastAsia" w:ascii="宋体" w:hAnsi="宋体" w:cs="宋体"/>
          <w:b/>
          <w:bCs/>
          <w:color w:val="auto"/>
        </w:rPr>
        <w:t>招标项目概况</w:t>
      </w:r>
      <w:bookmarkEnd w:id="18"/>
      <w:bookmarkEnd w:id="19"/>
      <w:bookmarkEnd w:id="20"/>
      <w:bookmarkEnd w:id="21"/>
    </w:p>
    <w:p w14:paraId="2E1E4043">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采购人：</w:t>
      </w:r>
      <w:r>
        <w:rPr>
          <w:rFonts w:hint="eastAsia" w:ascii="宋体" w:hAnsi="宋体" w:cs="宋体"/>
          <w:color w:val="auto"/>
          <w:szCs w:val="21"/>
          <w:lang w:eastAsia="zh-CN"/>
        </w:rPr>
        <w:t>供应商</w:t>
      </w:r>
      <w:r>
        <w:rPr>
          <w:rFonts w:hint="eastAsia" w:ascii="宋体" w:hAnsi="宋体" w:cs="宋体"/>
          <w:color w:val="auto"/>
          <w:szCs w:val="21"/>
        </w:rPr>
        <w:t>须知前附表中所述的、依法进行政府采购的国家机关、事业单位、团体组织。</w:t>
      </w:r>
    </w:p>
    <w:p w14:paraId="0C3123F4">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采购代理机构：受采购人委托组织招标活动，在招标过程中负有相应责任的社会中介组织。</w:t>
      </w:r>
    </w:p>
    <w:p w14:paraId="25103DBA">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项目编号及项目名称：见</w:t>
      </w:r>
      <w:r>
        <w:rPr>
          <w:rFonts w:hint="eastAsia" w:ascii="宋体" w:hAnsi="宋体" w:cs="宋体"/>
          <w:color w:val="auto"/>
          <w:szCs w:val="21"/>
          <w:lang w:eastAsia="zh-CN"/>
        </w:rPr>
        <w:t>供应商</w:t>
      </w:r>
      <w:r>
        <w:rPr>
          <w:rFonts w:hint="eastAsia" w:ascii="宋体" w:hAnsi="宋体" w:cs="宋体"/>
          <w:color w:val="auto"/>
          <w:szCs w:val="21"/>
        </w:rPr>
        <w:t>须知前附表。</w:t>
      </w:r>
    </w:p>
    <w:p w14:paraId="33072397">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本次采购内容：见</w:t>
      </w:r>
      <w:r>
        <w:rPr>
          <w:rFonts w:hint="eastAsia" w:ascii="宋体" w:hAnsi="宋体" w:cs="宋体"/>
          <w:color w:val="auto"/>
          <w:szCs w:val="21"/>
          <w:lang w:eastAsia="zh-CN"/>
        </w:rPr>
        <w:t>供应商</w:t>
      </w:r>
      <w:r>
        <w:rPr>
          <w:rFonts w:hint="eastAsia" w:ascii="宋体" w:hAnsi="宋体" w:cs="宋体"/>
          <w:color w:val="auto"/>
          <w:szCs w:val="21"/>
        </w:rPr>
        <w:t>须知前附表。</w:t>
      </w:r>
    </w:p>
    <w:p w14:paraId="424F2CA8">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资金来源及预算金额：见</w:t>
      </w:r>
      <w:r>
        <w:rPr>
          <w:rFonts w:hint="eastAsia" w:ascii="宋体" w:hAnsi="宋体" w:cs="宋体"/>
          <w:color w:val="auto"/>
          <w:szCs w:val="21"/>
          <w:lang w:eastAsia="zh-CN"/>
        </w:rPr>
        <w:t>供应商</w:t>
      </w:r>
      <w:r>
        <w:rPr>
          <w:rFonts w:hint="eastAsia" w:ascii="宋体" w:hAnsi="宋体" w:cs="宋体"/>
          <w:color w:val="auto"/>
          <w:szCs w:val="21"/>
        </w:rPr>
        <w:t>须知前附表。</w:t>
      </w:r>
    </w:p>
    <w:p w14:paraId="2485E6BE">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交货期：见</w:t>
      </w:r>
      <w:r>
        <w:rPr>
          <w:rFonts w:hint="eastAsia" w:ascii="宋体" w:hAnsi="宋体" w:cs="宋体"/>
          <w:color w:val="auto"/>
          <w:szCs w:val="21"/>
          <w:lang w:eastAsia="zh-CN"/>
        </w:rPr>
        <w:t>供应商</w:t>
      </w:r>
      <w:r>
        <w:rPr>
          <w:rFonts w:hint="eastAsia" w:ascii="宋体" w:hAnsi="宋体" w:cs="宋体"/>
          <w:color w:val="auto"/>
          <w:szCs w:val="21"/>
        </w:rPr>
        <w:t>须知前附表。</w:t>
      </w:r>
    </w:p>
    <w:p w14:paraId="5E46AEE1">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交货地点：见</w:t>
      </w:r>
      <w:r>
        <w:rPr>
          <w:rFonts w:hint="eastAsia" w:ascii="宋体" w:hAnsi="宋体" w:cs="宋体"/>
          <w:color w:val="auto"/>
          <w:szCs w:val="21"/>
          <w:lang w:eastAsia="zh-CN"/>
        </w:rPr>
        <w:t>供应商</w:t>
      </w:r>
      <w:r>
        <w:rPr>
          <w:rFonts w:hint="eastAsia" w:ascii="宋体" w:hAnsi="宋体" w:cs="宋体"/>
          <w:color w:val="auto"/>
          <w:szCs w:val="21"/>
        </w:rPr>
        <w:t>须知前附表。</w:t>
      </w:r>
    </w:p>
    <w:p w14:paraId="7EC7A659">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质保期：见</w:t>
      </w:r>
      <w:r>
        <w:rPr>
          <w:rFonts w:hint="eastAsia" w:ascii="宋体" w:hAnsi="宋体" w:cs="宋体"/>
          <w:color w:val="auto"/>
          <w:szCs w:val="21"/>
          <w:lang w:eastAsia="zh-CN"/>
        </w:rPr>
        <w:t>供应商</w:t>
      </w:r>
      <w:r>
        <w:rPr>
          <w:rFonts w:hint="eastAsia" w:ascii="宋体" w:hAnsi="宋体" w:cs="宋体"/>
          <w:color w:val="auto"/>
          <w:szCs w:val="21"/>
        </w:rPr>
        <w:t>须知前附表。</w:t>
      </w:r>
    </w:p>
    <w:p w14:paraId="204C77D5">
      <w:pPr>
        <w:numPr>
          <w:ilvl w:val="2"/>
          <w:numId w:val="3"/>
        </w:numPr>
        <w:adjustRightInd w:val="0"/>
        <w:snapToGrid w:val="0"/>
        <w:spacing w:line="400" w:lineRule="exact"/>
        <w:ind w:firstLine="420" w:firstLineChars="200"/>
        <w:rPr>
          <w:rFonts w:ascii="宋体" w:cs="宋体"/>
          <w:color w:val="auto"/>
          <w:kern w:val="0"/>
          <w:szCs w:val="21"/>
        </w:rPr>
      </w:pPr>
      <w:r>
        <w:rPr>
          <w:rFonts w:hint="eastAsia" w:ascii="宋体" w:hAnsi="宋体" w:cs="宋体"/>
          <w:color w:val="auto"/>
          <w:kern w:val="0"/>
          <w:szCs w:val="21"/>
        </w:rPr>
        <w:t>质量要求：见</w:t>
      </w:r>
      <w:r>
        <w:rPr>
          <w:rFonts w:hint="eastAsia" w:ascii="宋体" w:hAnsi="宋体" w:cs="宋体"/>
          <w:color w:val="auto"/>
          <w:kern w:val="0"/>
          <w:szCs w:val="21"/>
          <w:lang w:eastAsia="zh-CN"/>
        </w:rPr>
        <w:t>供应商</w:t>
      </w:r>
      <w:r>
        <w:rPr>
          <w:rFonts w:hint="eastAsia" w:ascii="宋体" w:hAnsi="宋体" w:cs="宋体"/>
          <w:color w:val="auto"/>
          <w:kern w:val="0"/>
          <w:szCs w:val="21"/>
        </w:rPr>
        <w:t>须知前附表。</w:t>
      </w:r>
    </w:p>
    <w:p w14:paraId="27F9B15A">
      <w:pPr>
        <w:numPr>
          <w:ilvl w:val="2"/>
          <w:numId w:val="3"/>
        </w:numPr>
        <w:adjustRightInd w:val="0"/>
        <w:snapToGrid w:val="0"/>
        <w:spacing w:line="400" w:lineRule="exact"/>
        <w:ind w:firstLine="420" w:firstLineChars="200"/>
        <w:rPr>
          <w:rFonts w:ascii="宋体" w:cs="宋体"/>
          <w:color w:val="auto"/>
          <w:kern w:val="0"/>
          <w:szCs w:val="21"/>
        </w:rPr>
      </w:pPr>
      <w:r>
        <w:rPr>
          <w:rFonts w:hint="eastAsia" w:ascii="宋体" w:hAnsi="宋体" w:cs="宋体"/>
          <w:color w:val="auto"/>
          <w:kern w:val="0"/>
          <w:szCs w:val="21"/>
          <w:lang w:eastAsia="zh-CN"/>
        </w:rPr>
        <w:t>供应商</w:t>
      </w:r>
      <w:r>
        <w:rPr>
          <w:rFonts w:hint="eastAsia" w:ascii="宋体" w:hAnsi="宋体" w:cs="宋体"/>
          <w:color w:val="auto"/>
          <w:kern w:val="0"/>
          <w:szCs w:val="21"/>
        </w:rPr>
        <w:t>资格要求：详见</w:t>
      </w:r>
      <w:r>
        <w:rPr>
          <w:rFonts w:hint="eastAsia" w:ascii="宋体" w:hAnsi="宋体" w:cs="宋体"/>
          <w:color w:val="auto"/>
          <w:kern w:val="0"/>
          <w:szCs w:val="21"/>
          <w:lang w:eastAsia="zh-CN"/>
        </w:rPr>
        <w:t>供应商</w:t>
      </w:r>
      <w:r>
        <w:rPr>
          <w:rFonts w:hint="eastAsia" w:ascii="宋体" w:hAnsi="宋体" w:cs="宋体"/>
          <w:color w:val="auto"/>
          <w:kern w:val="0"/>
          <w:szCs w:val="21"/>
        </w:rPr>
        <w:t>须知前附表。</w:t>
      </w:r>
    </w:p>
    <w:p w14:paraId="542CEFAB">
      <w:pPr>
        <w:numPr>
          <w:ilvl w:val="2"/>
          <w:numId w:val="3"/>
        </w:numPr>
        <w:adjustRightInd w:val="0"/>
        <w:snapToGrid w:val="0"/>
        <w:spacing w:line="400" w:lineRule="exact"/>
        <w:ind w:firstLine="420" w:firstLineChars="200"/>
        <w:rPr>
          <w:rFonts w:ascii="宋体" w:cs="宋体"/>
          <w:color w:val="auto"/>
          <w:kern w:val="0"/>
          <w:szCs w:val="21"/>
        </w:rPr>
      </w:pPr>
      <w:r>
        <w:rPr>
          <w:rFonts w:hint="eastAsia" w:ascii="宋体" w:hAnsi="宋体" w:cs="宋体"/>
          <w:color w:val="auto"/>
          <w:kern w:val="0"/>
          <w:szCs w:val="21"/>
        </w:rPr>
        <w:t>不接受联合体投标。</w:t>
      </w:r>
    </w:p>
    <w:p w14:paraId="100BE455">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kern w:val="0"/>
          <w:szCs w:val="21"/>
          <w:lang w:eastAsia="zh-CN"/>
        </w:rPr>
        <w:t>供应商</w:t>
      </w:r>
      <w:r>
        <w:rPr>
          <w:rFonts w:hint="eastAsia" w:ascii="宋体" w:hAnsi="宋体" w:cs="宋体"/>
          <w:color w:val="auto"/>
          <w:kern w:val="0"/>
          <w:szCs w:val="21"/>
        </w:rPr>
        <w:t>不得存在下列情形之一：</w:t>
      </w:r>
    </w:p>
    <w:p w14:paraId="1BA81AEB">
      <w:pPr>
        <w:numPr>
          <w:ilvl w:val="0"/>
          <w:numId w:val="4"/>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为采购人不具有独立法人资格的附属机构（单位）；</w:t>
      </w:r>
    </w:p>
    <w:p w14:paraId="6B4AC95E">
      <w:pPr>
        <w:numPr>
          <w:ilvl w:val="0"/>
          <w:numId w:val="4"/>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单位负责人为同一人或者存在直接控股、管理关系的不同供应商，不得参加同一合同项下的政府采购活动；</w:t>
      </w:r>
    </w:p>
    <w:p w14:paraId="0D2F60BC">
      <w:pPr>
        <w:numPr>
          <w:ilvl w:val="0"/>
          <w:numId w:val="4"/>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不得相互串通损害国家利益、社会公共利益和其他当事人的合法权益；不得以任何手段排斥其他</w:t>
      </w:r>
      <w:r>
        <w:rPr>
          <w:rFonts w:hint="eastAsia" w:ascii="宋体" w:hAnsi="宋体" w:cs="宋体"/>
          <w:color w:val="auto"/>
          <w:szCs w:val="21"/>
          <w:lang w:eastAsia="zh-CN"/>
        </w:rPr>
        <w:t>供应商</w:t>
      </w:r>
      <w:r>
        <w:rPr>
          <w:rFonts w:hint="eastAsia" w:ascii="宋体" w:hAnsi="宋体" w:cs="宋体"/>
          <w:color w:val="auto"/>
          <w:szCs w:val="21"/>
        </w:rPr>
        <w:t>参与竞争；</w:t>
      </w:r>
    </w:p>
    <w:p w14:paraId="796907A3">
      <w:pPr>
        <w:numPr>
          <w:ilvl w:val="0"/>
          <w:numId w:val="4"/>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不得以向采购人行贿或者采取其他不正当手段谋取非法利益；</w:t>
      </w:r>
    </w:p>
    <w:p w14:paraId="28A72B5A">
      <w:pPr>
        <w:numPr>
          <w:ilvl w:val="0"/>
          <w:numId w:val="4"/>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为本项目提供招标代理服务的；</w:t>
      </w:r>
    </w:p>
    <w:p w14:paraId="1604C8B1">
      <w:pPr>
        <w:numPr>
          <w:ilvl w:val="0"/>
          <w:numId w:val="4"/>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被责令停业的；</w:t>
      </w:r>
    </w:p>
    <w:p w14:paraId="2D343248">
      <w:pPr>
        <w:numPr>
          <w:ilvl w:val="0"/>
          <w:numId w:val="4"/>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被暂停或取消投标资格的；</w:t>
      </w:r>
    </w:p>
    <w:p w14:paraId="4F239F8A">
      <w:pPr>
        <w:numPr>
          <w:ilvl w:val="0"/>
          <w:numId w:val="4"/>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财产被接管或冻结的；</w:t>
      </w:r>
    </w:p>
    <w:p w14:paraId="4703433F">
      <w:pPr>
        <w:numPr>
          <w:ilvl w:val="0"/>
          <w:numId w:val="4"/>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在最近三年内有骗取中标或严重违约或重大质量问题的。</w:t>
      </w:r>
    </w:p>
    <w:p w14:paraId="1E46F87B">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中标人：接到并接受中标通知，最终被授予合同的供应商。</w:t>
      </w:r>
    </w:p>
    <w:p w14:paraId="6DA51962">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投标文件：指</w:t>
      </w:r>
      <w:r>
        <w:rPr>
          <w:rFonts w:hint="eastAsia" w:ascii="宋体" w:hAnsi="宋体" w:cs="宋体"/>
          <w:color w:val="auto"/>
          <w:szCs w:val="21"/>
          <w:lang w:eastAsia="zh-CN"/>
        </w:rPr>
        <w:t>供应商</w:t>
      </w:r>
      <w:r>
        <w:rPr>
          <w:rFonts w:hint="eastAsia" w:ascii="宋体" w:hAnsi="宋体" w:cs="宋体"/>
          <w:color w:val="auto"/>
          <w:szCs w:val="21"/>
        </w:rPr>
        <w:t>根据招标文件提交的所有文件。</w:t>
      </w:r>
    </w:p>
    <w:p w14:paraId="4D77A64D">
      <w:pPr>
        <w:numPr>
          <w:ilvl w:val="1"/>
          <w:numId w:val="3"/>
        </w:numPr>
        <w:spacing w:line="400" w:lineRule="exact"/>
        <w:ind w:firstLine="420" w:firstLineChars="200"/>
        <w:rPr>
          <w:rFonts w:ascii="宋体" w:cs="宋体"/>
          <w:b/>
          <w:bCs/>
          <w:color w:val="auto"/>
        </w:rPr>
      </w:pPr>
      <w:bookmarkStart w:id="22" w:name="_Toc25850"/>
      <w:bookmarkStart w:id="23" w:name="_Toc9501"/>
      <w:bookmarkStart w:id="24" w:name="_Toc8166"/>
      <w:bookmarkStart w:id="25" w:name="_Toc4927"/>
      <w:r>
        <w:rPr>
          <w:rFonts w:hint="eastAsia" w:ascii="宋体" w:hAnsi="宋体" w:cs="宋体"/>
          <w:b/>
          <w:bCs/>
          <w:color w:val="auto"/>
        </w:rPr>
        <w:t>投标费用</w:t>
      </w:r>
      <w:bookmarkEnd w:id="22"/>
      <w:bookmarkEnd w:id="23"/>
      <w:bookmarkEnd w:id="24"/>
      <w:bookmarkEnd w:id="25"/>
    </w:p>
    <w:p w14:paraId="55038389">
      <w:pPr>
        <w:numPr>
          <w:ilvl w:val="2"/>
          <w:numId w:val="3"/>
        </w:numPr>
        <w:adjustRightInd w:val="0"/>
        <w:snapToGrid w:val="0"/>
        <w:spacing w:line="400" w:lineRule="exact"/>
        <w:ind w:firstLine="420" w:firstLineChars="200"/>
        <w:rPr>
          <w:rFonts w:ascii="宋体" w:cs="宋体"/>
          <w:color w:val="auto"/>
          <w:szCs w:val="21"/>
        </w:rPr>
      </w:pPr>
      <w:bookmarkStart w:id="26" w:name="_Toc22953398"/>
      <w:bookmarkEnd w:id="26"/>
      <w:bookmarkStart w:id="27" w:name="_Toc312133544"/>
      <w:r>
        <w:rPr>
          <w:rFonts w:hint="eastAsia" w:ascii="宋体" w:hAnsi="宋体" w:cs="宋体"/>
          <w:color w:val="auto"/>
          <w:szCs w:val="21"/>
          <w:lang w:eastAsia="zh-CN"/>
        </w:rPr>
        <w:t>供应商</w:t>
      </w:r>
      <w:r>
        <w:rPr>
          <w:rFonts w:hint="eastAsia" w:ascii="宋体" w:hAnsi="宋体" w:cs="宋体"/>
          <w:color w:val="auto"/>
          <w:szCs w:val="21"/>
        </w:rPr>
        <w:t>准备和参加投标活动发生的费用自理。</w:t>
      </w:r>
    </w:p>
    <w:p w14:paraId="44ED51BC">
      <w:pPr>
        <w:numPr>
          <w:ilvl w:val="1"/>
          <w:numId w:val="3"/>
        </w:numPr>
        <w:spacing w:line="400" w:lineRule="exact"/>
        <w:ind w:firstLine="420" w:firstLineChars="200"/>
        <w:rPr>
          <w:rFonts w:ascii="宋体" w:cs="宋体"/>
          <w:b/>
          <w:bCs/>
          <w:color w:val="auto"/>
        </w:rPr>
      </w:pPr>
      <w:bookmarkStart w:id="28" w:name="_Toc1130"/>
      <w:bookmarkStart w:id="29" w:name="_Toc28577"/>
      <w:bookmarkStart w:id="30" w:name="_Toc28829"/>
      <w:bookmarkStart w:id="31" w:name="_Toc18613"/>
      <w:bookmarkStart w:id="32" w:name="_Toc31440"/>
      <w:bookmarkStart w:id="33" w:name="_Toc12301"/>
      <w:bookmarkStart w:id="34" w:name="_Toc30990"/>
      <w:bookmarkStart w:id="35" w:name="_Toc27047"/>
      <w:bookmarkStart w:id="36" w:name="_Toc13660"/>
      <w:bookmarkStart w:id="37" w:name="_Toc13179"/>
      <w:bookmarkStart w:id="38" w:name="_Toc23865"/>
      <w:r>
        <w:rPr>
          <w:rFonts w:hint="eastAsia" w:ascii="宋体" w:hAnsi="宋体" w:cs="宋体"/>
          <w:b/>
          <w:bCs/>
          <w:color w:val="auto"/>
        </w:rPr>
        <w:t>现场考察或答疑会</w:t>
      </w:r>
      <w:bookmarkEnd w:id="28"/>
      <w:bookmarkEnd w:id="29"/>
      <w:bookmarkEnd w:id="30"/>
      <w:bookmarkEnd w:id="31"/>
      <w:bookmarkEnd w:id="32"/>
      <w:bookmarkEnd w:id="33"/>
      <w:bookmarkEnd w:id="34"/>
      <w:bookmarkEnd w:id="35"/>
      <w:bookmarkEnd w:id="36"/>
      <w:bookmarkEnd w:id="37"/>
      <w:bookmarkEnd w:id="38"/>
    </w:p>
    <w:p w14:paraId="500B3E03">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现场考察：</w:t>
      </w:r>
      <w:r>
        <w:rPr>
          <w:rFonts w:hint="eastAsia" w:ascii="宋体" w:hAnsi="宋体" w:cs="宋体"/>
          <w:color w:val="auto"/>
          <w:szCs w:val="21"/>
          <w:lang w:eastAsia="zh-CN"/>
        </w:rPr>
        <w:t>供应商</w:t>
      </w:r>
      <w:r>
        <w:rPr>
          <w:rFonts w:hint="eastAsia" w:ascii="宋体" w:hAnsi="宋体" w:cs="宋体"/>
          <w:color w:val="auto"/>
          <w:szCs w:val="21"/>
        </w:rPr>
        <w:t>须知前附表规定组织现场考察的，采购人按</w:t>
      </w:r>
      <w:r>
        <w:rPr>
          <w:rFonts w:hint="eastAsia" w:ascii="宋体" w:hAnsi="宋体" w:cs="宋体"/>
          <w:color w:val="auto"/>
          <w:szCs w:val="21"/>
          <w:lang w:eastAsia="zh-CN"/>
        </w:rPr>
        <w:t>供应商</w:t>
      </w:r>
      <w:r>
        <w:rPr>
          <w:rFonts w:hint="eastAsia" w:ascii="宋体" w:hAnsi="宋体" w:cs="宋体"/>
          <w:color w:val="auto"/>
          <w:szCs w:val="21"/>
        </w:rPr>
        <w:t>须知前附表规定的时间、地点组织</w:t>
      </w:r>
      <w:r>
        <w:rPr>
          <w:rFonts w:hint="eastAsia" w:ascii="宋体" w:hAnsi="宋体" w:cs="宋体"/>
          <w:color w:val="auto"/>
          <w:szCs w:val="21"/>
          <w:lang w:eastAsia="zh-CN"/>
        </w:rPr>
        <w:t>供应商</w:t>
      </w:r>
      <w:r>
        <w:rPr>
          <w:rFonts w:hint="eastAsia" w:ascii="宋体" w:hAnsi="宋体" w:cs="宋体"/>
          <w:color w:val="auto"/>
          <w:szCs w:val="21"/>
        </w:rPr>
        <w:t>考察项目现场。部分</w:t>
      </w:r>
      <w:r>
        <w:rPr>
          <w:rFonts w:hint="eastAsia" w:ascii="宋体" w:hAnsi="宋体" w:cs="宋体"/>
          <w:color w:val="auto"/>
          <w:szCs w:val="21"/>
          <w:lang w:eastAsia="zh-CN"/>
        </w:rPr>
        <w:t>供应商</w:t>
      </w:r>
      <w:r>
        <w:rPr>
          <w:rFonts w:hint="eastAsia" w:ascii="宋体" w:hAnsi="宋体" w:cs="宋体"/>
          <w:color w:val="auto"/>
          <w:szCs w:val="21"/>
        </w:rPr>
        <w:t>未按时参加现场考察的，不影响现场考察的正常进行。</w:t>
      </w:r>
    </w:p>
    <w:p w14:paraId="50E21658">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lang w:eastAsia="zh-CN"/>
        </w:rPr>
        <w:t>供应商</w:t>
      </w:r>
      <w:r>
        <w:rPr>
          <w:rFonts w:hint="eastAsia" w:ascii="宋体" w:hAnsi="宋体" w:cs="宋体"/>
          <w:color w:val="auto"/>
          <w:szCs w:val="21"/>
        </w:rPr>
        <w:t>现场考察发生的费用自理。</w:t>
      </w:r>
    </w:p>
    <w:p w14:paraId="59F712B4">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除采购人的原因外，</w:t>
      </w:r>
      <w:r>
        <w:rPr>
          <w:rFonts w:hint="eastAsia" w:ascii="宋体" w:hAnsi="宋体" w:cs="宋体"/>
          <w:color w:val="auto"/>
          <w:szCs w:val="21"/>
          <w:lang w:eastAsia="zh-CN"/>
        </w:rPr>
        <w:t>供应商</w:t>
      </w:r>
      <w:r>
        <w:rPr>
          <w:rFonts w:hint="eastAsia" w:ascii="宋体" w:hAnsi="宋体" w:cs="宋体"/>
          <w:color w:val="auto"/>
          <w:szCs w:val="21"/>
        </w:rPr>
        <w:t>自行负责在现场考察中所发生的人员伤亡和财产损失。</w:t>
      </w:r>
    </w:p>
    <w:p w14:paraId="47607930">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采购人在现场考察中介绍的项目场地和相关的周边环境情况，供</w:t>
      </w:r>
      <w:r>
        <w:rPr>
          <w:rFonts w:hint="eastAsia" w:ascii="宋体" w:hAnsi="宋体" w:cs="宋体"/>
          <w:color w:val="auto"/>
          <w:szCs w:val="21"/>
          <w:lang w:eastAsia="zh-CN"/>
        </w:rPr>
        <w:t>供应商</w:t>
      </w:r>
      <w:r>
        <w:rPr>
          <w:rFonts w:hint="eastAsia" w:ascii="宋体" w:hAnsi="宋体" w:cs="宋体"/>
          <w:color w:val="auto"/>
          <w:szCs w:val="21"/>
        </w:rPr>
        <w:t>在编制投标文件时参考，采购人不对</w:t>
      </w:r>
      <w:r>
        <w:rPr>
          <w:rFonts w:hint="eastAsia" w:ascii="宋体" w:hAnsi="宋体" w:cs="宋体"/>
          <w:color w:val="auto"/>
          <w:szCs w:val="21"/>
          <w:lang w:eastAsia="zh-CN"/>
        </w:rPr>
        <w:t>供应商</w:t>
      </w:r>
      <w:r>
        <w:rPr>
          <w:rFonts w:hint="eastAsia" w:ascii="宋体" w:hAnsi="宋体" w:cs="宋体"/>
          <w:color w:val="auto"/>
          <w:szCs w:val="21"/>
        </w:rPr>
        <w:t>据此作出的判断和决策负责。</w:t>
      </w:r>
    </w:p>
    <w:p w14:paraId="25550283">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答疑会：见</w:t>
      </w:r>
      <w:r>
        <w:rPr>
          <w:rFonts w:hint="eastAsia" w:ascii="宋体" w:hAnsi="宋体" w:cs="宋体"/>
          <w:color w:val="auto"/>
          <w:szCs w:val="21"/>
          <w:lang w:eastAsia="zh-CN"/>
        </w:rPr>
        <w:t>供应商</w:t>
      </w:r>
      <w:r>
        <w:rPr>
          <w:rFonts w:hint="eastAsia" w:ascii="宋体" w:hAnsi="宋体" w:cs="宋体"/>
          <w:color w:val="auto"/>
          <w:szCs w:val="21"/>
        </w:rPr>
        <w:t>须知前附表。</w:t>
      </w:r>
    </w:p>
    <w:p w14:paraId="2F1774AE">
      <w:pPr>
        <w:numPr>
          <w:ilvl w:val="1"/>
          <w:numId w:val="3"/>
        </w:numPr>
        <w:spacing w:line="400" w:lineRule="exact"/>
        <w:ind w:firstLine="420" w:firstLineChars="200"/>
        <w:rPr>
          <w:rFonts w:ascii="宋体" w:cs="宋体"/>
          <w:b/>
          <w:bCs/>
          <w:color w:val="auto"/>
        </w:rPr>
      </w:pPr>
      <w:bookmarkStart w:id="39" w:name="_Toc9110"/>
      <w:bookmarkStart w:id="40" w:name="_Toc10737"/>
      <w:bookmarkStart w:id="41" w:name="_Toc26711"/>
      <w:bookmarkStart w:id="42" w:name="_Toc6051"/>
      <w:bookmarkStart w:id="43" w:name="_Toc7448"/>
      <w:bookmarkStart w:id="44" w:name="_Toc28493"/>
      <w:bookmarkStart w:id="45" w:name="_Toc8265"/>
      <w:bookmarkStart w:id="46" w:name="_Toc20467"/>
      <w:bookmarkStart w:id="47" w:name="_Toc11040"/>
      <w:bookmarkStart w:id="48" w:name="_Toc9561"/>
      <w:bookmarkStart w:id="49" w:name="_Toc27635"/>
      <w:r>
        <w:rPr>
          <w:rFonts w:hint="eastAsia" w:ascii="宋体" w:hAnsi="宋体" w:cs="宋体"/>
          <w:b/>
          <w:bCs/>
          <w:color w:val="auto"/>
        </w:rPr>
        <w:t>分包</w:t>
      </w:r>
      <w:bookmarkEnd w:id="39"/>
      <w:bookmarkEnd w:id="40"/>
      <w:bookmarkEnd w:id="41"/>
      <w:bookmarkEnd w:id="42"/>
      <w:bookmarkEnd w:id="43"/>
      <w:bookmarkEnd w:id="44"/>
      <w:bookmarkEnd w:id="45"/>
      <w:bookmarkEnd w:id="46"/>
      <w:bookmarkEnd w:id="47"/>
      <w:bookmarkEnd w:id="48"/>
      <w:bookmarkEnd w:id="49"/>
    </w:p>
    <w:p w14:paraId="5ECC32FB">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不允许分包</w:t>
      </w:r>
    </w:p>
    <w:p w14:paraId="20783894">
      <w:pPr>
        <w:numPr>
          <w:ilvl w:val="1"/>
          <w:numId w:val="3"/>
        </w:numPr>
        <w:spacing w:line="400" w:lineRule="exact"/>
        <w:ind w:firstLine="420" w:firstLineChars="200"/>
        <w:rPr>
          <w:rFonts w:ascii="宋体" w:cs="宋体"/>
          <w:b/>
          <w:bCs/>
          <w:color w:val="auto"/>
        </w:rPr>
      </w:pPr>
      <w:bookmarkStart w:id="50" w:name="_Toc28651"/>
      <w:bookmarkStart w:id="51" w:name="_Toc31207"/>
      <w:bookmarkStart w:id="52" w:name="_Toc26753"/>
      <w:bookmarkStart w:id="53" w:name="_Toc18743"/>
      <w:bookmarkStart w:id="54" w:name="_Toc21582"/>
      <w:bookmarkStart w:id="55" w:name="_Toc6977"/>
      <w:bookmarkStart w:id="56" w:name="_Toc9963"/>
      <w:bookmarkStart w:id="57" w:name="_Toc20874"/>
      <w:bookmarkStart w:id="58" w:name="_Toc11954"/>
      <w:bookmarkStart w:id="59" w:name="_Toc6725"/>
      <w:bookmarkStart w:id="60" w:name="_Toc26863"/>
      <w:bookmarkStart w:id="61" w:name="_Toc2167"/>
      <w:bookmarkStart w:id="62" w:name="_Toc10914"/>
      <w:r>
        <w:rPr>
          <w:rFonts w:hint="eastAsia" w:ascii="宋体" w:hAnsi="宋体" w:cs="宋体"/>
          <w:b/>
          <w:bCs/>
          <w:color w:val="auto"/>
        </w:rPr>
        <w:t>响应和偏差</w:t>
      </w:r>
      <w:bookmarkEnd w:id="50"/>
      <w:bookmarkEnd w:id="51"/>
      <w:bookmarkEnd w:id="52"/>
      <w:bookmarkEnd w:id="53"/>
      <w:bookmarkEnd w:id="54"/>
      <w:bookmarkEnd w:id="55"/>
      <w:bookmarkEnd w:id="56"/>
      <w:bookmarkEnd w:id="57"/>
      <w:bookmarkEnd w:id="58"/>
      <w:bookmarkEnd w:id="59"/>
      <w:bookmarkEnd w:id="60"/>
      <w:bookmarkEnd w:id="61"/>
      <w:bookmarkEnd w:id="62"/>
    </w:p>
    <w:p w14:paraId="664139EA">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投标文件应当对招标文件的实质性要求和条件作出响应，实质性要求和条件见</w:t>
      </w:r>
      <w:r>
        <w:rPr>
          <w:rFonts w:hint="eastAsia" w:ascii="宋体" w:hAnsi="宋体" w:cs="宋体"/>
          <w:color w:val="auto"/>
          <w:szCs w:val="21"/>
          <w:lang w:eastAsia="zh-CN"/>
        </w:rPr>
        <w:t>供应商</w:t>
      </w:r>
      <w:r>
        <w:rPr>
          <w:rFonts w:hint="eastAsia" w:ascii="宋体" w:hAnsi="宋体" w:cs="宋体"/>
          <w:color w:val="auto"/>
          <w:szCs w:val="21"/>
        </w:rPr>
        <w:t>须知前附表。</w:t>
      </w:r>
    </w:p>
    <w:p w14:paraId="3B7C4B9D">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kern w:val="0"/>
          <w:szCs w:val="21"/>
        </w:rPr>
        <w:t>投标文件中应针对实质性要求和条件中列明的技术要求提供技术支持资料。技术支持资料以制造商公开发布的产品说明书，或检测机构</w:t>
      </w:r>
      <w:r>
        <w:rPr>
          <w:rFonts w:hint="eastAsia" w:ascii="宋体" w:hAnsi="宋体" w:cs="宋体"/>
          <w:color w:val="auto"/>
          <w:spacing w:val="-2"/>
          <w:kern w:val="0"/>
          <w:szCs w:val="21"/>
        </w:rPr>
        <w:t>出具的检测报告或检验报告，</w:t>
      </w:r>
      <w:r>
        <w:rPr>
          <w:rFonts w:hint="eastAsia" w:ascii="宋体" w:hAnsi="宋体" w:cs="宋体"/>
          <w:color w:val="auto"/>
          <w:kern w:val="0"/>
          <w:szCs w:val="21"/>
        </w:rPr>
        <w:t>或其他相关证明材料为准，不符合前述要求的，视为无技术支持资料。</w:t>
      </w:r>
    </w:p>
    <w:p w14:paraId="35489787">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lang w:eastAsia="zh-CN"/>
        </w:rPr>
        <w:t>供应商</w:t>
      </w:r>
      <w:r>
        <w:rPr>
          <w:rFonts w:hint="eastAsia" w:ascii="宋体" w:hAnsi="宋体" w:cs="宋体"/>
          <w:color w:val="auto"/>
          <w:szCs w:val="21"/>
        </w:rPr>
        <w:t>须知前附表允许投标文件偏离招标文件某些要求的，偏差应当符合招标文件规定的偏差范围和幅度。</w:t>
      </w:r>
    </w:p>
    <w:p w14:paraId="1C91F242">
      <w:pPr>
        <w:numPr>
          <w:ilvl w:val="2"/>
          <w:numId w:val="3"/>
        </w:numPr>
        <w:adjustRightInd w:val="0"/>
        <w:snapToGrid w:val="0"/>
        <w:spacing w:line="400" w:lineRule="exact"/>
        <w:ind w:firstLine="420" w:firstLineChars="200"/>
        <w:rPr>
          <w:rFonts w:ascii="宋体" w:cs="宋体"/>
          <w:color w:val="auto"/>
          <w:szCs w:val="21"/>
        </w:rPr>
      </w:pPr>
      <w:r>
        <w:rPr>
          <w:rFonts w:hint="eastAsia" w:ascii="宋体" w:hAnsi="宋体" w:cs="宋体"/>
          <w:color w:val="auto"/>
          <w:kern w:val="0"/>
          <w:szCs w:val="21"/>
        </w:rPr>
        <w:t>投标</w:t>
      </w:r>
      <w:r>
        <w:rPr>
          <w:rFonts w:hint="eastAsia" w:ascii="宋体" w:hAnsi="宋体" w:cs="宋体"/>
          <w:color w:val="auto"/>
          <w:spacing w:val="-2"/>
          <w:kern w:val="0"/>
          <w:szCs w:val="21"/>
        </w:rPr>
        <w:t>文</w:t>
      </w:r>
      <w:r>
        <w:rPr>
          <w:rFonts w:hint="eastAsia" w:ascii="宋体" w:hAnsi="宋体" w:cs="宋体"/>
          <w:color w:val="auto"/>
          <w:kern w:val="0"/>
          <w:szCs w:val="21"/>
        </w:rPr>
        <w:t>件对招标</w:t>
      </w:r>
      <w:r>
        <w:rPr>
          <w:rFonts w:hint="eastAsia" w:ascii="宋体" w:hAnsi="宋体" w:cs="宋体"/>
          <w:color w:val="auto"/>
          <w:spacing w:val="-2"/>
          <w:kern w:val="0"/>
          <w:szCs w:val="21"/>
        </w:rPr>
        <w:t>文</w:t>
      </w:r>
      <w:r>
        <w:rPr>
          <w:rFonts w:hint="eastAsia" w:ascii="宋体" w:hAnsi="宋体" w:cs="宋体"/>
          <w:color w:val="auto"/>
          <w:kern w:val="0"/>
          <w:szCs w:val="21"/>
        </w:rPr>
        <w:t>件的全部偏差，均应在</w:t>
      </w:r>
      <w:r>
        <w:rPr>
          <w:rFonts w:hint="eastAsia" w:ascii="宋体" w:hAnsi="宋体" w:cs="宋体"/>
          <w:color w:val="auto"/>
          <w:spacing w:val="-2"/>
          <w:kern w:val="0"/>
          <w:szCs w:val="21"/>
        </w:rPr>
        <w:t>投</w:t>
      </w:r>
      <w:r>
        <w:rPr>
          <w:rFonts w:hint="eastAsia" w:ascii="宋体" w:hAnsi="宋体" w:cs="宋体"/>
          <w:color w:val="auto"/>
          <w:kern w:val="0"/>
          <w:szCs w:val="21"/>
        </w:rPr>
        <w:t>标文件</w:t>
      </w:r>
      <w:r>
        <w:rPr>
          <w:rFonts w:hint="eastAsia" w:ascii="宋体" w:hAnsi="宋体" w:cs="宋体"/>
          <w:color w:val="auto"/>
          <w:spacing w:val="1"/>
          <w:kern w:val="0"/>
          <w:szCs w:val="21"/>
        </w:rPr>
        <w:t>的</w:t>
      </w:r>
      <w:r>
        <w:rPr>
          <w:rFonts w:hint="eastAsia" w:ascii="宋体" w:hAnsi="宋体" w:cs="宋体"/>
          <w:color w:val="auto"/>
          <w:kern w:val="0"/>
          <w:szCs w:val="21"/>
        </w:rPr>
        <w:t>商务和技术偏</w:t>
      </w:r>
      <w:r>
        <w:rPr>
          <w:rFonts w:hint="eastAsia" w:ascii="宋体" w:hAnsi="宋体" w:cs="宋体"/>
          <w:color w:val="auto"/>
          <w:spacing w:val="-2"/>
          <w:kern w:val="0"/>
          <w:szCs w:val="21"/>
        </w:rPr>
        <w:t>差</w:t>
      </w:r>
      <w:r>
        <w:rPr>
          <w:rFonts w:hint="eastAsia" w:ascii="宋体" w:hAnsi="宋体" w:cs="宋体"/>
          <w:color w:val="auto"/>
          <w:kern w:val="0"/>
          <w:szCs w:val="21"/>
        </w:rPr>
        <w:t>表中列明，除列明</w:t>
      </w:r>
      <w:r>
        <w:rPr>
          <w:rFonts w:hint="eastAsia" w:ascii="宋体" w:hAnsi="宋体" w:cs="宋体"/>
          <w:color w:val="auto"/>
          <w:spacing w:val="-2"/>
          <w:kern w:val="0"/>
          <w:szCs w:val="21"/>
        </w:rPr>
        <w:t>的</w:t>
      </w:r>
      <w:r>
        <w:rPr>
          <w:rFonts w:hint="eastAsia" w:ascii="宋体" w:hAnsi="宋体" w:cs="宋体"/>
          <w:color w:val="auto"/>
          <w:kern w:val="0"/>
          <w:szCs w:val="21"/>
        </w:rPr>
        <w:t>内</w:t>
      </w:r>
      <w:r>
        <w:rPr>
          <w:rFonts w:hint="eastAsia" w:ascii="宋体" w:hAnsi="宋体" w:cs="宋体"/>
          <w:color w:val="auto"/>
          <w:spacing w:val="-2"/>
          <w:kern w:val="0"/>
          <w:szCs w:val="21"/>
        </w:rPr>
        <w:t>容</w:t>
      </w:r>
      <w:r>
        <w:rPr>
          <w:rFonts w:hint="eastAsia" w:ascii="宋体" w:hAnsi="宋体" w:cs="宋体"/>
          <w:color w:val="auto"/>
          <w:kern w:val="0"/>
          <w:szCs w:val="21"/>
        </w:rPr>
        <w:t>外</w:t>
      </w:r>
      <w:r>
        <w:rPr>
          <w:rFonts w:hint="eastAsia" w:ascii="宋体" w:hAnsi="宋体" w:cs="宋体"/>
          <w:color w:val="auto"/>
          <w:spacing w:val="-2"/>
          <w:kern w:val="0"/>
          <w:szCs w:val="21"/>
        </w:rPr>
        <w:t>，</w:t>
      </w:r>
      <w:r>
        <w:rPr>
          <w:rFonts w:hint="eastAsia" w:ascii="宋体" w:hAnsi="宋体" w:cs="宋体"/>
          <w:color w:val="auto"/>
          <w:kern w:val="0"/>
          <w:szCs w:val="21"/>
        </w:rPr>
        <w:t>视</w:t>
      </w:r>
      <w:r>
        <w:rPr>
          <w:rFonts w:hint="eastAsia" w:ascii="宋体" w:hAnsi="宋体" w:cs="宋体"/>
          <w:color w:val="auto"/>
          <w:spacing w:val="-2"/>
          <w:kern w:val="0"/>
          <w:szCs w:val="21"/>
        </w:rPr>
        <w:t>为</w:t>
      </w:r>
      <w:r>
        <w:rPr>
          <w:rFonts w:hint="eastAsia" w:ascii="宋体" w:hAnsi="宋体" w:cs="宋体"/>
          <w:color w:val="auto"/>
          <w:kern w:val="0"/>
          <w:szCs w:val="21"/>
          <w:lang w:eastAsia="zh-CN"/>
        </w:rPr>
        <w:t>供应商</w:t>
      </w:r>
      <w:r>
        <w:rPr>
          <w:rFonts w:hint="eastAsia" w:ascii="宋体" w:hAnsi="宋体" w:cs="宋体"/>
          <w:color w:val="auto"/>
          <w:kern w:val="0"/>
          <w:szCs w:val="21"/>
        </w:rPr>
        <w:t>响</w:t>
      </w:r>
      <w:r>
        <w:rPr>
          <w:rFonts w:hint="eastAsia" w:ascii="宋体" w:hAnsi="宋体" w:cs="宋体"/>
          <w:color w:val="auto"/>
          <w:spacing w:val="-2"/>
          <w:kern w:val="0"/>
          <w:szCs w:val="21"/>
        </w:rPr>
        <w:t>应</w:t>
      </w:r>
      <w:r>
        <w:rPr>
          <w:rFonts w:hint="eastAsia" w:ascii="宋体" w:hAnsi="宋体" w:cs="宋体"/>
          <w:color w:val="auto"/>
          <w:kern w:val="0"/>
          <w:szCs w:val="21"/>
        </w:rPr>
        <w:t>招</w:t>
      </w:r>
      <w:r>
        <w:rPr>
          <w:rFonts w:hint="eastAsia" w:ascii="宋体" w:hAnsi="宋体" w:cs="宋体"/>
          <w:color w:val="auto"/>
          <w:spacing w:val="-2"/>
          <w:kern w:val="0"/>
          <w:szCs w:val="21"/>
        </w:rPr>
        <w:t>标</w:t>
      </w:r>
      <w:r>
        <w:rPr>
          <w:rFonts w:hint="eastAsia" w:ascii="宋体" w:hAnsi="宋体" w:cs="宋体"/>
          <w:color w:val="auto"/>
          <w:kern w:val="0"/>
          <w:szCs w:val="21"/>
        </w:rPr>
        <w:t>文</w:t>
      </w:r>
      <w:r>
        <w:rPr>
          <w:rFonts w:hint="eastAsia" w:ascii="宋体" w:hAnsi="宋体" w:cs="宋体"/>
          <w:color w:val="auto"/>
          <w:spacing w:val="-2"/>
          <w:kern w:val="0"/>
          <w:szCs w:val="21"/>
        </w:rPr>
        <w:t>件</w:t>
      </w:r>
      <w:r>
        <w:rPr>
          <w:rFonts w:hint="eastAsia" w:ascii="宋体" w:hAnsi="宋体" w:cs="宋体"/>
          <w:color w:val="auto"/>
          <w:kern w:val="0"/>
          <w:szCs w:val="21"/>
        </w:rPr>
        <w:t>的</w:t>
      </w:r>
      <w:r>
        <w:rPr>
          <w:rFonts w:hint="eastAsia" w:ascii="宋体" w:hAnsi="宋体" w:cs="宋体"/>
          <w:color w:val="auto"/>
          <w:spacing w:val="-2"/>
          <w:kern w:val="0"/>
          <w:szCs w:val="21"/>
        </w:rPr>
        <w:t>全</w:t>
      </w:r>
      <w:r>
        <w:rPr>
          <w:rFonts w:hint="eastAsia" w:ascii="宋体" w:hAnsi="宋体" w:cs="宋体"/>
          <w:color w:val="auto"/>
          <w:kern w:val="0"/>
          <w:szCs w:val="21"/>
        </w:rPr>
        <w:t>部</w:t>
      </w:r>
      <w:r>
        <w:rPr>
          <w:rFonts w:hint="eastAsia" w:ascii="宋体" w:hAnsi="宋体" w:cs="宋体"/>
          <w:color w:val="auto"/>
          <w:spacing w:val="-2"/>
          <w:kern w:val="0"/>
          <w:szCs w:val="21"/>
        </w:rPr>
        <w:t>要</w:t>
      </w:r>
      <w:r>
        <w:rPr>
          <w:rFonts w:hint="eastAsia" w:ascii="宋体" w:hAnsi="宋体" w:cs="宋体"/>
          <w:color w:val="auto"/>
          <w:kern w:val="0"/>
          <w:szCs w:val="21"/>
        </w:rPr>
        <w:t>求。</w:t>
      </w:r>
    </w:p>
    <w:p w14:paraId="135161FC">
      <w:pPr>
        <w:numPr>
          <w:ilvl w:val="1"/>
          <w:numId w:val="3"/>
        </w:numPr>
        <w:spacing w:line="400" w:lineRule="exact"/>
        <w:ind w:firstLine="420" w:firstLineChars="200"/>
        <w:rPr>
          <w:rFonts w:ascii="宋体" w:cs="宋体"/>
          <w:b/>
          <w:bCs/>
          <w:color w:val="auto"/>
        </w:rPr>
      </w:pPr>
      <w:r>
        <w:rPr>
          <w:rFonts w:hint="eastAsia" w:ascii="宋体" w:hAnsi="宋体" w:cs="宋体"/>
          <w:b/>
          <w:bCs/>
          <w:color w:val="auto"/>
        </w:rPr>
        <w:t>质量把控</w:t>
      </w:r>
    </w:p>
    <w:p w14:paraId="52511F12">
      <w:pPr>
        <w:spacing w:line="400" w:lineRule="exact"/>
        <w:ind w:firstLine="420" w:firstLineChars="200"/>
        <w:rPr>
          <w:rFonts w:ascii="宋体" w:cs="宋体"/>
          <w:color w:val="auto"/>
        </w:rPr>
      </w:pPr>
      <w:r>
        <w:rPr>
          <w:rFonts w:hint="eastAsia" w:ascii="宋体" w:hAnsi="宋体" w:cs="宋体"/>
          <w:color w:val="auto"/>
        </w:rPr>
        <w:t>详见</w:t>
      </w:r>
      <w:r>
        <w:rPr>
          <w:rFonts w:hint="eastAsia" w:ascii="宋体" w:hAnsi="宋体" w:cs="宋体"/>
          <w:color w:val="auto"/>
          <w:lang w:eastAsia="zh-CN"/>
        </w:rPr>
        <w:t>供应商</w:t>
      </w:r>
      <w:r>
        <w:rPr>
          <w:rFonts w:hint="eastAsia" w:ascii="宋体" w:hAnsi="宋体" w:cs="宋体"/>
          <w:color w:val="auto"/>
        </w:rPr>
        <w:t>须知前附表。</w:t>
      </w:r>
    </w:p>
    <w:p w14:paraId="60C0497B">
      <w:pPr>
        <w:numPr>
          <w:ilvl w:val="1"/>
          <w:numId w:val="3"/>
        </w:numPr>
        <w:spacing w:line="400" w:lineRule="exact"/>
        <w:ind w:firstLine="420" w:firstLineChars="200"/>
        <w:rPr>
          <w:rFonts w:ascii="宋体" w:cs="宋体"/>
          <w:b/>
          <w:bCs/>
          <w:color w:val="auto"/>
        </w:rPr>
      </w:pPr>
      <w:bookmarkStart w:id="63" w:name="_Toc9147"/>
      <w:bookmarkStart w:id="64" w:name="_Toc29202"/>
      <w:bookmarkStart w:id="65" w:name="_Toc14740"/>
      <w:bookmarkStart w:id="66" w:name="_Toc15630"/>
      <w:bookmarkStart w:id="67" w:name="_Toc12963"/>
      <w:bookmarkStart w:id="68" w:name="_Toc29855"/>
      <w:bookmarkStart w:id="69" w:name="_Toc11845"/>
      <w:bookmarkStart w:id="70" w:name="_Toc5477"/>
      <w:bookmarkStart w:id="71" w:name="_Toc25924"/>
      <w:bookmarkStart w:id="72" w:name="_Toc16595"/>
      <w:bookmarkStart w:id="73" w:name="_Toc9588"/>
      <w:r>
        <w:rPr>
          <w:rFonts w:hint="eastAsia" w:ascii="宋体" w:hAnsi="宋体" w:cs="宋体"/>
          <w:b/>
          <w:bCs/>
          <w:color w:val="auto"/>
        </w:rPr>
        <w:t>投标语言</w:t>
      </w:r>
      <w:bookmarkEnd w:id="63"/>
      <w:bookmarkEnd w:id="64"/>
      <w:bookmarkEnd w:id="65"/>
      <w:bookmarkEnd w:id="66"/>
      <w:bookmarkEnd w:id="67"/>
      <w:bookmarkEnd w:id="68"/>
      <w:bookmarkEnd w:id="69"/>
      <w:bookmarkEnd w:id="70"/>
      <w:bookmarkEnd w:id="71"/>
      <w:bookmarkEnd w:id="72"/>
      <w:bookmarkEnd w:id="73"/>
    </w:p>
    <w:p w14:paraId="7E6DB890">
      <w:pPr>
        <w:adjustRightInd w:val="0"/>
        <w:snapToGrid w:val="0"/>
        <w:spacing w:line="400" w:lineRule="exact"/>
        <w:ind w:firstLine="420" w:firstLineChars="200"/>
        <w:rPr>
          <w:rFonts w:ascii="宋体" w:cs="宋体"/>
          <w:color w:val="auto"/>
          <w:szCs w:val="21"/>
        </w:rPr>
      </w:pPr>
      <w:r>
        <w:rPr>
          <w:rFonts w:hint="eastAsia" w:ascii="宋体" w:hAnsi="宋体" w:cs="宋体"/>
          <w:color w:val="auto"/>
          <w:kern w:val="0"/>
          <w:szCs w:val="21"/>
        </w:rPr>
        <w:t>招标</w:t>
      </w:r>
      <w:r>
        <w:rPr>
          <w:rFonts w:hint="eastAsia" w:ascii="宋体" w:hAnsi="宋体" w:cs="宋体"/>
          <w:color w:val="auto"/>
          <w:spacing w:val="-2"/>
          <w:kern w:val="0"/>
          <w:szCs w:val="21"/>
        </w:rPr>
        <w:t>投</w:t>
      </w:r>
      <w:r>
        <w:rPr>
          <w:rFonts w:hint="eastAsia" w:ascii="宋体" w:hAnsi="宋体" w:cs="宋体"/>
          <w:color w:val="auto"/>
          <w:kern w:val="0"/>
          <w:szCs w:val="21"/>
        </w:rPr>
        <w:t>标</w:t>
      </w:r>
      <w:r>
        <w:rPr>
          <w:rFonts w:hint="eastAsia" w:ascii="宋体" w:hAnsi="宋体" w:cs="宋体"/>
          <w:color w:val="auto"/>
          <w:spacing w:val="-2"/>
          <w:kern w:val="0"/>
          <w:szCs w:val="21"/>
        </w:rPr>
        <w:t>文</w:t>
      </w:r>
      <w:r>
        <w:rPr>
          <w:rFonts w:hint="eastAsia" w:ascii="宋体" w:hAnsi="宋体" w:cs="宋体"/>
          <w:color w:val="auto"/>
          <w:kern w:val="0"/>
          <w:szCs w:val="21"/>
        </w:rPr>
        <w:t>件</w:t>
      </w:r>
      <w:r>
        <w:rPr>
          <w:rFonts w:hint="eastAsia" w:ascii="宋体" w:hAnsi="宋体" w:cs="宋体"/>
          <w:color w:val="auto"/>
          <w:spacing w:val="-2"/>
          <w:kern w:val="0"/>
          <w:szCs w:val="21"/>
        </w:rPr>
        <w:t>使</w:t>
      </w:r>
      <w:r>
        <w:rPr>
          <w:rFonts w:hint="eastAsia" w:ascii="宋体" w:hAnsi="宋体" w:cs="宋体"/>
          <w:color w:val="auto"/>
          <w:kern w:val="0"/>
          <w:szCs w:val="21"/>
        </w:rPr>
        <w:t>用</w:t>
      </w:r>
      <w:r>
        <w:rPr>
          <w:rFonts w:hint="eastAsia" w:ascii="宋体" w:hAnsi="宋体" w:cs="宋体"/>
          <w:color w:val="auto"/>
          <w:spacing w:val="-2"/>
          <w:kern w:val="0"/>
          <w:szCs w:val="21"/>
        </w:rPr>
        <w:t>的</w:t>
      </w:r>
      <w:r>
        <w:rPr>
          <w:rFonts w:hint="eastAsia" w:ascii="宋体" w:hAnsi="宋体" w:cs="宋体"/>
          <w:color w:val="auto"/>
          <w:kern w:val="0"/>
          <w:szCs w:val="21"/>
        </w:rPr>
        <w:t>语</w:t>
      </w:r>
      <w:r>
        <w:rPr>
          <w:rFonts w:hint="eastAsia" w:ascii="宋体" w:hAnsi="宋体" w:cs="宋体"/>
          <w:color w:val="auto"/>
          <w:spacing w:val="-2"/>
          <w:kern w:val="0"/>
          <w:szCs w:val="21"/>
        </w:rPr>
        <w:t>言</w:t>
      </w:r>
      <w:r>
        <w:rPr>
          <w:rFonts w:hint="eastAsia" w:ascii="宋体" w:hAnsi="宋体" w:cs="宋体"/>
          <w:color w:val="auto"/>
          <w:kern w:val="0"/>
          <w:szCs w:val="21"/>
        </w:rPr>
        <w:t>文字</w:t>
      </w:r>
      <w:r>
        <w:rPr>
          <w:rFonts w:hint="eastAsia" w:ascii="宋体" w:hAnsi="宋体" w:cs="宋体"/>
          <w:color w:val="auto"/>
          <w:spacing w:val="-2"/>
          <w:kern w:val="0"/>
          <w:szCs w:val="21"/>
        </w:rPr>
        <w:t>为</w:t>
      </w:r>
      <w:r>
        <w:rPr>
          <w:rFonts w:hint="eastAsia" w:ascii="宋体" w:hAnsi="宋体" w:cs="宋体"/>
          <w:color w:val="auto"/>
          <w:kern w:val="0"/>
          <w:szCs w:val="21"/>
        </w:rPr>
        <w:t>中</w:t>
      </w:r>
      <w:r>
        <w:rPr>
          <w:rFonts w:hint="eastAsia" w:ascii="宋体" w:hAnsi="宋体" w:cs="宋体"/>
          <w:color w:val="auto"/>
          <w:spacing w:val="-2"/>
          <w:kern w:val="0"/>
          <w:szCs w:val="21"/>
        </w:rPr>
        <w:t>文</w:t>
      </w:r>
      <w:r>
        <w:rPr>
          <w:rFonts w:hint="eastAsia" w:ascii="宋体" w:hAnsi="宋体" w:cs="宋体"/>
          <w:color w:val="auto"/>
          <w:kern w:val="0"/>
          <w:szCs w:val="21"/>
        </w:rPr>
        <w:t>。</w:t>
      </w:r>
      <w:r>
        <w:rPr>
          <w:rFonts w:hint="eastAsia" w:ascii="宋体" w:hAnsi="宋体" w:cs="宋体"/>
          <w:color w:val="auto"/>
          <w:spacing w:val="-2"/>
          <w:kern w:val="0"/>
          <w:szCs w:val="21"/>
        </w:rPr>
        <w:t>专</w:t>
      </w:r>
      <w:r>
        <w:rPr>
          <w:rFonts w:hint="eastAsia" w:ascii="宋体" w:hAnsi="宋体" w:cs="宋体"/>
          <w:color w:val="auto"/>
          <w:kern w:val="0"/>
          <w:szCs w:val="21"/>
        </w:rPr>
        <w:t>用</w:t>
      </w:r>
      <w:r>
        <w:rPr>
          <w:rFonts w:hint="eastAsia" w:ascii="宋体" w:hAnsi="宋体" w:cs="宋体"/>
          <w:color w:val="auto"/>
          <w:spacing w:val="-2"/>
          <w:kern w:val="0"/>
          <w:szCs w:val="21"/>
        </w:rPr>
        <w:t>术</w:t>
      </w:r>
      <w:r>
        <w:rPr>
          <w:rFonts w:hint="eastAsia" w:ascii="宋体" w:hAnsi="宋体" w:cs="宋体"/>
          <w:color w:val="auto"/>
          <w:kern w:val="0"/>
          <w:szCs w:val="21"/>
        </w:rPr>
        <w:t>语</w:t>
      </w:r>
      <w:r>
        <w:rPr>
          <w:rFonts w:hint="eastAsia" w:ascii="宋体" w:hAnsi="宋体" w:cs="宋体"/>
          <w:color w:val="auto"/>
          <w:spacing w:val="-2"/>
          <w:kern w:val="0"/>
          <w:szCs w:val="21"/>
        </w:rPr>
        <w:t>使</w:t>
      </w:r>
      <w:r>
        <w:rPr>
          <w:rFonts w:hint="eastAsia" w:ascii="宋体" w:hAnsi="宋体" w:cs="宋体"/>
          <w:color w:val="auto"/>
          <w:kern w:val="0"/>
          <w:szCs w:val="21"/>
        </w:rPr>
        <w:t>用外</w:t>
      </w:r>
      <w:r>
        <w:rPr>
          <w:rFonts w:hint="eastAsia" w:ascii="宋体" w:hAnsi="宋体" w:cs="宋体"/>
          <w:color w:val="auto"/>
          <w:spacing w:val="-2"/>
          <w:kern w:val="0"/>
          <w:szCs w:val="21"/>
        </w:rPr>
        <w:t>文</w:t>
      </w:r>
      <w:r>
        <w:rPr>
          <w:rFonts w:hint="eastAsia" w:ascii="宋体" w:hAnsi="宋体" w:cs="宋体"/>
          <w:color w:val="auto"/>
          <w:kern w:val="0"/>
          <w:szCs w:val="21"/>
        </w:rPr>
        <w:t>的</w:t>
      </w:r>
      <w:r>
        <w:rPr>
          <w:rFonts w:hint="eastAsia" w:ascii="宋体" w:hAnsi="宋体" w:cs="宋体"/>
          <w:color w:val="auto"/>
          <w:spacing w:val="-2"/>
          <w:kern w:val="0"/>
          <w:szCs w:val="21"/>
        </w:rPr>
        <w:t>，</w:t>
      </w:r>
      <w:r>
        <w:rPr>
          <w:rFonts w:hint="eastAsia" w:ascii="宋体" w:hAnsi="宋体" w:cs="宋体"/>
          <w:color w:val="auto"/>
          <w:kern w:val="0"/>
          <w:szCs w:val="21"/>
        </w:rPr>
        <w:t>应</w:t>
      </w:r>
      <w:r>
        <w:rPr>
          <w:rFonts w:hint="eastAsia" w:ascii="宋体" w:hAnsi="宋体" w:cs="宋体"/>
          <w:color w:val="auto"/>
          <w:spacing w:val="-2"/>
          <w:kern w:val="0"/>
          <w:szCs w:val="21"/>
        </w:rPr>
        <w:t>附</w:t>
      </w:r>
      <w:r>
        <w:rPr>
          <w:rFonts w:hint="eastAsia" w:ascii="宋体" w:hAnsi="宋体" w:cs="宋体"/>
          <w:color w:val="auto"/>
          <w:kern w:val="0"/>
          <w:szCs w:val="21"/>
        </w:rPr>
        <w:t>有</w:t>
      </w:r>
      <w:r>
        <w:rPr>
          <w:rFonts w:hint="eastAsia" w:ascii="宋体" w:hAnsi="宋体" w:cs="宋体"/>
          <w:color w:val="auto"/>
          <w:spacing w:val="-2"/>
          <w:kern w:val="0"/>
          <w:szCs w:val="21"/>
        </w:rPr>
        <w:t>中</w:t>
      </w:r>
      <w:r>
        <w:rPr>
          <w:rFonts w:hint="eastAsia" w:ascii="宋体" w:hAnsi="宋体" w:cs="宋体"/>
          <w:color w:val="auto"/>
          <w:kern w:val="0"/>
          <w:szCs w:val="21"/>
        </w:rPr>
        <w:t>文</w:t>
      </w:r>
      <w:r>
        <w:rPr>
          <w:rFonts w:hint="eastAsia" w:ascii="宋体" w:hAnsi="宋体" w:cs="宋体"/>
          <w:color w:val="auto"/>
          <w:spacing w:val="-2"/>
          <w:kern w:val="0"/>
          <w:szCs w:val="21"/>
        </w:rPr>
        <w:t>注</w:t>
      </w:r>
      <w:r>
        <w:rPr>
          <w:rFonts w:hint="eastAsia" w:ascii="宋体" w:hAnsi="宋体" w:cs="宋体"/>
          <w:color w:val="auto"/>
          <w:kern w:val="0"/>
          <w:szCs w:val="21"/>
        </w:rPr>
        <w:t>释</w:t>
      </w:r>
      <w:r>
        <w:rPr>
          <w:rFonts w:hint="eastAsia" w:ascii="宋体" w:hAnsi="宋体" w:cs="宋体"/>
          <w:color w:val="auto"/>
          <w:szCs w:val="21"/>
        </w:rPr>
        <w:t>。</w:t>
      </w:r>
    </w:p>
    <w:p w14:paraId="0574CB39">
      <w:pPr>
        <w:numPr>
          <w:ilvl w:val="1"/>
          <w:numId w:val="3"/>
        </w:numPr>
        <w:spacing w:line="400" w:lineRule="exact"/>
        <w:ind w:firstLine="420" w:firstLineChars="200"/>
        <w:rPr>
          <w:rFonts w:ascii="宋体" w:cs="宋体"/>
          <w:b/>
          <w:bCs/>
          <w:color w:val="auto"/>
        </w:rPr>
      </w:pPr>
      <w:bookmarkStart w:id="74" w:name="_Toc7785"/>
      <w:bookmarkStart w:id="75" w:name="_Toc14812"/>
      <w:bookmarkStart w:id="76" w:name="_Toc5019"/>
      <w:bookmarkStart w:id="77" w:name="_Toc22605"/>
      <w:bookmarkStart w:id="78" w:name="_Toc19599"/>
      <w:bookmarkStart w:id="79" w:name="_Toc14186"/>
      <w:bookmarkStart w:id="80" w:name="_Toc20418"/>
      <w:bookmarkStart w:id="81" w:name="_Toc21374"/>
      <w:bookmarkStart w:id="82" w:name="_Toc30395"/>
      <w:bookmarkStart w:id="83" w:name="_Toc9167"/>
      <w:bookmarkStart w:id="84" w:name="_Toc22466"/>
      <w:r>
        <w:rPr>
          <w:rFonts w:hint="eastAsia" w:ascii="宋体" w:hAnsi="宋体" w:cs="宋体"/>
          <w:b/>
          <w:bCs/>
          <w:color w:val="auto"/>
        </w:rPr>
        <w:t>投标文件计量单位</w:t>
      </w:r>
      <w:bookmarkEnd w:id="74"/>
      <w:bookmarkEnd w:id="75"/>
      <w:bookmarkEnd w:id="76"/>
      <w:bookmarkEnd w:id="77"/>
      <w:bookmarkEnd w:id="78"/>
      <w:bookmarkEnd w:id="79"/>
      <w:bookmarkEnd w:id="80"/>
      <w:bookmarkEnd w:id="81"/>
      <w:bookmarkEnd w:id="82"/>
      <w:bookmarkEnd w:id="83"/>
      <w:bookmarkEnd w:id="84"/>
    </w:p>
    <w:p w14:paraId="1D1CFFA6">
      <w:p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除在招标文件的技术文件中另有规定外，计量单位均使用中华人民共和国法定计量标准单位。</w:t>
      </w:r>
    </w:p>
    <w:p w14:paraId="51BBAE7E">
      <w:pPr>
        <w:numPr>
          <w:ilvl w:val="1"/>
          <w:numId w:val="3"/>
        </w:numPr>
        <w:spacing w:line="400" w:lineRule="exact"/>
        <w:ind w:firstLine="420" w:firstLineChars="200"/>
        <w:rPr>
          <w:rFonts w:hint="eastAsia" w:ascii="宋体" w:hAnsi="宋体" w:cs="宋体"/>
          <w:b/>
          <w:bCs/>
          <w:color w:val="auto"/>
        </w:rPr>
      </w:pPr>
      <w:bookmarkStart w:id="85" w:name="_Toc23957"/>
      <w:bookmarkStart w:id="86" w:name="_Toc2806"/>
      <w:bookmarkStart w:id="87" w:name="_Toc26769"/>
      <w:bookmarkStart w:id="88" w:name="_Toc15754"/>
      <w:bookmarkStart w:id="89" w:name="_Toc10045"/>
      <w:bookmarkStart w:id="90" w:name="_Toc23880"/>
      <w:bookmarkStart w:id="91" w:name="_Toc16602"/>
      <w:bookmarkStart w:id="92" w:name="_Toc12071"/>
      <w:bookmarkStart w:id="93" w:name="_Toc24747"/>
      <w:bookmarkStart w:id="94" w:name="_Toc4326"/>
      <w:bookmarkStart w:id="95" w:name="_Toc19923"/>
      <w:r>
        <w:rPr>
          <w:rFonts w:hint="eastAsia" w:ascii="宋体" w:hAnsi="宋体" w:cs="宋体"/>
          <w:b/>
          <w:bCs/>
          <w:color w:val="auto"/>
        </w:rPr>
        <w:t>投标货币</w:t>
      </w:r>
      <w:bookmarkEnd w:id="85"/>
      <w:bookmarkEnd w:id="86"/>
      <w:bookmarkEnd w:id="87"/>
      <w:bookmarkEnd w:id="88"/>
      <w:bookmarkEnd w:id="89"/>
      <w:bookmarkEnd w:id="90"/>
      <w:bookmarkEnd w:id="91"/>
      <w:bookmarkEnd w:id="92"/>
      <w:bookmarkEnd w:id="93"/>
      <w:bookmarkEnd w:id="94"/>
      <w:bookmarkEnd w:id="95"/>
    </w:p>
    <w:p w14:paraId="74998A8F">
      <w:pPr>
        <w:spacing w:line="400" w:lineRule="exact"/>
        <w:ind w:left="420" w:leftChars="200"/>
        <w:rPr>
          <w:rFonts w:ascii="宋体" w:cs="宋体"/>
          <w:color w:val="auto"/>
          <w:szCs w:val="21"/>
        </w:rPr>
      </w:pPr>
      <w:r>
        <w:rPr>
          <w:rFonts w:hint="eastAsia" w:ascii="宋体" w:hAnsi="宋体" w:cs="宋体"/>
          <w:color w:val="auto"/>
          <w:szCs w:val="21"/>
        </w:rPr>
        <w:t>除非另有规定，</w:t>
      </w:r>
      <w:r>
        <w:rPr>
          <w:rFonts w:hint="eastAsia" w:ascii="宋体" w:hAnsi="宋体" w:cs="宋体"/>
          <w:color w:val="auto"/>
          <w:szCs w:val="21"/>
          <w:lang w:eastAsia="zh-CN"/>
        </w:rPr>
        <w:t>供应商</w:t>
      </w:r>
      <w:r>
        <w:rPr>
          <w:rFonts w:hint="eastAsia" w:ascii="宋体" w:hAnsi="宋体" w:cs="宋体"/>
          <w:color w:val="auto"/>
          <w:szCs w:val="21"/>
        </w:rPr>
        <w:t>提供的所有服务用人民币报价。</w:t>
      </w:r>
    </w:p>
    <w:p w14:paraId="60B50BD2">
      <w:pPr>
        <w:numPr>
          <w:ilvl w:val="1"/>
          <w:numId w:val="3"/>
        </w:numPr>
        <w:spacing w:line="400" w:lineRule="exact"/>
        <w:ind w:firstLine="420" w:firstLineChars="200"/>
        <w:rPr>
          <w:rFonts w:ascii="宋体" w:cs="宋体"/>
          <w:b/>
          <w:bCs/>
          <w:color w:val="auto"/>
        </w:rPr>
      </w:pPr>
      <w:bookmarkStart w:id="96" w:name="_Toc12030"/>
      <w:bookmarkStart w:id="97" w:name="_Toc28184"/>
      <w:bookmarkStart w:id="98" w:name="_Toc31058"/>
      <w:bookmarkStart w:id="99" w:name="_Toc14764"/>
      <w:bookmarkStart w:id="100" w:name="_Toc29095"/>
      <w:bookmarkStart w:id="101" w:name="_Toc19335"/>
      <w:bookmarkStart w:id="102" w:name="_Toc24561"/>
      <w:bookmarkStart w:id="103" w:name="_Toc26021"/>
      <w:bookmarkStart w:id="104" w:name="_Toc4030"/>
      <w:bookmarkStart w:id="105" w:name="_Toc141"/>
      <w:bookmarkStart w:id="106" w:name="_Toc11598"/>
      <w:bookmarkStart w:id="107" w:name="_Toc16853"/>
      <w:bookmarkStart w:id="108" w:name="_Toc32032"/>
      <w:r>
        <w:rPr>
          <w:rFonts w:hint="eastAsia" w:ascii="宋体" w:hAnsi="宋体" w:cs="宋体"/>
          <w:b/>
          <w:bCs/>
          <w:color w:val="auto"/>
        </w:rPr>
        <w:t>保密</w:t>
      </w:r>
      <w:bookmarkEnd w:id="96"/>
      <w:bookmarkEnd w:id="97"/>
      <w:bookmarkEnd w:id="98"/>
      <w:bookmarkEnd w:id="99"/>
      <w:bookmarkEnd w:id="100"/>
      <w:bookmarkEnd w:id="101"/>
      <w:bookmarkEnd w:id="102"/>
      <w:bookmarkEnd w:id="103"/>
      <w:bookmarkEnd w:id="104"/>
      <w:bookmarkEnd w:id="105"/>
      <w:bookmarkEnd w:id="106"/>
      <w:bookmarkEnd w:id="107"/>
      <w:bookmarkEnd w:id="108"/>
    </w:p>
    <w:p w14:paraId="1FBCBB84">
      <w:p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参与招标投标活动的各方应对招标文件和投标文件中的商业和技术等秘密保密，否则应承担相应的法律责任。</w:t>
      </w:r>
    </w:p>
    <w:p w14:paraId="65F54737">
      <w:pPr>
        <w:numPr>
          <w:ilvl w:val="0"/>
          <w:numId w:val="2"/>
        </w:numPr>
        <w:spacing w:line="400" w:lineRule="exact"/>
        <w:ind w:firstLine="420" w:firstLineChars="200"/>
        <w:outlineLvl w:val="1"/>
        <w:rPr>
          <w:rStyle w:val="33"/>
          <w:color w:val="auto"/>
          <w:sz w:val="21"/>
          <w:szCs w:val="21"/>
        </w:rPr>
      </w:pPr>
      <w:bookmarkStart w:id="109" w:name="_Toc20566"/>
      <w:bookmarkStart w:id="110" w:name="_Toc3659"/>
      <w:bookmarkStart w:id="111" w:name="_Toc20563"/>
      <w:bookmarkStart w:id="112" w:name="_Toc136"/>
      <w:bookmarkStart w:id="113" w:name="_Toc7635"/>
      <w:bookmarkStart w:id="114" w:name="_Toc40112131"/>
      <w:r>
        <w:rPr>
          <w:rStyle w:val="33"/>
          <w:rFonts w:hint="eastAsia"/>
          <w:color w:val="auto"/>
          <w:sz w:val="21"/>
          <w:szCs w:val="21"/>
        </w:rPr>
        <w:t>招标文件</w:t>
      </w:r>
      <w:bookmarkEnd w:id="27"/>
      <w:bookmarkEnd w:id="109"/>
      <w:bookmarkEnd w:id="110"/>
      <w:bookmarkEnd w:id="111"/>
      <w:bookmarkEnd w:id="112"/>
      <w:bookmarkEnd w:id="113"/>
      <w:bookmarkEnd w:id="114"/>
    </w:p>
    <w:p w14:paraId="40759A9F">
      <w:pPr>
        <w:numPr>
          <w:ilvl w:val="1"/>
          <w:numId w:val="2"/>
        </w:numPr>
        <w:spacing w:line="400" w:lineRule="exact"/>
        <w:ind w:firstLine="420" w:firstLineChars="200"/>
        <w:rPr>
          <w:rFonts w:ascii="宋体" w:cs="宋体"/>
          <w:b/>
          <w:bCs/>
          <w:color w:val="auto"/>
        </w:rPr>
      </w:pPr>
      <w:bookmarkStart w:id="115" w:name="_Toc8008"/>
      <w:bookmarkStart w:id="116" w:name="_Toc3764"/>
      <w:bookmarkStart w:id="117" w:name="_Toc20524"/>
      <w:bookmarkStart w:id="118" w:name="_Toc14801"/>
      <w:r>
        <w:rPr>
          <w:rFonts w:hint="eastAsia" w:ascii="宋体" w:hAnsi="宋体" w:cs="宋体"/>
          <w:b/>
          <w:bCs/>
          <w:color w:val="auto"/>
        </w:rPr>
        <w:t>招标文件的构成</w:t>
      </w:r>
      <w:bookmarkEnd w:id="115"/>
      <w:bookmarkEnd w:id="116"/>
      <w:bookmarkEnd w:id="117"/>
      <w:bookmarkEnd w:id="118"/>
    </w:p>
    <w:p w14:paraId="522D6D8F">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招标文件用以阐明本次招标的货物和服务要求、招标投标程序和合同条件。</w:t>
      </w:r>
    </w:p>
    <w:p w14:paraId="49EA7EB9">
      <w:pPr>
        <w:pStyle w:val="15"/>
        <w:tabs>
          <w:tab w:val="left" w:pos="720"/>
          <w:tab w:val="left" w:pos="1080"/>
        </w:tabs>
        <w:adjustRightInd w:val="0"/>
        <w:snapToGrid w:val="0"/>
        <w:spacing w:line="400" w:lineRule="exact"/>
        <w:ind w:left="0" w:firstLine="420" w:firstLineChars="200"/>
        <w:rPr>
          <w:rFonts w:ascii="宋体" w:hAnsi="宋体" w:eastAsia="宋体" w:cs="宋体"/>
          <w:color w:val="auto"/>
          <w:sz w:val="21"/>
          <w:szCs w:val="21"/>
        </w:rPr>
      </w:pPr>
      <w:r>
        <w:rPr>
          <w:rFonts w:hint="eastAsia" w:ascii="宋体" w:hAnsi="宋体" w:eastAsia="宋体" w:cs="宋体"/>
          <w:color w:val="auto"/>
          <w:sz w:val="21"/>
          <w:szCs w:val="21"/>
        </w:rPr>
        <w:t>招标文件由下述部分组成：</w:t>
      </w:r>
      <w:r>
        <w:rPr>
          <w:rFonts w:ascii="宋体" w:hAnsi="宋体" w:eastAsia="宋体" w:cs="宋体"/>
          <w:color w:val="auto"/>
          <w:sz w:val="21"/>
          <w:szCs w:val="21"/>
        </w:rPr>
        <w:t xml:space="preserve"> </w:t>
      </w:r>
    </w:p>
    <w:p w14:paraId="4B8191F4">
      <w:pPr>
        <w:pStyle w:val="15"/>
        <w:tabs>
          <w:tab w:val="left" w:pos="720"/>
          <w:tab w:val="left" w:pos="1080"/>
        </w:tabs>
        <w:adjustRightInd w:val="0"/>
        <w:snapToGrid w:val="0"/>
        <w:spacing w:line="400" w:lineRule="exact"/>
        <w:ind w:left="0" w:firstLine="420" w:firstLineChars="200"/>
        <w:rPr>
          <w:rFonts w:ascii="宋体" w:hAnsi="宋体" w:eastAsia="宋体" w:cs="宋体"/>
          <w:color w:val="auto"/>
          <w:sz w:val="21"/>
          <w:szCs w:val="21"/>
        </w:rPr>
      </w:pPr>
      <w:r>
        <w:rPr>
          <w:rFonts w:hint="eastAsia" w:ascii="宋体" w:hAnsi="宋体" w:eastAsia="宋体" w:cs="宋体"/>
          <w:color w:val="auto"/>
          <w:sz w:val="21"/>
          <w:szCs w:val="21"/>
        </w:rPr>
        <w:t>第一章</w:t>
      </w:r>
      <w:r>
        <w:rPr>
          <w:rFonts w:ascii="宋体" w:hAnsi="宋体" w:eastAsia="宋体" w:cs="宋体"/>
          <w:color w:val="auto"/>
          <w:sz w:val="21"/>
          <w:szCs w:val="21"/>
        </w:rPr>
        <w:t xml:space="preserve"> </w:t>
      </w:r>
      <w:r>
        <w:rPr>
          <w:rFonts w:hint="eastAsia" w:ascii="宋体" w:hAnsi="宋体" w:eastAsia="宋体" w:cs="宋体"/>
          <w:color w:val="auto"/>
          <w:sz w:val="21"/>
          <w:szCs w:val="21"/>
        </w:rPr>
        <w:t>招标公告</w:t>
      </w:r>
    </w:p>
    <w:p w14:paraId="34DFFC33">
      <w:pPr>
        <w:pStyle w:val="15"/>
        <w:tabs>
          <w:tab w:val="left" w:pos="720"/>
          <w:tab w:val="left" w:pos="1080"/>
        </w:tabs>
        <w:adjustRightInd w:val="0"/>
        <w:snapToGrid w:val="0"/>
        <w:spacing w:line="400" w:lineRule="exact"/>
        <w:ind w:left="0" w:firstLine="420" w:firstLineChars="200"/>
        <w:rPr>
          <w:rFonts w:ascii="宋体" w:hAnsi="宋体" w:eastAsia="宋体" w:cs="宋体"/>
          <w:color w:val="auto"/>
          <w:sz w:val="21"/>
          <w:szCs w:val="21"/>
        </w:rPr>
      </w:pPr>
      <w:r>
        <w:rPr>
          <w:rFonts w:hint="eastAsia" w:ascii="宋体" w:hAnsi="宋体" w:eastAsia="宋体" w:cs="宋体"/>
          <w:color w:val="auto"/>
          <w:sz w:val="21"/>
          <w:szCs w:val="21"/>
        </w:rPr>
        <w:t>第二章</w:t>
      </w:r>
      <w:r>
        <w:rPr>
          <w:rFonts w:ascii="宋体" w:hAnsi="宋体" w:eastAsia="宋体" w:cs="宋体"/>
          <w:color w:val="auto"/>
          <w:sz w:val="21"/>
          <w:szCs w:val="21"/>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w:t>
      </w:r>
    </w:p>
    <w:p w14:paraId="226AFCE7">
      <w:pPr>
        <w:pStyle w:val="15"/>
        <w:tabs>
          <w:tab w:val="left" w:pos="720"/>
          <w:tab w:val="left" w:pos="1080"/>
        </w:tabs>
        <w:adjustRightInd w:val="0"/>
        <w:snapToGrid w:val="0"/>
        <w:spacing w:line="400" w:lineRule="exact"/>
        <w:ind w:left="0" w:firstLine="420" w:firstLineChars="200"/>
        <w:rPr>
          <w:rFonts w:ascii="宋体" w:hAnsi="宋体" w:eastAsia="宋体" w:cs="宋体"/>
          <w:color w:val="auto"/>
          <w:sz w:val="21"/>
          <w:szCs w:val="21"/>
        </w:rPr>
      </w:pPr>
      <w:r>
        <w:rPr>
          <w:rFonts w:hint="eastAsia" w:ascii="宋体" w:hAnsi="宋体" w:eastAsia="宋体" w:cs="宋体"/>
          <w:color w:val="auto"/>
          <w:sz w:val="21"/>
          <w:szCs w:val="21"/>
        </w:rPr>
        <w:t>第三章</w:t>
      </w:r>
      <w:r>
        <w:rPr>
          <w:rFonts w:ascii="宋体" w:hAnsi="宋体" w:eastAsia="宋体" w:cs="宋体"/>
          <w:color w:val="auto"/>
          <w:sz w:val="21"/>
          <w:szCs w:val="21"/>
        </w:rPr>
        <w:t xml:space="preserve"> </w:t>
      </w:r>
      <w:r>
        <w:rPr>
          <w:rFonts w:hint="eastAsia" w:ascii="宋体" w:hAnsi="宋体" w:eastAsia="宋体" w:cs="宋体"/>
          <w:color w:val="auto"/>
          <w:sz w:val="21"/>
          <w:szCs w:val="21"/>
        </w:rPr>
        <w:t>资格审查</w:t>
      </w:r>
    </w:p>
    <w:p w14:paraId="03794D35">
      <w:pPr>
        <w:pStyle w:val="15"/>
        <w:tabs>
          <w:tab w:val="left" w:pos="720"/>
          <w:tab w:val="left" w:pos="1080"/>
        </w:tabs>
        <w:adjustRightInd w:val="0"/>
        <w:snapToGrid w:val="0"/>
        <w:spacing w:line="400" w:lineRule="exact"/>
        <w:ind w:left="0" w:firstLine="420" w:firstLineChars="200"/>
        <w:rPr>
          <w:rFonts w:ascii="宋体" w:hAnsi="宋体" w:eastAsia="宋体" w:cs="宋体"/>
          <w:color w:val="auto"/>
          <w:sz w:val="21"/>
          <w:szCs w:val="21"/>
        </w:rPr>
      </w:pPr>
      <w:r>
        <w:rPr>
          <w:rFonts w:hint="eastAsia" w:ascii="宋体" w:hAnsi="宋体" w:eastAsia="宋体" w:cs="宋体"/>
          <w:color w:val="auto"/>
          <w:sz w:val="21"/>
          <w:szCs w:val="21"/>
        </w:rPr>
        <w:t>第四章</w:t>
      </w:r>
      <w:r>
        <w:rPr>
          <w:rFonts w:ascii="宋体" w:hAnsi="宋体" w:eastAsia="宋体" w:cs="宋体"/>
          <w:color w:val="auto"/>
          <w:sz w:val="21"/>
          <w:szCs w:val="21"/>
        </w:rPr>
        <w:t xml:space="preserve"> </w:t>
      </w:r>
      <w:r>
        <w:rPr>
          <w:rFonts w:hint="eastAsia" w:ascii="宋体" w:hAnsi="宋体" w:eastAsia="宋体" w:cs="宋体"/>
          <w:color w:val="auto"/>
          <w:sz w:val="21"/>
          <w:szCs w:val="21"/>
        </w:rPr>
        <w:t>评标办法（综合评分法）</w:t>
      </w:r>
    </w:p>
    <w:p w14:paraId="42CB2D79">
      <w:pPr>
        <w:pStyle w:val="15"/>
        <w:tabs>
          <w:tab w:val="left" w:pos="720"/>
          <w:tab w:val="left" w:pos="1080"/>
        </w:tabs>
        <w:adjustRightInd w:val="0"/>
        <w:snapToGrid w:val="0"/>
        <w:spacing w:line="400" w:lineRule="exact"/>
        <w:ind w:left="0" w:firstLine="420" w:firstLineChars="200"/>
        <w:rPr>
          <w:rFonts w:ascii="宋体" w:hAnsi="宋体" w:eastAsia="宋体" w:cs="宋体"/>
          <w:color w:val="auto"/>
          <w:sz w:val="21"/>
          <w:szCs w:val="21"/>
        </w:rPr>
      </w:pPr>
      <w:r>
        <w:rPr>
          <w:rFonts w:hint="eastAsia" w:ascii="宋体" w:hAnsi="宋体" w:eastAsia="宋体" w:cs="宋体"/>
          <w:color w:val="auto"/>
          <w:sz w:val="21"/>
          <w:szCs w:val="21"/>
        </w:rPr>
        <w:t>第五章</w:t>
      </w:r>
      <w:r>
        <w:rPr>
          <w:rFonts w:ascii="宋体" w:hAnsi="宋体" w:eastAsia="宋体" w:cs="宋体"/>
          <w:color w:val="auto"/>
          <w:sz w:val="21"/>
          <w:szCs w:val="21"/>
        </w:rPr>
        <w:t xml:space="preserve"> </w:t>
      </w:r>
      <w:r>
        <w:rPr>
          <w:rFonts w:hint="eastAsia" w:ascii="宋体" w:hAnsi="宋体" w:eastAsia="宋体" w:cs="宋体"/>
          <w:color w:val="auto"/>
          <w:sz w:val="21"/>
          <w:szCs w:val="21"/>
        </w:rPr>
        <w:t>招标项目需求及技术要求</w:t>
      </w:r>
    </w:p>
    <w:p w14:paraId="368468B4">
      <w:pPr>
        <w:pStyle w:val="15"/>
        <w:tabs>
          <w:tab w:val="left" w:pos="720"/>
          <w:tab w:val="left" w:pos="1080"/>
        </w:tabs>
        <w:adjustRightInd w:val="0"/>
        <w:snapToGrid w:val="0"/>
        <w:spacing w:line="400" w:lineRule="exact"/>
        <w:ind w:left="0" w:firstLine="420" w:firstLineChars="200"/>
        <w:rPr>
          <w:rFonts w:ascii="宋体" w:hAnsi="宋体" w:eastAsia="宋体" w:cs="宋体"/>
          <w:color w:val="auto"/>
          <w:sz w:val="21"/>
          <w:szCs w:val="21"/>
        </w:rPr>
      </w:pPr>
      <w:r>
        <w:rPr>
          <w:rFonts w:hint="eastAsia" w:ascii="宋体" w:hAnsi="宋体" w:eastAsia="宋体" w:cs="宋体"/>
          <w:color w:val="auto"/>
          <w:sz w:val="21"/>
          <w:szCs w:val="21"/>
        </w:rPr>
        <w:t>第六章</w:t>
      </w:r>
      <w:r>
        <w:rPr>
          <w:rFonts w:ascii="宋体" w:hAnsi="宋体" w:eastAsia="宋体" w:cs="宋体"/>
          <w:color w:val="auto"/>
          <w:sz w:val="21"/>
          <w:szCs w:val="21"/>
        </w:rPr>
        <w:t xml:space="preserve"> </w:t>
      </w:r>
      <w:r>
        <w:rPr>
          <w:rFonts w:hint="eastAsia" w:ascii="宋体" w:hAnsi="宋体" w:eastAsia="宋体" w:cs="宋体"/>
          <w:color w:val="auto"/>
          <w:sz w:val="21"/>
          <w:szCs w:val="21"/>
        </w:rPr>
        <w:t>合同条款（格式）</w:t>
      </w:r>
    </w:p>
    <w:p w14:paraId="6CCC1AF5">
      <w:pPr>
        <w:pStyle w:val="15"/>
        <w:tabs>
          <w:tab w:val="left" w:pos="720"/>
          <w:tab w:val="left" w:pos="1080"/>
        </w:tabs>
        <w:adjustRightInd w:val="0"/>
        <w:snapToGrid w:val="0"/>
        <w:spacing w:line="400" w:lineRule="exact"/>
        <w:ind w:left="0" w:firstLine="420" w:firstLineChars="200"/>
        <w:rPr>
          <w:rFonts w:ascii="宋体" w:hAnsi="宋体" w:eastAsia="宋体" w:cs="宋体"/>
          <w:color w:val="auto"/>
          <w:sz w:val="21"/>
          <w:szCs w:val="21"/>
        </w:rPr>
      </w:pPr>
      <w:r>
        <w:rPr>
          <w:rFonts w:hint="eastAsia" w:ascii="宋体" w:hAnsi="宋体" w:eastAsia="宋体" w:cs="宋体"/>
          <w:color w:val="auto"/>
          <w:sz w:val="21"/>
          <w:szCs w:val="21"/>
        </w:rPr>
        <w:t>第七章</w:t>
      </w:r>
      <w:r>
        <w:rPr>
          <w:rFonts w:ascii="宋体" w:hAnsi="宋体" w:eastAsia="宋体" w:cs="宋体"/>
          <w:color w:val="auto"/>
          <w:sz w:val="21"/>
          <w:szCs w:val="21"/>
        </w:rPr>
        <w:t xml:space="preserve"> </w:t>
      </w:r>
      <w:r>
        <w:rPr>
          <w:rFonts w:hint="eastAsia" w:ascii="宋体" w:hAnsi="宋体" w:eastAsia="宋体" w:cs="宋体"/>
          <w:color w:val="auto"/>
          <w:sz w:val="21"/>
          <w:szCs w:val="21"/>
        </w:rPr>
        <w:t>投标文件格式</w:t>
      </w:r>
    </w:p>
    <w:p w14:paraId="338B99BB">
      <w:pPr>
        <w:numPr>
          <w:ilvl w:val="2"/>
          <w:numId w:val="2"/>
        </w:numPr>
        <w:adjustRightInd w:val="0"/>
        <w:snapToGrid w:val="0"/>
        <w:spacing w:line="400" w:lineRule="exact"/>
        <w:ind w:firstLine="420" w:firstLineChars="200"/>
        <w:rPr>
          <w:rFonts w:ascii="宋体" w:cs="宋体"/>
          <w:color w:val="auto"/>
          <w:sz w:val="24"/>
          <w:szCs w:val="21"/>
        </w:rPr>
      </w:pPr>
      <w:r>
        <w:rPr>
          <w:rFonts w:hint="eastAsia" w:ascii="宋体" w:hAnsi="宋体" w:cs="宋体"/>
          <w:color w:val="auto"/>
          <w:szCs w:val="21"/>
          <w:lang w:eastAsia="zh-CN"/>
        </w:rPr>
        <w:t>供应商</w:t>
      </w:r>
      <w:r>
        <w:rPr>
          <w:rFonts w:hint="eastAsia" w:ascii="宋体" w:hAnsi="宋体" w:cs="宋体"/>
          <w:color w:val="auto"/>
          <w:szCs w:val="21"/>
        </w:rPr>
        <w:t>应仔细阅读招标文件中</w:t>
      </w:r>
      <w:r>
        <w:rPr>
          <w:rFonts w:hint="eastAsia" w:ascii="宋体" w:hAnsi="宋体" w:cs="宋体"/>
          <w:color w:val="auto"/>
          <w:szCs w:val="21"/>
          <w:lang w:eastAsia="zh-CN"/>
        </w:rPr>
        <w:t>供应商</w:t>
      </w:r>
      <w:r>
        <w:rPr>
          <w:rFonts w:hint="eastAsia" w:ascii="宋体" w:hAnsi="宋体" w:cs="宋体"/>
          <w:color w:val="auto"/>
          <w:szCs w:val="21"/>
        </w:rPr>
        <w:t>须知、合同条款的所有事项、格式要求和技术规范，按招标文件的要求提供投标文件，并保证所提供的全部资料的真实性，以使其投标对招标文件做出实质性响应，否则，将承担其投标被拒绝或认定为投标无效的风险。</w:t>
      </w:r>
    </w:p>
    <w:p w14:paraId="1E76C5DA">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lang w:eastAsia="zh-CN"/>
        </w:rPr>
        <w:t>供应商</w:t>
      </w:r>
      <w:r>
        <w:rPr>
          <w:rFonts w:hint="eastAsia" w:ascii="宋体" w:hAnsi="宋体" w:cs="宋体"/>
          <w:color w:val="auto"/>
          <w:szCs w:val="21"/>
        </w:rPr>
        <w:t>制作投标文件时应充分完整理解招标文件的整体要求。</w:t>
      </w:r>
    </w:p>
    <w:p w14:paraId="72492BED">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根据本章第</w:t>
      </w:r>
      <w:r>
        <w:rPr>
          <w:rFonts w:ascii="宋体" w:hAnsi="宋体" w:cs="宋体"/>
          <w:color w:val="auto"/>
          <w:szCs w:val="21"/>
        </w:rPr>
        <w:t>1.4</w:t>
      </w:r>
      <w:r>
        <w:rPr>
          <w:rFonts w:hint="eastAsia" w:ascii="宋体" w:hAnsi="宋体" w:cs="宋体"/>
          <w:color w:val="auto"/>
          <w:szCs w:val="21"/>
        </w:rPr>
        <w:t>款、第</w:t>
      </w:r>
      <w:r>
        <w:rPr>
          <w:rFonts w:ascii="宋体" w:hAnsi="宋体" w:cs="宋体"/>
          <w:color w:val="auto"/>
          <w:szCs w:val="21"/>
        </w:rPr>
        <w:t>2.2</w:t>
      </w:r>
      <w:r>
        <w:rPr>
          <w:rFonts w:hint="eastAsia" w:ascii="宋体" w:hAnsi="宋体" w:cs="宋体"/>
          <w:color w:val="auto"/>
          <w:szCs w:val="21"/>
        </w:rPr>
        <w:t>款和第</w:t>
      </w:r>
      <w:r>
        <w:rPr>
          <w:rFonts w:ascii="宋体" w:hAnsi="宋体" w:cs="宋体"/>
          <w:color w:val="auto"/>
          <w:szCs w:val="21"/>
        </w:rPr>
        <w:t>2.3</w:t>
      </w:r>
      <w:r>
        <w:rPr>
          <w:rFonts w:hint="eastAsia" w:ascii="宋体" w:hAnsi="宋体" w:cs="宋体"/>
          <w:color w:val="auto"/>
          <w:szCs w:val="21"/>
        </w:rPr>
        <w:t>款对招标文件所做的澄清和修改，构成招标文件的组成部分。</w:t>
      </w:r>
    </w:p>
    <w:p w14:paraId="59CD2666">
      <w:pPr>
        <w:numPr>
          <w:ilvl w:val="1"/>
          <w:numId w:val="2"/>
        </w:numPr>
        <w:spacing w:line="400" w:lineRule="exact"/>
        <w:ind w:firstLine="420" w:firstLineChars="200"/>
        <w:rPr>
          <w:rFonts w:ascii="宋体" w:cs="宋体"/>
          <w:b/>
          <w:bCs/>
          <w:color w:val="auto"/>
        </w:rPr>
      </w:pPr>
      <w:bookmarkStart w:id="119" w:name="_Toc23431"/>
      <w:bookmarkStart w:id="120" w:name="_Toc7923"/>
      <w:bookmarkStart w:id="121" w:name="_Toc3408"/>
      <w:bookmarkStart w:id="122" w:name="_Toc6978"/>
      <w:r>
        <w:rPr>
          <w:rFonts w:hint="eastAsia" w:ascii="宋体" w:hAnsi="宋体" w:cs="宋体"/>
          <w:b/>
          <w:bCs/>
          <w:color w:val="auto"/>
        </w:rPr>
        <w:t>招标文件的澄清</w:t>
      </w:r>
      <w:bookmarkEnd w:id="119"/>
      <w:bookmarkEnd w:id="120"/>
      <w:bookmarkEnd w:id="121"/>
      <w:bookmarkEnd w:id="122"/>
    </w:p>
    <w:p w14:paraId="03564FCE">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lang w:eastAsia="zh-CN"/>
        </w:rPr>
        <w:t>供应商</w:t>
      </w:r>
      <w:r>
        <w:rPr>
          <w:rFonts w:hint="eastAsia" w:ascii="宋体" w:hAnsi="宋体" w:cs="宋体"/>
          <w:color w:val="auto"/>
          <w:szCs w:val="21"/>
        </w:rPr>
        <w:t>应仔细阅读和检查招标文件的全部内容。如发现缺页或附件不全，应及时向采购人提出，以便补齐。如有疑问，应按</w:t>
      </w:r>
      <w:r>
        <w:rPr>
          <w:rFonts w:hint="eastAsia" w:ascii="宋体" w:hAnsi="宋体" w:cs="宋体"/>
          <w:color w:val="auto"/>
          <w:szCs w:val="21"/>
          <w:lang w:eastAsia="zh-CN"/>
        </w:rPr>
        <w:t>供应商</w:t>
      </w:r>
      <w:r>
        <w:rPr>
          <w:rFonts w:hint="eastAsia" w:ascii="宋体" w:hAnsi="宋体" w:cs="宋体"/>
          <w:color w:val="auto"/>
          <w:szCs w:val="21"/>
        </w:rPr>
        <w:t>须知前附表规定的时间和形式将提出的问题送达采购人，要求采购人对招标文件予以澄清。</w:t>
      </w:r>
    </w:p>
    <w:p w14:paraId="2211A086">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招标文件的澄清以</w:t>
      </w:r>
      <w:r>
        <w:rPr>
          <w:rFonts w:hint="eastAsia" w:ascii="宋体" w:hAnsi="宋体" w:cs="宋体"/>
          <w:color w:val="auto"/>
          <w:szCs w:val="21"/>
          <w:lang w:eastAsia="zh-CN"/>
        </w:rPr>
        <w:t>供应商</w:t>
      </w:r>
      <w:r>
        <w:rPr>
          <w:rFonts w:hint="eastAsia" w:ascii="宋体" w:hAnsi="宋体" w:cs="宋体"/>
          <w:color w:val="auto"/>
          <w:szCs w:val="21"/>
        </w:rPr>
        <w:t>须知前附表规定的形式发给所有购买招标文件的</w:t>
      </w:r>
      <w:r>
        <w:rPr>
          <w:rFonts w:hint="eastAsia" w:ascii="宋体" w:hAnsi="宋体" w:cs="宋体"/>
          <w:color w:val="auto"/>
          <w:szCs w:val="21"/>
          <w:lang w:eastAsia="zh-CN"/>
        </w:rPr>
        <w:t>供应商</w:t>
      </w:r>
      <w:r>
        <w:rPr>
          <w:rFonts w:hint="eastAsia" w:ascii="宋体" w:hAnsi="宋体" w:cs="宋体"/>
          <w:color w:val="auto"/>
          <w:szCs w:val="21"/>
        </w:rPr>
        <w:t>，但不指明澄清问题的来源。澄清发出的时间距本章第</w:t>
      </w:r>
      <w:r>
        <w:rPr>
          <w:rFonts w:ascii="宋体" w:hAnsi="宋体" w:cs="宋体"/>
          <w:color w:val="auto"/>
          <w:szCs w:val="21"/>
        </w:rPr>
        <w:t>4.2.1</w:t>
      </w:r>
      <w:r>
        <w:rPr>
          <w:rFonts w:hint="eastAsia" w:ascii="宋体" w:hAnsi="宋体" w:cs="宋体"/>
          <w:color w:val="auto"/>
          <w:szCs w:val="21"/>
        </w:rPr>
        <w:t>项规定的投标截止时间不足</w:t>
      </w:r>
      <w:r>
        <w:rPr>
          <w:rFonts w:ascii="宋体" w:hAnsi="宋体" w:cs="宋体"/>
          <w:color w:val="auto"/>
          <w:szCs w:val="21"/>
        </w:rPr>
        <w:t>15</w:t>
      </w:r>
      <w:r>
        <w:rPr>
          <w:rFonts w:hint="eastAsia" w:ascii="宋体" w:hAnsi="宋体" w:cs="宋体"/>
          <w:color w:val="auto"/>
          <w:szCs w:val="21"/>
        </w:rPr>
        <w:t>日的，并且澄清内容可能影响投标文件编制的，将相应延长投标截止时间。</w:t>
      </w:r>
    </w:p>
    <w:p w14:paraId="7653B673">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lang w:eastAsia="zh-CN"/>
        </w:rPr>
        <w:t>供应商</w:t>
      </w:r>
      <w:r>
        <w:rPr>
          <w:rFonts w:hint="eastAsia" w:ascii="宋体" w:hAnsi="宋体" w:cs="宋体"/>
          <w:color w:val="auto"/>
          <w:szCs w:val="21"/>
        </w:rPr>
        <w:t>在收到澄清后，应按</w:t>
      </w:r>
      <w:r>
        <w:rPr>
          <w:rFonts w:hint="eastAsia" w:ascii="宋体" w:hAnsi="宋体" w:cs="宋体"/>
          <w:color w:val="auto"/>
          <w:szCs w:val="21"/>
          <w:lang w:eastAsia="zh-CN"/>
        </w:rPr>
        <w:t>供应商</w:t>
      </w:r>
      <w:r>
        <w:rPr>
          <w:rFonts w:hint="eastAsia" w:ascii="宋体" w:hAnsi="宋体" w:cs="宋体"/>
          <w:color w:val="auto"/>
          <w:szCs w:val="21"/>
        </w:rPr>
        <w:t>须知前附表规定的时间和形式通知采购人，确认已收到该澄清。</w:t>
      </w:r>
    </w:p>
    <w:p w14:paraId="2C08A0E1">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除非采购人认为确有必要答复，否则，采购人有权拒绝回复</w:t>
      </w:r>
      <w:r>
        <w:rPr>
          <w:rFonts w:hint="eastAsia" w:ascii="宋体" w:hAnsi="宋体" w:cs="宋体"/>
          <w:color w:val="auto"/>
          <w:szCs w:val="21"/>
          <w:lang w:eastAsia="zh-CN"/>
        </w:rPr>
        <w:t>供应商</w:t>
      </w:r>
      <w:r>
        <w:rPr>
          <w:rFonts w:hint="eastAsia" w:ascii="宋体" w:hAnsi="宋体" w:cs="宋体"/>
          <w:color w:val="auto"/>
          <w:szCs w:val="21"/>
        </w:rPr>
        <w:t>在本章第</w:t>
      </w:r>
      <w:r>
        <w:rPr>
          <w:rFonts w:ascii="宋体" w:hAnsi="宋体" w:cs="宋体"/>
          <w:color w:val="auto"/>
          <w:szCs w:val="21"/>
        </w:rPr>
        <w:t xml:space="preserve"> 2.2.1 </w:t>
      </w:r>
      <w:r>
        <w:rPr>
          <w:rFonts w:hint="eastAsia" w:ascii="宋体" w:hAnsi="宋体" w:cs="宋体"/>
          <w:color w:val="auto"/>
          <w:szCs w:val="21"/>
        </w:rPr>
        <w:t>项规定的时间后的任何澄清要求。在规定的时间内未提出疑问的，将被视为对招标文件完全认可。</w:t>
      </w:r>
    </w:p>
    <w:p w14:paraId="42F7DA8C">
      <w:pPr>
        <w:numPr>
          <w:ilvl w:val="1"/>
          <w:numId w:val="2"/>
        </w:numPr>
        <w:spacing w:line="400" w:lineRule="exact"/>
        <w:ind w:firstLine="420" w:firstLineChars="200"/>
        <w:rPr>
          <w:rFonts w:ascii="宋体" w:cs="宋体"/>
          <w:b/>
          <w:bCs/>
          <w:color w:val="auto"/>
        </w:rPr>
      </w:pPr>
      <w:bookmarkStart w:id="123" w:name="_Toc25801"/>
      <w:bookmarkStart w:id="124" w:name="_Toc28742"/>
      <w:bookmarkStart w:id="125" w:name="_Toc32510"/>
      <w:bookmarkStart w:id="126" w:name="_Toc12162"/>
      <w:r>
        <w:rPr>
          <w:rFonts w:hint="eastAsia" w:ascii="宋体" w:hAnsi="宋体" w:cs="宋体"/>
          <w:b/>
          <w:bCs/>
          <w:color w:val="auto"/>
        </w:rPr>
        <w:t>招标文件的修改</w:t>
      </w:r>
      <w:bookmarkEnd w:id="123"/>
      <w:bookmarkEnd w:id="124"/>
      <w:bookmarkEnd w:id="125"/>
      <w:bookmarkEnd w:id="126"/>
    </w:p>
    <w:p w14:paraId="19312F5D">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采购人或采购代理机构可以对已发出的招标文件进行必要的修改，但不得改变采购标的和资格条件，修改的内容为招标文件的组成部分。</w:t>
      </w:r>
    </w:p>
    <w:p w14:paraId="69F4BB10">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采购人或采购代理机构以</w:t>
      </w:r>
      <w:r>
        <w:rPr>
          <w:rFonts w:hint="eastAsia" w:ascii="宋体" w:hAnsi="宋体" w:cs="宋体"/>
          <w:color w:val="auto"/>
          <w:szCs w:val="21"/>
          <w:lang w:eastAsia="zh-CN"/>
        </w:rPr>
        <w:t>供应商</w:t>
      </w:r>
      <w:r>
        <w:rPr>
          <w:rFonts w:hint="eastAsia" w:ascii="宋体" w:hAnsi="宋体" w:cs="宋体"/>
          <w:color w:val="auto"/>
          <w:szCs w:val="21"/>
        </w:rPr>
        <w:t>须知前附表规定的形式修改招标文件，并通知所有已购买招标文件的</w:t>
      </w:r>
      <w:r>
        <w:rPr>
          <w:rFonts w:hint="eastAsia" w:ascii="宋体" w:hAnsi="宋体" w:cs="宋体"/>
          <w:color w:val="auto"/>
          <w:szCs w:val="21"/>
          <w:lang w:eastAsia="zh-CN"/>
        </w:rPr>
        <w:t>供应商</w:t>
      </w:r>
      <w:r>
        <w:rPr>
          <w:rFonts w:hint="eastAsia" w:ascii="宋体" w:hAnsi="宋体" w:cs="宋体"/>
          <w:color w:val="auto"/>
          <w:szCs w:val="21"/>
        </w:rPr>
        <w:t>。修改招标文件的时间距本章第</w:t>
      </w:r>
      <w:r>
        <w:rPr>
          <w:rFonts w:ascii="宋体" w:hAnsi="宋体" w:cs="宋体"/>
          <w:color w:val="auto"/>
          <w:szCs w:val="21"/>
        </w:rPr>
        <w:t>4.2.1</w:t>
      </w:r>
      <w:r>
        <w:rPr>
          <w:rFonts w:hint="eastAsia" w:ascii="宋体" w:hAnsi="宋体" w:cs="宋体"/>
          <w:color w:val="auto"/>
          <w:szCs w:val="21"/>
        </w:rPr>
        <w:t>项规定的投标截止时间不足</w:t>
      </w:r>
      <w:r>
        <w:rPr>
          <w:rFonts w:ascii="宋体" w:hAnsi="宋体" w:cs="宋体"/>
          <w:color w:val="auto"/>
          <w:szCs w:val="21"/>
        </w:rPr>
        <w:t>15</w:t>
      </w:r>
      <w:r>
        <w:rPr>
          <w:rFonts w:hint="eastAsia" w:ascii="宋体" w:hAnsi="宋体" w:cs="宋体"/>
          <w:color w:val="auto"/>
          <w:szCs w:val="21"/>
        </w:rPr>
        <w:t>日的，并且修改内容可能影响投标文件编制的，将相应延长投标截止时间。</w:t>
      </w:r>
    </w:p>
    <w:p w14:paraId="38940786">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lang w:eastAsia="zh-CN"/>
        </w:rPr>
        <w:t>供应商</w:t>
      </w:r>
      <w:r>
        <w:rPr>
          <w:rFonts w:hint="eastAsia" w:ascii="宋体" w:hAnsi="宋体" w:cs="宋体"/>
          <w:color w:val="auto"/>
          <w:szCs w:val="21"/>
        </w:rPr>
        <w:t>收到修改内容后，应按</w:t>
      </w:r>
      <w:r>
        <w:rPr>
          <w:rFonts w:hint="eastAsia" w:ascii="宋体" w:hAnsi="宋体" w:cs="宋体"/>
          <w:color w:val="auto"/>
          <w:szCs w:val="21"/>
          <w:lang w:eastAsia="zh-CN"/>
        </w:rPr>
        <w:t>供应商</w:t>
      </w:r>
      <w:r>
        <w:rPr>
          <w:rFonts w:hint="eastAsia" w:ascii="宋体" w:hAnsi="宋体" w:cs="宋体"/>
          <w:color w:val="auto"/>
          <w:szCs w:val="21"/>
        </w:rPr>
        <w:t>须知前附表规定的时间和形式通知采购人，确认已收到该修改。</w:t>
      </w:r>
    </w:p>
    <w:p w14:paraId="442045DD">
      <w:pPr>
        <w:numPr>
          <w:ilvl w:val="0"/>
          <w:numId w:val="2"/>
        </w:numPr>
        <w:spacing w:line="400" w:lineRule="exact"/>
        <w:ind w:firstLine="420" w:firstLineChars="200"/>
        <w:outlineLvl w:val="1"/>
        <w:rPr>
          <w:rStyle w:val="33"/>
          <w:color w:val="auto"/>
          <w:sz w:val="21"/>
          <w:szCs w:val="21"/>
        </w:rPr>
      </w:pPr>
      <w:bookmarkStart w:id="127" w:name="_Toc709"/>
      <w:bookmarkStart w:id="128" w:name="_Toc23680"/>
      <w:bookmarkStart w:id="129" w:name="_Toc7208"/>
      <w:bookmarkStart w:id="130" w:name="_Toc30036"/>
      <w:bookmarkStart w:id="131" w:name="_Toc312133545"/>
      <w:bookmarkStart w:id="132" w:name="_Toc40112132"/>
      <w:bookmarkStart w:id="133" w:name="_Toc6910"/>
      <w:r>
        <w:rPr>
          <w:rStyle w:val="33"/>
          <w:rFonts w:hint="eastAsia"/>
          <w:color w:val="auto"/>
          <w:sz w:val="21"/>
          <w:szCs w:val="21"/>
        </w:rPr>
        <w:t>投标文件的编写</w:t>
      </w:r>
      <w:bookmarkEnd w:id="127"/>
      <w:bookmarkEnd w:id="128"/>
      <w:bookmarkEnd w:id="129"/>
      <w:bookmarkEnd w:id="130"/>
      <w:bookmarkEnd w:id="131"/>
      <w:bookmarkEnd w:id="132"/>
      <w:bookmarkEnd w:id="133"/>
    </w:p>
    <w:p w14:paraId="6168E1A3">
      <w:pPr>
        <w:numPr>
          <w:ilvl w:val="1"/>
          <w:numId w:val="2"/>
        </w:numPr>
        <w:spacing w:line="400" w:lineRule="exact"/>
        <w:ind w:firstLine="420" w:firstLineChars="200"/>
        <w:rPr>
          <w:rFonts w:ascii="宋体" w:cs="宋体"/>
          <w:b/>
          <w:bCs/>
          <w:color w:val="auto"/>
        </w:rPr>
      </w:pPr>
      <w:bookmarkStart w:id="134" w:name="_Toc17436"/>
      <w:bookmarkStart w:id="135" w:name="_Toc27498"/>
      <w:bookmarkStart w:id="136" w:name="_Toc9605"/>
      <w:bookmarkStart w:id="137" w:name="_Toc21879"/>
      <w:r>
        <w:rPr>
          <w:rFonts w:hint="eastAsia" w:ascii="宋体" w:hAnsi="宋体" w:cs="宋体"/>
          <w:b/>
          <w:bCs/>
          <w:color w:val="auto"/>
        </w:rPr>
        <w:t>投标文件的组成</w:t>
      </w:r>
      <w:bookmarkEnd w:id="134"/>
      <w:bookmarkEnd w:id="135"/>
      <w:bookmarkEnd w:id="136"/>
      <w:bookmarkEnd w:id="137"/>
    </w:p>
    <w:p w14:paraId="4BCC6FAB">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投标文件包括下列部分：详见第七章投标文件格式</w:t>
      </w:r>
    </w:p>
    <w:p w14:paraId="65EC5E15">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投标文件应按招标文件中投标文件格式编写。</w:t>
      </w:r>
    </w:p>
    <w:p w14:paraId="574135DD">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招标文件中的每个分包，是项目招标不可拆分的最小投标单元，</w:t>
      </w:r>
      <w:r>
        <w:rPr>
          <w:rFonts w:hint="eastAsia" w:ascii="宋体" w:hAnsi="宋体" w:cs="宋体"/>
          <w:color w:val="auto"/>
          <w:szCs w:val="21"/>
          <w:lang w:eastAsia="zh-CN"/>
        </w:rPr>
        <w:t>供应商</w:t>
      </w:r>
      <w:r>
        <w:rPr>
          <w:rFonts w:hint="eastAsia" w:ascii="宋体" w:hAnsi="宋体" w:cs="宋体"/>
          <w:color w:val="auto"/>
          <w:szCs w:val="21"/>
        </w:rPr>
        <w:t>必须按此分包编制投标文件，提交相应的文件资料，拆包投标将视为漏项或非实质性响应予以认定为投标无效。</w:t>
      </w:r>
    </w:p>
    <w:p w14:paraId="21C05F58">
      <w:pPr>
        <w:numPr>
          <w:ilvl w:val="1"/>
          <w:numId w:val="2"/>
        </w:numPr>
        <w:spacing w:line="400" w:lineRule="exact"/>
        <w:ind w:firstLine="420" w:firstLineChars="200"/>
        <w:rPr>
          <w:rFonts w:ascii="宋体" w:cs="宋体"/>
          <w:b/>
          <w:bCs/>
          <w:color w:val="auto"/>
        </w:rPr>
      </w:pPr>
      <w:bookmarkStart w:id="138" w:name="_Toc4941"/>
      <w:bookmarkStart w:id="139" w:name="_Toc32754"/>
      <w:bookmarkStart w:id="140" w:name="_Toc2826"/>
      <w:bookmarkStart w:id="141" w:name="_Toc1833"/>
      <w:r>
        <w:rPr>
          <w:rFonts w:hint="eastAsia" w:ascii="宋体" w:hAnsi="宋体" w:cs="宋体"/>
          <w:b/>
          <w:bCs/>
          <w:color w:val="auto"/>
        </w:rPr>
        <w:t>投标报价</w:t>
      </w:r>
      <w:bookmarkEnd w:id="138"/>
      <w:bookmarkEnd w:id="139"/>
      <w:bookmarkEnd w:id="140"/>
      <w:bookmarkEnd w:id="141"/>
    </w:p>
    <w:p w14:paraId="6010EEF9">
      <w:pPr>
        <w:numPr>
          <w:ilvl w:val="2"/>
          <w:numId w:val="2"/>
        </w:numPr>
        <w:adjustRightInd w:val="0"/>
        <w:snapToGrid w:val="0"/>
        <w:spacing w:line="400" w:lineRule="exact"/>
        <w:ind w:firstLine="420" w:firstLineChars="200"/>
        <w:rPr>
          <w:rFonts w:ascii="宋体" w:cs="宋体"/>
          <w:color w:val="auto"/>
          <w:szCs w:val="21"/>
          <w:highlight w:val="none"/>
        </w:rPr>
      </w:pPr>
      <w:r>
        <w:rPr>
          <w:rFonts w:hint="eastAsia" w:ascii="宋体" w:hAnsi="宋体" w:cs="宋体"/>
          <w:color w:val="auto"/>
          <w:szCs w:val="21"/>
          <w:lang w:eastAsia="zh-CN"/>
        </w:rPr>
        <w:t>供应商</w:t>
      </w:r>
      <w:r>
        <w:rPr>
          <w:rFonts w:hint="eastAsia" w:ascii="宋体" w:hAnsi="宋体" w:cs="宋体"/>
          <w:color w:val="auto"/>
          <w:szCs w:val="21"/>
        </w:rPr>
        <w:t>应按照招标文件提供的报价明细表格式填写提供各项货物及服务的单价、分项总价和总投标价。</w:t>
      </w:r>
    </w:p>
    <w:p w14:paraId="4E041942">
      <w:pPr>
        <w:numPr>
          <w:ilvl w:val="2"/>
          <w:numId w:val="2"/>
        </w:numPr>
        <w:adjustRightInd w:val="0"/>
        <w:snapToGrid w:val="0"/>
        <w:spacing w:line="400" w:lineRule="exact"/>
        <w:ind w:firstLine="420" w:firstLineChars="200"/>
        <w:rPr>
          <w:rFonts w:ascii="宋体" w:cs="宋体"/>
          <w:color w:val="auto"/>
          <w:szCs w:val="21"/>
          <w:highlight w:val="none"/>
        </w:rPr>
      </w:pPr>
      <w:r>
        <w:rPr>
          <w:rFonts w:hint="eastAsia" w:ascii="宋体" w:hAnsi="宋体" w:cs="宋体"/>
          <w:color w:val="auto"/>
          <w:szCs w:val="21"/>
          <w:highlight w:val="none"/>
        </w:rPr>
        <w:t>投标总报价应是采购人指定地点交货的，包括基于交货或提供服务前发生的各种包括但不限于货物及配置产品的设计、采购、制造、检测、试验、包装、运输、保险、装卸、货款、安装调试、培训、保修维护、技术支持、质保期服务、税费和服务内容的检验、验收、技术服务（包括技术资料、图纸的提供）、质保期保障等的全部费用的总报价。</w:t>
      </w:r>
    </w:p>
    <w:p w14:paraId="05EED600">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lang w:eastAsia="zh-CN"/>
        </w:rPr>
        <w:t>供应商</w:t>
      </w:r>
      <w:r>
        <w:rPr>
          <w:rFonts w:hint="eastAsia" w:ascii="宋体" w:hAnsi="宋体" w:cs="宋体"/>
          <w:color w:val="auto"/>
          <w:szCs w:val="21"/>
        </w:rPr>
        <w:t>根据上述规定所作分项报价的目的只是为了评标时对投标文件进行比较的方便，但并不限制采购人订立合同的权力。</w:t>
      </w:r>
    </w:p>
    <w:p w14:paraId="1AC568F0">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投标报价应完全包括招标文件规定的全部货物及其伴随的服务范围，不得任意分割或合并所规定的货物及其伴随的服务分项。</w:t>
      </w:r>
    </w:p>
    <w:p w14:paraId="3A1A1606">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lang w:eastAsia="zh-CN"/>
        </w:rPr>
        <w:t>供应商</w:t>
      </w:r>
      <w:r>
        <w:rPr>
          <w:rFonts w:hint="eastAsia" w:ascii="宋体" w:hAnsi="宋体" w:cs="宋体"/>
          <w:color w:val="auto"/>
          <w:szCs w:val="21"/>
        </w:rPr>
        <w:t>对每种货物只允许有一个报价，采购人和采购代理机构不接受有任何选择报价的投标。</w:t>
      </w:r>
    </w:p>
    <w:p w14:paraId="2CB274A4">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lang w:eastAsia="zh-CN"/>
        </w:rPr>
        <w:t>供应商</w:t>
      </w:r>
      <w:r>
        <w:rPr>
          <w:rFonts w:hint="eastAsia" w:ascii="宋体" w:hAnsi="宋体" w:cs="宋体"/>
          <w:color w:val="auto"/>
          <w:szCs w:val="21"/>
        </w:rPr>
        <w:t>不得以任何理由在投标截止时间后对投标报价予以修改，报价在投标有效期内是固定的，不因任何原因而改变。任何包含价格调整要求和条件的投标，将被视为非实质性响应投标而予以拒绝。最低投标报价并不意味着一定中标。</w:t>
      </w:r>
    </w:p>
    <w:p w14:paraId="519D9EC3">
      <w:pPr>
        <w:numPr>
          <w:ilvl w:val="1"/>
          <w:numId w:val="2"/>
        </w:numPr>
        <w:spacing w:line="400" w:lineRule="exact"/>
        <w:ind w:firstLine="420" w:firstLineChars="200"/>
        <w:rPr>
          <w:rFonts w:ascii="宋体" w:cs="宋体"/>
          <w:b/>
          <w:bCs/>
          <w:color w:val="auto"/>
        </w:rPr>
      </w:pPr>
      <w:bookmarkStart w:id="142" w:name="_Toc31023"/>
      <w:bookmarkStart w:id="143" w:name="_Toc25999"/>
      <w:bookmarkStart w:id="144" w:name="_Toc28543"/>
      <w:bookmarkStart w:id="145" w:name="_Toc26916"/>
      <w:r>
        <w:rPr>
          <w:rFonts w:hint="eastAsia" w:ascii="宋体" w:hAnsi="宋体" w:cs="宋体"/>
          <w:b/>
          <w:bCs/>
          <w:color w:val="auto"/>
          <w:lang w:eastAsia="zh-CN"/>
        </w:rPr>
        <w:t>供应商</w:t>
      </w:r>
      <w:r>
        <w:rPr>
          <w:rFonts w:hint="eastAsia" w:ascii="宋体" w:hAnsi="宋体" w:cs="宋体"/>
          <w:b/>
          <w:bCs/>
          <w:color w:val="auto"/>
        </w:rPr>
        <w:t>资格的证明文件</w:t>
      </w:r>
      <w:bookmarkEnd w:id="142"/>
      <w:bookmarkEnd w:id="143"/>
      <w:bookmarkEnd w:id="144"/>
      <w:bookmarkEnd w:id="145"/>
    </w:p>
    <w:p w14:paraId="3B5D5927">
      <w:pPr>
        <w:adjustRightInd w:val="0"/>
        <w:snapToGrid w:val="0"/>
        <w:spacing w:line="400" w:lineRule="exact"/>
        <w:ind w:firstLine="420" w:firstLineChars="200"/>
        <w:rPr>
          <w:rFonts w:ascii="宋体" w:cs="宋体"/>
          <w:color w:val="auto"/>
          <w:szCs w:val="21"/>
        </w:rPr>
      </w:pPr>
      <w:bookmarkStart w:id="146" w:name="_Toc28461"/>
      <w:bookmarkStart w:id="147" w:name="_Toc30002"/>
      <w:r>
        <w:rPr>
          <w:rFonts w:hint="eastAsia" w:ascii="宋体" w:hAnsi="宋体" w:cs="宋体"/>
          <w:color w:val="auto"/>
          <w:szCs w:val="21"/>
        </w:rPr>
        <w:t>依据</w:t>
      </w:r>
      <w:r>
        <w:rPr>
          <w:rFonts w:hint="eastAsia" w:ascii="宋体" w:hAnsi="宋体" w:cs="宋体"/>
          <w:color w:val="auto"/>
          <w:szCs w:val="21"/>
          <w:lang w:eastAsia="zh-CN"/>
        </w:rPr>
        <w:t>供应商</w:t>
      </w:r>
      <w:r>
        <w:rPr>
          <w:rFonts w:hint="eastAsia" w:ascii="宋体" w:hAnsi="宋体" w:cs="宋体"/>
          <w:color w:val="auto"/>
          <w:szCs w:val="21"/>
        </w:rPr>
        <w:t>须知前附表中的要求提交相应的资格证明文件，作为投标文件资格审查的一部分，以证明其有资格进行投标和有能力履行合同。</w:t>
      </w:r>
    </w:p>
    <w:p w14:paraId="176E4A44">
      <w:pPr>
        <w:numPr>
          <w:ilvl w:val="1"/>
          <w:numId w:val="2"/>
        </w:numPr>
        <w:spacing w:line="400" w:lineRule="exact"/>
        <w:ind w:firstLine="420" w:firstLineChars="200"/>
        <w:rPr>
          <w:rFonts w:ascii="宋体" w:cs="宋体"/>
          <w:b/>
          <w:bCs/>
          <w:color w:val="auto"/>
        </w:rPr>
      </w:pPr>
      <w:bookmarkStart w:id="148" w:name="_Toc13866"/>
      <w:bookmarkStart w:id="149" w:name="_Toc7564"/>
      <w:r>
        <w:rPr>
          <w:rFonts w:hint="eastAsia" w:ascii="宋体" w:hAnsi="宋体" w:cs="宋体"/>
          <w:b/>
          <w:bCs/>
          <w:color w:val="auto"/>
          <w:lang w:eastAsia="zh-CN"/>
        </w:rPr>
        <w:t>供应商</w:t>
      </w:r>
      <w:r>
        <w:rPr>
          <w:rFonts w:hint="eastAsia" w:ascii="宋体" w:hAnsi="宋体" w:cs="宋体"/>
          <w:b/>
          <w:bCs/>
          <w:color w:val="auto"/>
        </w:rPr>
        <w:t>技术证明文件</w:t>
      </w:r>
      <w:bookmarkEnd w:id="146"/>
      <w:bookmarkEnd w:id="147"/>
      <w:bookmarkEnd w:id="148"/>
      <w:bookmarkEnd w:id="149"/>
    </w:p>
    <w:p w14:paraId="7F177A9D">
      <w:pPr>
        <w:numPr>
          <w:ilvl w:val="2"/>
          <w:numId w:val="2"/>
        </w:numPr>
        <w:adjustRightInd w:val="0"/>
        <w:snapToGrid w:val="0"/>
        <w:spacing w:line="400" w:lineRule="exact"/>
        <w:ind w:firstLine="420" w:firstLineChars="200"/>
        <w:rPr>
          <w:rFonts w:ascii="宋体" w:cs="宋体"/>
          <w:color w:val="auto"/>
          <w:szCs w:val="21"/>
        </w:rPr>
      </w:pPr>
      <w:bookmarkStart w:id="150" w:name="_Toc26473"/>
      <w:bookmarkStart w:id="151" w:name="_Toc14418"/>
      <w:bookmarkStart w:id="152" w:name="_Toc26009"/>
      <w:r>
        <w:rPr>
          <w:rFonts w:hint="eastAsia" w:ascii="宋体" w:hAnsi="宋体" w:cs="宋体"/>
          <w:color w:val="auto"/>
          <w:szCs w:val="21"/>
          <w:lang w:eastAsia="zh-CN"/>
        </w:rPr>
        <w:t>供应商</w:t>
      </w:r>
      <w:r>
        <w:rPr>
          <w:rFonts w:hint="eastAsia" w:ascii="宋体" w:hAnsi="宋体" w:cs="宋体"/>
          <w:color w:val="auto"/>
          <w:szCs w:val="21"/>
        </w:rPr>
        <w:t>应提交证明其拟供货物及伴随服务符合招标文件规定的技术响应文件，作为投标文件的一部分。</w:t>
      </w:r>
    </w:p>
    <w:p w14:paraId="5928E5AD">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在投标文件中应说明各项货物名称、数量、单价、规格型号等。</w:t>
      </w:r>
    </w:p>
    <w:p w14:paraId="0FB2A945">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证明文件可以是文字资料、图纸和数据。</w:t>
      </w:r>
    </w:p>
    <w:p w14:paraId="0CAB3442">
      <w:pPr>
        <w:numPr>
          <w:ilvl w:val="1"/>
          <w:numId w:val="2"/>
        </w:numPr>
        <w:spacing w:line="400" w:lineRule="exact"/>
        <w:ind w:firstLine="420" w:firstLineChars="200"/>
        <w:rPr>
          <w:rFonts w:ascii="宋体" w:cs="宋体"/>
          <w:b/>
          <w:bCs/>
          <w:color w:val="auto"/>
        </w:rPr>
      </w:pPr>
      <w:bookmarkStart w:id="153" w:name="_Toc20716"/>
      <w:r>
        <w:rPr>
          <w:rFonts w:hint="eastAsia" w:ascii="宋体" w:hAnsi="宋体" w:cs="宋体"/>
          <w:b/>
          <w:bCs/>
          <w:color w:val="auto"/>
        </w:rPr>
        <w:t>投标保证金</w:t>
      </w:r>
      <w:bookmarkEnd w:id="150"/>
      <w:bookmarkEnd w:id="151"/>
      <w:bookmarkEnd w:id="152"/>
      <w:bookmarkEnd w:id="153"/>
    </w:p>
    <w:p w14:paraId="1BE83315">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根据《河南省财政厅关于优化政府采购营商环境有关问题的通知》豫财购【2019】4号文要求，不再收取投标保证金</w:t>
      </w:r>
      <w:r>
        <w:rPr>
          <w:rFonts w:hint="eastAsia" w:ascii="宋体" w:cs="宋体"/>
          <w:color w:val="auto"/>
          <w:szCs w:val="21"/>
        </w:rPr>
        <w:t>。</w:t>
      </w:r>
    </w:p>
    <w:p w14:paraId="075FFF5B">
      <w:pPr>
        <w:numPr>
          <w:ilvl w:val="1"/>
          <w:numId w:val="2"/>
        </w:numPr>
        <w:spacing w:line="400" w:lineRule="exact"/>
        <w:ind w:firstLine="420" w:firstLineChars="200"/>
        <w:rPr>
          <w:rFonts w:ascii="宋体" w:cs="宋体"/>
          <w:b/>
          <w:bCs/>
          <w:color w:val="auto"/>
        </w:rPr>
      </w:pPr>
      <w:bookmarkStart w:id="154" w:name="_Toc29010"/>
      <w:bookmarkStart w:id="155" w:name="_Toc11749"/>
      <w:bookmarkStart w:id="156" w:name="_Toc878"/>
      <w:bookmarkStart w:id="157" w:name="_Toc11525"/>
      <w:r>
        <w:rPr>
          <w:rFonts w:hint="eastAsia" w:ascii="宋体" w:hAnsi="宋体" w:cs="宋体"/>
          <w:b/>
          <w:bCs/>
          <w:color w:val="auto"/>
        </w:rPr>
        <w:t>投标有效期</w:t>
      </w:r>
      <w:bookmarkEnd w:id="154"/>
      <w:bookmarkEnd w:id="155"/>
      <w:bookmarkEnd w:id="156"/>
      <w:bookmarkEnd w:id="157"/>
    </w:p>
    <w:p w14:paraId="5D4A0C24">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投标有效期见</w:t>
      </w:r>
      <w:r>
        <w:rPr>
          <w:rFonts w:hint="eastAsia" w:ascii="宋体" w:hAnsi="宋体" w:cs="宋体"/>
          <w:color w:val="auto"/>
          <w:szCs w:val="21"/>
          <w:lang w:eastAsia="zh-CN"/>
        </w:rPr>
        <w:t>供应商</w:t>
      </w:r>
      <w:r>
        <w:rPr>
          <w:rFonts w:hint="eastAsia" w:ascii="宋体" w:hAnsi="宋体" w:cs="宋体"/>
          <w:color w:val="auto"/>
          <w:szCs w:val="21"/>
        </w:rPr>
        <w:t>须知前附表，从递交投标文件的截止之日起算。投标有效期内</w:t>
      </w:r>
      <w:r>
        <w:rPr>
          <w:rFonts w:hint="eastAsia" w:ascii="宋体" w:hAnsi="宋体" w:cs="宋体"/>
          <w:color w:val="auto"/>
          <w:szCs w:val="21"/>
          <w:lang w:eastAsia="zh-CN"/>
        </w:rPr>
        <w:t>供应商</w:t>
      </w:r>
      <w:r>
        <w:rPr>
          <w:rFonts w:hint="eastAsia" w:ascii="宋体" w:hAnsi="宋体" w:cs="宋体"/>
          <w:color w:val="auto"/>
          <w:szCs w:val="21"/>
        </w:rPr>
        <w:t>不得要求撤销投标文件。</w:t>
      </w:r>
    </w:p>
    <w:p w14:paraId="57201C0D">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投标文件应自递交投标文件的截止之日起，在</w:t>
      </w:r>
      <w:r>
        <w:rPr>
          <w:rFonts w:hint="eastAsia" w:ascii="宋体" w:hAnsi="宋体" w:cs="宋体"/>
          <w:color w:val="auto"/>
          <w:szCs w:val="21"/>
          <w:lang w:eastAsia="zh-CN"/>
        </w:rPr>
        <w:t>供应商</w:t>
      </w:r>
      <w:r>
        <w:rPr>
          <w:rFonts w:hint="eastAsia" w:ascii="宋体" w:hAnsi="宋体" w:cs="宋体"/>
          <w:color w:val="auto"/>
          <w:szCs w:val="21"/>
        </w:rPr>
        <w:t>须知前附表规定的时间内保持有效。投标有效期不足的将被视为非响应投标而予以拒绝。</w:t>
      </w:r>
    </w:p>
    <w:p w14:paraId="1A6394D5">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在特殊情况下，在原投标有效期截止之前，采购人和采购代理机构可征求</w:t>
      </w:r>
      <w:r>
        <w:rPr>
          <w:rFonts w:hint="eastAsia" w:ascii="宋体" w:hAnsi="宋体" w:cs="宋体"/>
          <w:color w:val="auto"/>
          <w:szCs w:val="21"/>
          <w:lang w:eastAsia="zh-CN"/>
        </w:rPr>
        <w:t>供应商</w:t>
      </w:r>
      <w:r>
        <w:rPr>
          <w:rFonts w:hint="eastAsia" w:ascii="宋体" w:hAnsi="宋体" w:cs="宋体"/>
          <w:color w:val="auto"/>
          <w:szCs w:val="21"/>
        </w:rPr>
        <w:t>同意延长投标有效期。这种要求与答复均应以书面形式提交。</w:t>
      </w:r>
      <w:r>
        <w:rPr>
          <w:rFonts w:hint="eastAsia" w:ascii="宋体" w:hAnsi="宋体" w:cs="宋体"/>
          <w:color w:val="auto"/>
          <w:szCs w:val="21"/>
          <w:lang w:eastAsia="zh-CN"/>
        </w:rPr>
        <w:t>供应商</w:t>
      </w:r>
      <w:r>
        <w:rPr>
          <w:rFonts w:hint="eastAsia" w:ascii="宋体" w:hAnsi="宋体" w:cs="宋体"/>
          <w:color w:val="auto"/>
          <w:szCs w:val="21"/>
        </w:rPr>
        <w:t>可以拒绝这种要求。同意延期的</w:t>
      </w:r>
      <w:r>
        <w:rPr>
          <w:rFonts w:hint="eastAsia" w:ascii="宋体" w:hAnsi="宋体" w:cs="宋体"/>
          <w:color w:val="auto"/>
          <w:szCs w:val="21"/>
          <w:lang w:eastAsia="zh-CN"/>
        </w:rPr>
        <w:t>供应商</w:t>
      </w:r>
      <w:r>
        <w:rPr>
          <w:rFonts w:hint="eastAsia" w:ascii="宋体" w:hAnsi="宋体" w:cs="宋体"/>
          <w:color w:val="auto"/>
          <w:szCs w:val="21"/>
        </w:rPr>
        <w:t>将不会被要求也不允许修改其投标。</w:t>
      </w:r>
    </w:p>
    <w:p w14:paraId="752292FC">
      <w:pPr>
        <w:numPr>
          <w:ilvl w:val="1"/>
          <w:numId w:val="2"/>
        </w:numPr>
        <w:spacing w:line="400" w:lineRule="exact"/>
        <w:ind w:firstLine="420" w:firstLineChars="200"/>
        <w:rPr>
          <w:rFonts w:ascii="宋体" w:cs="宋体"/>
          <w:b/>
          <w:bCs/>
          <w:color w:val="auto"/>
        </w:rPr>
      </w:pPr>
      <w:bookmarkStart w:id="158" w:name="_Toc25251"/>
      <w:bookmarkStart w:id="159" w:name="_Toc10777"/>
      <w:bookmarkStart w:id="160" w:name="_Toc5773"/>
      <w:bookmarkStart w:id="161" w:name="_Toc9753"/>
      <w:r>
        <w:rPr>
          <w:rFonts w:hint="eastAsia" w:ascii="宋体" w:hAnsi="宋体" w:cs="宋体"/>
          <w:b/>
          <w:bCs/>
          <w:color w:val="auto"/>
        </w:rPr>
        <w:t>投标文件编制</w:t>
      </w:r>
      <w:bookmarkEnd w:id="158"/>
      <w:bookmarkEnd w:id="159"/>
      <w:bookmarkEnd w:id="160"/>
      <w:bookmarkEnd w:id="161"/>
    </w:p>
    <w:p w14:paraId="0F3349E5">
      <w:pPr>
        <w:spacing w:line="400" w:lineRule="exact"/>
        <w:ind w:firstLine="420" w:firstLineChars="200"/>
        <w:rPr>
          <w:rFonts w:ascii="宋体" w:hAnsi="宋体" w:cs="宋体"/>
          <w:color w:val="auto"/>
          <w:szCs w:val="21"/>
        </w:rPr>
      </w:pPr>
      <w:bookmarkStart w:id="162" w:name="_Toc18954"/>
      <w:bookmarkStart w:id="163" w:name="_Toc40112133"/>
      <w:bookmarkStart w:id="164" w:name="_Toc23968"/>
      <w:bookmarkStart w:id="165" w:name="_Toc312133546"/>
      <w:bookmarkStart w:id="166" w:name="_Toc24501"/>
      <w:bookmarkStart w:id="167" w:name="_Toc9414"/>
      <w:r>
        <w:rPr>
          <w:rFonts w:hint="eastAsia" w:ascii="宋体" w:hAnsi="宋体" w:cs="宋体"/>
          <w:color w:val="auto"/>
          <w:szCs w:val="21"/>
        </w:rPr>
        <w:t>3.7.1投标文件应按第七章“投标文件格式”进行编写，如有必要，可以增加附页，作为投标文件的组成部分。招标文件中未列明格式的，由</w:t>
      </w:r>
      <w:r>
        <w:rPr>
          <w:rFonts w:hint="eastAsia" w:ascii="宋体" w:hAnsi="宋体" w:cs="宋体"/>
          <w:color w:val="auto"/>
          <w:szCs w:val="21"/>
          <w:lang w:eastAsia="zh-CN"/>
        </w:rPr>
        <w:t>供应商</w:t>
      </w:r>
      <w:r>
        <w:rPr>
          <w:rFonts w:hint="eastAsia" w:ascii="宋体" w:hAnsi="宋体" w:cs="宋体"/>
          <w:color w:val="auto"/>
          <w:szCs w:val="21"/>
        </w:rPr>
        <w:t>按一般通用格式自行设计编写。</w:t>
      </w:r>
    </w:p>
    <w:p w14:paraId="381DE28C">
      <w:pPr>
        <w:spacing w:line="400" w:lineRule="exact"/>
        <w:ind w:firstLine="420" w:firstLineChars="200"/>
        <w:rPr>
          <w:rFonts w:ascii="宋体" w:hAnsi="宋体" w:cs="宋体"/>
          <w:color w:val="auto"/>
          <w:szCs w:val="21"/>
        </w:rPr>
      </w:pPr>
      <w:r>
        <w:rPr>
          <w:rFonts w:hint="eastAsia" w:ascii="宋体" w:hAnsi="宋体" w:cs="宋体"/>
          <w:color w:val="auto"/>
          <w:szCs w:val="21"/>
        </w:rPr>
        <w:t>投标文件编制后，需录入导入招标公告所述“安阳市政府采购投标文件编制系统”，经电子签名并加密后、在投标文件提交截止时间前，上传至招标公告所述网上电子交易系统。</w:t>
      </w:r>
    </w:p>
    <w:p w14:paraId="335A94DF">
      <w:pPr>
        <w:spacing w:line="400" w:lineRule="exact"/>
        <w:ind w:firstLine="420" w:firstLineChars="200"/>
        <w:rPr>
          <w:rFonts w:ascii="宋体" w:hAnsi="宋体" w:cs="宋体"/>
          <w:color w:val="auto"/>
          <w:szCs w:val="21"/>
        </w:rPr>
      </w:pPr>
      <w:r>
        <w:rPr>
          <w:rFonts w:hint="eastAsia" w:ascii="宋体" w:hAnsi="宋体" w:cs="宋体"/>
          <w:color w:val="auto"/>
          <w:szCs w:val="21"/>
        </w:rPr>
        <w:t>3.7.2“投标文件格式”仅为对投标文件部分内容的格式化规范，并非投标文件所应具备的全部内容。</w:t>
      </w:r>
      <w:r>
        <w:rPr>
          <w:rFonts w:hint="eastAsia" w:ascii="宋体" w:hAnsi="宋体" w:cs="宋体"/>
          <w:color w:val="auto"/>
          <w:szCs w:val="21"/>
          <w:lang w:eastAsia="zh-CN"/>
        </w:rPr>
        <w:t>供应商</w:t>
      </w:r>
      <w:r>
        <w:rPr>
          <w:rFonts w:hint="eastAsia" w:ascii="宋体" w:hAnsi="宋体" w:cs="宋体"/>
          <w:color w:val="auto"/>
          <w:szCs w:val="21"/>
        </w:rPr>
        <w:t>应按本章“3.2投标文件的组成”列示内容编制投标文件。</w:t>
      </w:r>
    </w:p>
    <w:p w14:paraId="5B30922F">
      <w:pPr>
        <w:spacing w:line="400" w:lineRule="exact"/>
        <w:ind w:firstLine="420" w:firstLineChars="200"/>
        <w:rPr>
          <w:rFonts w:ascii="宋体" w:hAnsi="宋体" w:cs="宋体"/>
          <w:color w:val="auto"/>
          <w:szCs w:val="21"/>
        </w:rPr>
      </w:pPr>
      <w:r>
        <w:rPr>
          <w:rFonts w:hint="eastAsia" w:ascii="宋体" w:hAnsi="宋体" w:cs="宋体"/>
          <w:color w:val="auto"/>
          <w:szCs w:val="21"/>
        </w:rPr>
        <w:t>3.7.3投标文件应当对招标文件有关标段内容(范围)、采购需求(技术要求、售后服务、交付(实施)期等)、投标有效期等实质性内容作出响应。在满足招标文件实质性要求的基础上，可以提出比招标文件要求更有利于采购人的承诺。</w:t>
      </w:r>
    </w:p>
    <w:p w14:paraId="5B19EBEC">
      <w:pPr>
        <w:spacing w:line="400" w:lineRule="exact"/>
        <w:ind w:firstLine="420" w:firstLineChars="200"/>
        <w:rPr>
          <w:rFonts w:ascii="宋体" w:hAnsi="宋体" w:cs="宋体"/>
          <w:color w:val="auto"/>
          <w:szCs w:val="21"/>
        </w:rPr>
      </w:pPr>
      <w:r>
        <w:rPr>
          <w:rFonts w:hint="eastAsia" w:ascii="宋体" w:hAnsi="宋体" w:cs="宋体"/>
          <w:color w:val="auto"/>
          <w:szCs w:val="21"/>
        </w:rPr>
        <w:t>投标文件的所有条款与招标文件要求有任何不同之处，应按《偏差表》格式逐一填列。投标文件与招标文件所有要求存在偏差而未填列的，评标委员会有权按照实质性判断原则(实质性要求和实质性响应两因素)评定其为无效投标。</w:t>
      </w:r>
      <w:r>
        <w:rPr>
          <w:rFonts w:hint="eastAsia" w:ascii="宋体" w:hAnsi="宋体" w:cs="宋体"/>
          <w:color w:val="auto"/>
          <w:szCs w:val="21"/>
          <w:lang w:eastAsia="zh-CN"/>
        </w:rPr>
        <w:t>供应商</w:t>
      </w:r>
      <w:r>
        <w:rPr>
          <w:rFonts w:hint="eastAsia" w:ascii="宋体" w:hAnsi="宋体" w:cs="宋体"/>
          <w:color w:val="auto"/>
          <w:szCs w:val="21"/>
        </w:rPr>
        <w:t>应认真编制投标文件并自负此项风险。</w:t>
      </w:r>
    </w:p>
    <w:p w14:paraId="5CF7CC17">
      <w:pPr>
        <w:spacing w:line="400" w:lineRule="exact"/>
        <w:ind w:firstLine="420" w:firstLineChars="200"/>
        <w:rPr>
          <w:rFonts w:ascii="宋体" w:hAnsi="宋体" w:cs="宋体"/>
          <w:color w:val="auto"/>
          <w:szCs w:val="21"/>
        </w:rPr>
      </w:pPr>
      <w:r>
        <w:rPr>
          <w:rFonts w:hint="eastAsia" w:ascii="宋体" w:hAnsi="宋体" w:cs="宋体"/>
          <w:color w:val="auto"/>
          <w:szCs w:val="21"/>
        </w:rPr>
        <w:t>3.7.4 投标文件应按招标文件相关要求(含格式上标注的要求)、使用</w:t>
      </w:r>
      <w:r>
        <w:rPr>
          <w:rFonts w:hint="eastAsia" w:ascii="宋体" w:hAnsi="宋体" w:cs="宋体"/>
          <w:color w:val="auto"/>
          <w:szCs w:val="21"/>
          <w:lang w:eastAsia="zh-CN"/>
        </w:rPr>
        <w:t>供应商</w:t>
      </w:r>
      <w:r>
        <w:rPr>
          <w:rFonts w:hint="eastAsia" w:ascii="宋体" w:hAnsi="宋体" w:cs="宋体"/>
          <w:color w:val="auto"/>
          <w:szCs w:val="21"/>
        </w:rPr>
        <w:t>企业数宇证书进行电子签章和</w:t>
      </w:r>
      <w:r>
        <w:rPr>
          <w:rFonts w:hint="eastAsia" w:ascii="宋体" w:hAnsi="宋体" w:cs="宋体"/>
          <w:color w:val="auto"/>
          <w:szCs w:val="21"/>
          <w:lang w:eastAsia="zh-CN"/>
        </w:rPr>
        <w:t>供应商</w:t>
      </w:r>
      <w:r>
        <w:rPr>
          <w:rFonts w:hint="eastAsia" w:ascii="宋体" w:hAnsi="宋体" w:cs="宋体"/>
          <w:color w:val="auto"/>
          <w:szCs w:val="21"/>
        </w:rPr>
        <w:t>法定代表人数字证书进行电子签名、并加密，没有使用</w:t>
      </w:r>
      <w:r>
        <w:rPr>
          <w:rFonts w:hint="eastAsia" w:ascii="宋体" w:hAnsi="宋体" w:cs="宋体"/>
          <w:color w:val="auto"/>
          <w:szCs w:val="21"/>
          <w:lang w:eastAsia="zh-CN"/>
        </w:rPr>
        <w:t>供应商</w:t>
      </w:r>
      <w:r>
        <w:rPr>
          <w:rFonts w:hint="eastAsia" w:ascii="宋体" w:hAnsi="宋体" w:cs="宋体"/>
          <w:color w:val="auto"/>
          <w:szCs w:val="21"/>
        </w:rPr>
        <w:t>企业数字证书和</w:t>
      </w:r>
      <w:r>
        <w:rPr>
          <w:rFonts w:hint="eastAsia" w:ascii="宋体" w:hAnsi="宋体" w:cs="宋体"/>
          <w:color w:val="auto"/>
          <w:szCs w:val="21"/>
          <w:lang w:eastAsia="zh-CN"/>
        </w:rPr>
        <w:t>供应商</w:t>
      </w:r>
      <w:r>
        <w:rPr>
          <w:rFonts w:hint="eastAsia" w:ascii="宋体" w:hAnsi="宋体" w:cs="宋体"/>
          <w:color w:val="auto"/>
          <w:szCs w:val="21"/>
        </w:rPr>
        <w:t>法定代表人数字证书进行电子签名并加密的投标文件，属于未按照招标文件要求进行签署。</w:t>
      </w:r>
    </w:p>
    <w:p w14:paraId="00AB17BB">
      <w:pPr>
        <w:spacing w:line="400" w:lineRule="exact"/>
        <w:ind w:firstLine="420" w:firstLineChars="200"/>
        <w:rPr>
          <w:rFonts w:ascii="宋体" w:hAnsi="宋体" w:cs="宋体"/>
          <w:color w:val="auto"/>
          <w:szCs w:val="21"/>
        </w:rPr>
      </w:pPr>
      <w:r>
        <w:rPr>
          <w:rFonts w:hint="eastAsia" w:ascii="宋体" w:hAnsi="宋体" w:cs="宋体"/>
          <w:color w:val="auto"/>
          <w:szCs w:val="21"/>
        </w:rPr>
        <w:t>根据《中华人民共和国电子签名法》规定，可靠的电子签名与手写签名或者盖章具有同等的法律效力。本次采购活动中，</w:t>
      </w:r>
      <w:r>
        <w:rPr>
          <w:rFonts w:hint="eastAsia" w:ascii="宋体" w:hAnsi="宋体" w:cs="宋体"/>
          <w:color w:val="auto"/>
          <w:szCs w:val="21"/>
          <w:lang w:eastAsia="zh-CN"/>
        </w:rPr>
        <w:t>供应商</w:t>
      </w:r>
      <w:r>
        <w:rPr>
          <w:rFonts w:hint="eastAsia" w:ascii="宋体" w:hAnsi="宋体" w:cs="宋体"/>
          <w:color w:val="auto"/>
          <w:szCs w:val="21"/>
        </w:rPr>
        <w:t>使用有效的企业数字证书对投标文件进行电子签章与加盖</w:t>
      </w:r>
      <w:r>
        <w:rPr>
          <w:rFonts w:hint="eastAsia" w:ascii="宋体" w:hAnsi="宋体" w:cs="宋体"/>
          <w:color w:val="auto"/>
          <w:szCs w:val="21"/>
          <w:lang w:eastAsia="zh-CN"/>
        </w:rPr>
        <w:t>供应商</w:t>
      </w:r>
      <w:r>
        <w:rPr>
          <w:rFonts w:hint="eastAsia" w:ascii="宋体" w:hAnsi="宋体" w:cs="宋体"/>
          <w:color w:val="auto"/>
          <w:szCs w:val="21"/>
        </w:rPr>
        <w:t>公章具有同等法律效力;</w:t>
      </w:r>
      <w:r>
        <w:rPr>
          <w:rFonts w:hint="eastAsia" w:ascii="宋体" w:hAnsi="宋体" w:cs="宋体"/>
          <w:color w:val="auto"/>
          <w:szCs w:val="21"/>
          <w:lang w:eastAsia="zh-CN"/>
        </w:rPr>
        <w:t>供应商</w:t>
      </w:r>
      <w:r>
        <w:rPr>
          <w:rFonts w:hint="eastAsia" w:ascii="宋体" w:hAnsi="宋体" w:cs="宋体"/>
          <w:color w:val="auto"/>
          <w:szCs w:val="21"/>
        </w:rPr>
        <w:t>法定代表人使用有效的个人数字证书对投标文件进行签名与法人签章具有同等法律效力。</w:t>
      </w:r>
    </w:p>
    <w:p w14:paraId="31A67BF8">
      <w:pPr>
        <w:spacing w:line="400" w:lineRule="exact"/>
        <w:ind w:firstLine="420" w:firstLineChars="200"/>
        <w:rPr>
          <w:rFonts w:ascii="宋体" w:hAnsi="宋体" w:cs="宋体"/>
          <w:color w:val="auto"/>
          <w:szCs w:val="21"/>
        </w:rPr>
      </w:pPr>
      <w:r>
        <w:rPr>
          <w:rFonts w:hint="eastAsia" w:ascii="宋体" w:hAnsi="宋体" w:cs="宋体"/>
          <w:color w:val="auto"/>
          <w:szCs w:val="21"/>
        </w:rPr>
        <w:t>3.7.5</w:t>
      </w:r>
      <w:r>
        <w:rPr>
          <w:rFonts w:hint="eastAsia" w:ascii="宋体" w:hAnsi="宋体" w:cs="宋体"/>
          <w:color w:val="auto"/>
          <w:szCs w:val="21"/>
          <w:lang w:eastAsia="zh-CN"/>
        </w:rPr>
        <w:t>供应商</w:t>
      </w:r>
      <w:r>
        <w:rPr>
          <w:rFonts w:hint="eastAsia" w:ascii="宋体" w:hAnsi="宋体" w:cs="宋体"/>
          <w:color w:val="auto"/>
          <w:szCs w:val="21"/>
        </w:rPr>
        <w:t>可对本招标文件中所列的所有标段进行分别投标，也可选择其中一个标段或几个标段投标，但不得将招标文件规定的同一标段的内容拆开投标，否则将按无效投标处理。</w:t>
      </w:r>
    </w:p>
    <w:p w14:paraId="4E01010D">
      <w:pPr>
        <w:spacing w:line="400" w:lineRule="exact"/>
        <w:ind w:firstLine="420" w:firstLineChars="200"/>
        <w:rPr>
          <w:rFonts w:ascii="宋体" w:hAnsi="宋体" w:cs="宋体"/>
          <w:color w:val="auto"/>
          <w:szCs w:val="21"/>
        </w:rPr>
      </w:pPr>
      <w:r>
        <w:rPr>
          <w:rFonts w:hint="eastAsia" w:ascii="宋体" w:hAnsi="宋体" w:cs="宋体"/>
          <w:color w:val="auto"/>
          <w:szCs w:val="21"/>
        </w:rPr>
        <w:t>3.7.6 投标文件因字迹或表述不清所引起的后果由</w:t>
      </w:r>
      <w:r>
        <w:rPr>
          <w:rFonts w:hint="eastAsia" w:ascii="宋体" w:hAnsi="宋体" w:cs="宋体"/>
          <w:color w:val="auto"/>
          <w:szCs w:val="21"/>
          <w:lang w:eastAsia="zh-CN"/>
        </w:rPr>
        <w:t>供应商</w:t>
      </w:r>
      <w:r>
        <w:rPr>
          <w:rFonts w:hint="eastAsia" w:ascii="宋体" w:hAnsi="宋体" w:cs="宋体"/>
          <w:color w:val="auto"/>
          <w:szCs w:val="21"/>
        </w:rPr>
        <w:t>自行负责。</w:t>
      </w:r>
    </w:p>
    <w:p w14:paraId="2DCEBCF6">
      <w:pPr>
        <w:spacing w:line="400" w:lineRule="exact"/>
        <w:ind w:firstLine="420" w:firstLineChars="200"/>
        <w:rPr>
          <w:rFonts w:ascii="宋体" w:hAnsi="宋体" w:cs="宋体"/>
          <w:color w:val="auto"/>
          <w:szCs w:val="21"/>
        </w:rPr>
      </w:pPr>
      <w:r>
        <w:rPr>
          <w:rFonts w:hint="eastAsia" w:ascii="宋体" w:hAnsi="宋体" w:cs="宋体"/>
          <w:color w:val="auto"/>
          <w:szCs w:val="21"/>
        </w:rPr>
        <w:t>3.7.7 未按上述要求提供的投标文件将视为无效投标。</w:t>
      </w:r>
    </w:p>
    <w:p w14:paraId="485BFBB9">
      <w:pPr>
        <w:numPr>
          <w:ilvl w:val="0"/>
          <w:numId w:val="2"/>
        </w:numPr>
        <w:spacing w:line="400" w:lineRule="exact"/>
        <w:ind w:firstLine="420" w:firstLineChars="200"/>
        <w:outlineLvl w:val="1"/>
        <w:rPr>
          <w:rStyle w:val="33"/>
          <w:color w:val="auto"/>
          <w:sz w:val="21"/>
          <w:szCs w:val="21"/>
        </w:rPr>
      </w:pPr>
      <w:bookmarkStart w:id="168" w:name="_Toc10657"/>
      <w:r>
        <w:rPr>
          <w:rStyle w:val="33"/>
          <w:rFonts w:hint="eastAsia"/>
          <w:color w:val="auto"/>
          <w:sz w:val="21"/>
          <w:szCs w:val="21"/>
        </w:rPr>
        <w:t>投标</w:t>
      </w:r>
      <w:bookmarkEnd w:id="162"/>
      <w:bookmarkEnd w:id="163"/>
      <w:bookmarkEnd w:id="164"/>
      <w:bookmarkEnd w:id="165"/>
      <w:bookmarkEnd w:id="166"/>
      <w:bookmarkEnd w:id="167"/>
      <w:bookmarkEnd w:id="168"/>
    </w:p>
    <w:p w14:paraId="1621A0ED">
      <w:pPr>
        <w:numPr>
          <w:ilvl w:val="1"/>
          <w:numId w:val="5"/>
        </w:numPr>
        <w:spacing w:line="400" w:lineRule="exact"/>
        <w:ind w:firstLine="420" w:firstLineChars="200"/>
        <w:rPr>
          <w:rFonts w:ascii="宋体" w:cs="宋体"/>
          <w:b/>
          <w:bCs/>
          <w:color w:val="auto"/>
        </w:rPr>
      </w:pPr>
      <w:bookmarkStart w:id="169" w:name="_Toc17190"/>
      <w:bookmarkStart w:id="170" w:name="_Toc9486"/>
      <w:bookmarkStart w:id="171" w:name="_Toc22690"/>
      <w:bookmarkStart w:id="172" w:name="_Toc25740"/>
      <w:bookmarkStart w:id="173" w:name="_Toc24089"/>
      <w:bookmarkStart w:id="174" w:name="_Toc7004"/>
      <w:bookmarkStart w:id="175" w:name="_Toc15515"/>
      <w:bookmarkStart w:id="176" w:name="_Toc7201"/>
      <w:bookmarkStart w:id="177" w:name="_Toc23777"/>
      <w:bookmarkStart w:id="178" w:name="_Toc2541"/>
      <w:bookmarkStart w:id="179" w:name="_Toc24770"/>
      <w:bookmarkStart w:id="180" w:name="_Toc25017"/>
      <w:bookmarkStart w:id="181" w:name="_Toc20910"/>
      <w:bookmarkStart w:id="182" w:name="_Toc40112134"/>
      <w:bookmarkStart w:id="183" w:name="_Toc312133547"/>
      <w:bookmarkStart w:id="184" w:name="_Toc22474"/>
      <w:bookmarkStart w:id="185" w:name="_Toc24891"/>
      <w:r>
        <w:rPr>
          <w:rFonts w:hint="eastAsia" w:ascii="宋体" w:hAnsi="宋体" w:cs="宋体"/>
          <w:b/>
          <w:bCs/>
          <w:color w:val="auto"/>
        </w:rPr>
        <w:t>投标文件签署和盖章</w:t>
      </w:r>
      <w:bookmarkEnd w:id="169"/>
      <w:bookmarkEnd w:id="170"/>
      <w:bookmarkEnd w:id="171"/>
      <w:bookmarkEnd w:id="172"/>
      <w:bookmarkEnd w:id="173"/>
      <w:bookmarkEnd w:id="174"/>
      <w:bookmarkEnd w:id="175"/>
      <w:bookmarkEnd w:id="176"/>
      <w:bookmarkEnd w:id="177"/>
      <w:bookmarkEnd w:id="178"/>
      <w:bookmarkEnd w:id="179"/>
    </w:p>
    <w:p w14:paraId="3ED963A0">
      <w:pPr>
        <w:spacing w:line="400" w:lineRule="exact"/>
        <w:ind w:firstLine="420" w:firstLineChars="200"/>
        <w:rPr>
          <w:rFonts w:ascii="宋体" w:hAnsi="宋体" w:cs="宋体"/>
          <w:b/>
          <w:bCs/>
          <w:color w:val="auto"/>
          <w:szCs w:val="21"/>
        </w:rPr>
      </w:pPr>
      <w:r>
        <w:rPr>
          <w:rFonts w:hint="eastAsia" w:ascii="宋体" w:hAnsi="宋体" w:cs="宋体"/>
          <w:b/>
          <w:bCs/>
          <w:color w:val="auto"/>
          <w:szCs w:val="21"/>
        </w:rPr>
        <w:t>4.1.1《投标文件》应当按网上电子交易系统要求进行加密和标记，在《投标文件》提交截止时间前，将加密的《投标文件》上传至“公开招标公告”所述网上电子交易系统。</w:t>
      </w:r>
    </w:p>
    <w:p w14:paraId="16AB6882">
      <w:pPr>
        <w:spacing w:line="400" w:lineRule="exact"/>
        <w:ind w:firstLine="420" w:firstLineChars="200"/>
        <w:rPr>
          <w:color w:val="auto"/>
        </w:rPr>
      </w:pPr>
      <w:r>
        <w:rPr>
          <w:rFonts w:hint="eastAsia" w:ascii="宋体" w:hAnsi="宋体" w:cs="宋体"/>
          <w:b/>
          <w:bCs/>
          <w:color w:val="auto"/>
          <w:szCs w:val="21"/>
        </w:rPr>
        <w:t>4.1.2《投标文件》没有按照上述要求进行加密和标记的、网上电子交易系统将据系统设定拒收其《投标文件》，</w:t>
      </w:r>
      <w:r>
        <w:rPr>
          <w:rFonts w:hint="eastAsia" w:ascii="宋体" w:hAnsi="宋体" w:cs="宋体"/>
          <w:b/>
          <w:bCs/>
          <w:color w:val="auto"/>
          <w:szCs w:val="21"/>
          <w:lang w:eastAsia="zh-CN"/>
        </w:rPr>
        <w:t>供应商</w:t>
      </w:r>
      <w:r>
        <w:rPr>
          <w:rFonts w:hint="eastAsia" w:ascii="宋体" w:hAnsi="宋体" w:cs="宋体"/>
          <w:b/>
          <w:bCs/>
          <w:color w:val="auto"/>
          <w:szCs w:val="21"/>
        </w:rPr>
        <w:t>应自负该项风险，采购代理机构对可能产生的误投或提前启封概不负责。</w:t>
      </w:r>
    </w:p>
    <w:p w14:paraId="27882B7D">
      <w:pPr>
        <w:numPr>
          <w:ilvl w:val="1"/>
          <w:numId w:val="5"/>
        </w:numPr>
        <w:spacing w:line="400" w:lineRule="exact"/>
        <w:ind w:firstLine="420" w:firstLineChars="200"/>
        <w:rPr>
          <w:rFonts w:ascii="宋体" w:cs="宋体"/>
          <w:b/>
          <w:bCs/>
          <w:color w:val="auto"/>
        </w:rPr>
      </w:pPr>
      <w:bookmarkStart w:id="186" w:name="_Toc14647"/>
      <w:bookmarkStart w:id="187" w:name="_Toc8642"/>
      <w:bookmarkStart w:id="188" w:name="_Toc28937"/>
      <w:bookmarkStart w:id="189" w:name="_Toc17164"/>
      <w:bookmarkStart w:id="190" w:name="_Toc2882"/>
      <w:bookmarkStart w:id="191" w:name="_Toc10849"/>
      <w:bookmarkStart w:id="192" w:name="_Toc27859"/>
      <w:bookmarkStart w:id="193" w:name="_Toc27621"/>
      <w:bookmarkStart w:id="194" w:name="_Toc20161"/>
      <w:bookmarkStart w:id="195" w:name="_Toc17234"/>
      <w:bookmarkStart w:id="196" w:name="_Toc25206"/>
      <w:r>
        <w:rPr>
          <w:rFonts w:hint="eastAsia" w:ascii="宋体" w:hAnsi="宋体" w:cs="宋体"/>
          <w:b/>
          <w:bCs/>
          <w:color w:val="auto"/>
        </w:rPr>
        <w:t>投标文件的递交</w:t>
      </w:r>
      <w:bookmarkEnd w:id="186"/>
      <w:bookmarkEnd w:id="187"/>
      <w:bookmarkEnd w:id="188"/>
      <w:bookmarkEnd w:id="189"/>
      <w:bookmarkEnd w:id="190"/>
      <w:bookmarkEnd w:id="191"/>
      <w:bookmarkEnd w:id="192"/>
      <w:bookmarkEnd w:id="193"/>
      <w:bookmarkEnd w:id="194"/>
      <w:bookmarkEnd w:id="195"/>
      <w:bookmarkEnd w:id="196"/>
    </w:p>
    <w:p w14:paraId="3CEE2725">
      <w:pPr>
        <w:spacing w:line="400" w:lineRule="exact"/>
        <w:ind w:firstLine="420" w:firstLineChars="200"/>
        <w:rPr>
          <w:rFonts w:ascii="宋体" w:hAnsi="宋体" w:cs="宋体"/>
          <w:b/>
          <w:bCs/>
          <w:color w:val="auto"/>
          <w:szCs w:val="21"/>
        </w:rPr>
      </w:pPr>
      <w:r>
        <w:rPr>
          <w:rFonts w:hint="eastAsia" w:ascii="宋体" w:hAnsi="宋体" w:cs="宋体"/>
          <w:b/>
          <w:bCs/>
          <w:color w:val="auto"/>
          <w:szCs w:val="21"/>
        </w:rPr>
        <w:t xml:space="preserve">4.2.1 </w:t>
      </w:r>
      <w:r>
        <w:rPr>
          <w:rFonts w:hint="eastAsia" w:ascii="宋体" w:hAnsi="宋体" w:cs="宋体"/>
          <w:b/>
          <w:bCs/>
          <w:color w:val="auto"/>
          <w:szCs w:val="21"/>
          <w:lang w:eastAsia="zh-CN"/>
        </w:rPr>
        <w:t>供应商</w:t>
      </w:r>
      <w:r>
        <w:rPr>
          <w:rFonts w:hint="eastAsia" w:ascii="宋体" w:hAnsi="宋体" w:cs="宋体"/>
          <w:b/>
          <w:bCs/>
          <w:color w:val="auto"/>
          <w:szCs w:val="21"/>
        </w:rPr>
        <w:t>须在《投标文件》提交截止时间前，将加密的《投标文件》上传至“公开招标公告”所述网上电子交易系统（在网上电子交易系统，凭企业数字证书登录投标用户入口的“政府采购”系统上传）。</w:t>
      </w:r>
      <w:r>
        <w:rPr>
          <w:rFonts w:hint="eastAsia" w:ascii="宋体" w:hAnsi="宋体" w:cs="宋体"/>
          <w:b/>
          <w:bCs/>
          <w:color w:val="auto"/>
          <w:szCs w:val="21"/>
          <w:lang w:eastAsia="zh-CN"/>
        </w:rPr>
        <w:t>供应商</w:t>
      </w:r>
      <w:r>
        <w:rPr>
          <w:rFonts w:hint="eastAsia" w:ascii="宋体" w:hAnsi="宋体" w:cs="宋体"/>
          <w:b/>
          <w:bCs/>
          <w:color w:val="auto"/>
          <w:szCs w:val="21"/>
        </w:rPr>
        <w:t>应在上传时认真检查上传《投标文件》是否完整、正确。</w:t>
      </w:r>
    </w:p>
    <w:p w14:paraId="58320405">
      <w:pPr>
        <w:spacing w:line="400" w:lineRule="exact"/>
        <w:ind w:firstLine="420" w:firstLineChars="200"/>
        <w:rPr>
          <w:rFonts w:ascii="宋体" w:hAnsi="宋体" w:cs="宋体"/>
          <w:b/>
          <w:bCs/>
          <w:color w:val="auto"/>
          <w:szCs w:val="21"/>
        </w:rPr>
      </w:pPr>
      <w:r>
        <w:rPr>
          <w:rFonts w:hint="eastAsia" w:ascii="宋体" w:hAnsi="宋体" w:cs="宋体"/>
          <w:b/>
          <w:bCs/>
          <w:color w:val="auto"/>
          <w:szCs w:val="21"/>
        </w:rPr>
        <w:t>4.2.2 据网上电子交易系统设定，《投标文件》提交截止时间后，系统将自动锁定已经提交的电子《投标文件》，拒绝再次提交。</w:t>
      </w:r>
      <w:r>
        <w:rPr>
          <w:rFonts w:hint="eastAsia" w:ascii="宋体" w:hAnsi="宋体" w:cs="宋体"/>
          <w:b/>
          <w:bCs/>
          <w:color w:val="auto"/>
          <w:szCs w:val="21"/>
          <w:lang w:eastAsia="zh-CN"/>
        </w:rPr>
        <w:t>供应商</w:t>
      </w:r>
      <w:r>
        <w:rPr>
          <w:rFonts w:hint="eastAsia" w:ascii="宋体" w:hAnsi="宋体" w:cs="宋体"/>
          <w:b/>
          <w:bCs/>
          <w:color w:val="auto"/>
          <w:szCs w:val="21"/>
        </w:rPr>
        <w:t>将无法通过网上电子交易系统进行上传，采购代理机构将无法接受并拒绝接受投标截止时间以后提交的《投标文件》。</w:t>
      </w:r>
    </w:p>
    <w:p w14:paraId="5DD842B0">
      <w:pPr>
        <w:spacing w:line="400" w:lineRule="exact"/>
        <w:ind w:firstLine="420" w:firstLineChars="200"/>
        <w:rPr>
          <w:rFonts w:ascii="宋体" w:hAnsi="宋体" w:cs="宋体"/>
          <w:color w:val="auto"/>
          <w:szCs w:val="21"/>
        </w:rPr>
      </w:pPr>
      <w:r>
        <w:rPr>
          <w:rFonts w:hint="eastAsia" w:ascii="宋体" w:hAnsi="宋体" w:cs="宋体"/>
          <w:color w:val="auto"/>
          <w:szCs w:val="21"/>
        </w:rPr>
        <w:t>4.2.3 由于不可抗拒的原因，代理机构对《投标文件》的遗失和损坏不负任何责任。</w:t>
      </w:r>
    </w:p>
    <w:p w14:paraId="6E22F7FD">
      <w:pPr>
        <w:spacing w:line="400" w:lineRule="exact"/>
        <w:ind w:firstLine="420" w:firstLineChars="200"/>
        <w:rPr>
          <w:rFonts w:ascii="宋体" w:hAnsi="宋体" w:cs="宋体"/>
          <w:color w:val="auto"/>
          <w:szCs w:val="21"/>
        </w:rPr>
      </w:pPr>
      <w:r>
        <w:rPr>
          <w:rFonts w:hint="eastAsia" w:ascii="宋体" w:hAnsi="宋体" w:cs="宋体"/>
          <w:color w:val="auto"/>
          <w:szCs w:val="21"/>
        </w:rPr>
        <w:t>4.2.4 除</w:t>
      </w:r>
      <w:r>
        <w:rPr>
          <w:rFonts w:hint="eastAsia" w:ascii="宋体" w:hAnsi="宋体" w:cs="宋体"/>
          <w:color w:val="auto"/>
          <w:szCs w:val="21"/>
          <w:lang w:eastAsia="zh-CN"/>
        </w:rPr>
        <w:t>供应商</w:t>
      </w:r>
      <w:r>
        <w:rPr>
          <w:rFonts w:hint="eastAsia" w:ascii="宋体" w:hAnsi="宋体" w:cs="宋体"/>
          <w:color w:val="auto"/>
          <w:szCs w:val="21"/>
        </w:rPr>
        <w:t>须知前附表另有规定外，</w:t>
      </w:r>
      <w:r>
        <w:rPr>
          <w:rFonts w:hint="eastAsia" w:ascii="宋体" w:hAnsi="宋体" w:cs="宋体"/>
          <w:color w:val="auto"/>
          <w:szCs w:val="21"/>
          <w:lang w:eastAsia="zh-CN"/>
        </w:rPr>
        <w:t>供应商</w:t>
      </w:r>
      <w:r>
        <w:rPr>
          <w:rFonts w:hint="eastAsia" w:ascii="宋体" w:hAnsi="宋体" w:cs="宋体"/>
          <w:color w:val="auto"/>
          <w:szCs w:val="21"/>
        </w:rPr>
        <w:t>所递交的《投标文件》不予退还。</w:t>
      </w:r>
    </w:p>
    <w:p w14:paraId="051EA5F2">
      <w:pPr>
        <w:spacing w:line="400" w:lineRule="exact"/>
        <w:ind w:firstLine="420" w:firstLineChars="200"/>
        <w:rPr>
          <w:rFonts w:ascii="宋体" w:cs="宋体"/>
          <w:color w:val="auto"/>
          <w:szCs w:val="21"/>
        </w:rPr>
      </w:pPr>
      <w:r>
        <w:rPr>
          <w:rFonts w:hint="eastAsia" w:ascii="宋体" w:hAnsi="宋体" w:cs="宋体"/>
          <w:b/>
          <w:bCs/>
          <w:color w:val="auto"/>
          <w:szCs w:val="21"/>
        </w:rPr>
        <w:t>4.2.5 基于网上电子交易的系统要求及特点，只接受基于符合网上电子交易系统要求的投标，其他如纸制、送达、电报、电话、电子邮件等形式的投标概不接受。</w:t>
      </w:r>
      <w:r>
        <w:rPr>
          <w:rFonts w:ascii="宋体" w:hAnsi="宋体" w:cs="宋体"/>
          <w:color w:val="auto"/>
          <w:szCs w:val="21"/>
        </w:rPr>
        <w:t xml:space="preserve"> </w:t>
      </w:r>
    </w:p>
    <w:p w14:paraId="41C5AAA9">
      <w:pPr>
        <w:numPr>
          <w:ilvl w:val="1"/>
          <w:numId w:val="5"/>
        </w:numPr>
        <w:spacing w:line="400" w:lineRule="exact"/>
        <w:ind w:firstLine="420" w:firstLineChars="200"/>
        <w:rPr>
          <w:rFonts w:ascii="宋体" w:cs="宋体"/>
          <w:b/>
          <w:bCs/>
          <w:color w:val="auto"/>
        </w:rPr>
      </w:pPr>
      <w:bookmarkStart w:id="197" w:name="_Toc8025"/>
      <w:bookmarkStart w:id="198" w:name="_Toc27084"/>
      <w:bookmarkStart w:id="199" w:name="_Toc32365"/>
      <w:bookmarkStart w:id="200" w:name="_Toc22212"/>
      <w:bookmarkStart w:id="201" w:name="_Toc19554"/>
      <w:bookmarkStart w:id="202" w:name="_Toc27900"/>
      <w:bookmarkStart w:id="203" w:name="_Toc23125"/>
      <w:bookmarkStart w:id="204" w:name="_Toc31018"/>
      <w:bookmarkStart w:id="205" w:name="_Toc3471"/>
      <w:bookmarkStart w:id="206" w:name="_Toc7423"/>
      <w:bookmarkStart w:id="207" w:name="_Toc13886"/>
      <w:r>
        <w:rPr>
          <w:rFonts w:hint="eastAsia" w:ascii="宋体" w:hAnsi="宋体" w:cs="宋体"/>
          <w:b/>
          <w:bCs/>
          <w:color w:val="auto"/>
        </w:rPr>
        <w:t>投标文件的修改和撤回</w:t>
      </w:r>
      <w:bookmarkEnd w:id="197"/>
      <w:bookmarkEnd w:id="198"/>
      <w:bookmarkEnd w:id="199"/>
      <w:bookmarkEnd w:id="200"/>
      <w:bookmarkEnd w:id="201"/>
      <w:bookmarkEnd w:id="202"/>
      <w:bookmarkEnd w:id="203"/>
      <w:bookmarkEnd w:id="204"/>
      <w:bookmarkEnd w:id="205"/>
      <w:bookmarkEnd w:id="206"/>
      <w:bookmarkEnd w:id="207"/>
    </w:p>
    <w:p w14:paraId="01384C10">
      <w:pPr>
        <w:spacing w:line="400" w:lineRule="exact"/>
        <w:ind w:firstLine="420" w:firstLineChars="200"/>
        <w:rPr>
          <w:rFonts w:ascii="宋体" w:hAnsi="宋体" w:cs="宋体"/>
          <w:b/>
          <w:bCs/>
          <w:color w:val="auto"/>
          <w:szCs w:val="21"/>
        </w:rPr>
      </w:pPr>
      <w:r>
        <w:rPr>
          <w:rFonts w:hint="eastAsia" w:ascii="宋体" w:hAnsi="宋体" w:cs="宋体"/>
          <w:b/>
          <w:bCs/>
          <w:color w:val="auto"/>
          <w:szCs w:val="21"/>
        </w:rPr>
        <w:t xml:space="preserve">4.3.1 </w:t>
      </w:r>
      <w:r>
        <w:rPr>
          <w:rFonts w:hint="eastAsia" w:ascii="宋体" w:hAnsi="宋体" w:cs="宋体"/>
          <w:b/>
          <w:bCs/>
          <w:color w:val="auto"/>
          <w:szCs w:val="21"/>
          <w:lang w:eastAsia="zh-CN"/>
        </w:rPr>
        <w:t>供应商</w:t>
      </w:r>
      <w:r>
        <w:rPr>
          <w:rFonts w:hint="eastAsia" w:ascii="宋体" w:hAnsi="宋体" w:cs="宋体"/>
          <w:b/>
          <w:bCs/>
          <w:color w:val="auto"/>
          <w:szCs w:val="21"/>
        </w:rPr>
        <w:t>于提交《投标文件》截止时间前如对《投标文件》进行补充、修改，可以上传新的《投标文件》进行覆盖。</w:t>
      </w:r>
      <w:r>
        <w:rPr>
          <w:rFonts w:hint="eastAsia" w:ascii="宋体" w:hAnsi="宋体" w:cs="宋体"/>
          <w:b/>
          <w:bCs/>
          <w:color w:val="auto"/>
          <w:szCs w:val="21"/>
          <w:lang w:eastAsia="zh-CN"/>
        </w:rPr>
        <w:t>供应商</w:t>
      </w:r>
      <w:r>
        <w:rPr>
          <w:rFonts w:hint="eastAsia" w:ascii="宋体" w:hAnsi="宋体" w:cs="宋体"/>
          <w:b/>
          <w:bCs/>
          <w:color w:val="auto"/>
          <w:szCs w:val="21"/>
        </w:rPr>
        <w:t>如撤回《投标文件》，应及时书面通知采购代理机构进行办理。</w:t>
      </w:r>
    </w:p>
    <w:p w14:paraId="5C6DF261">
      <w:pPr>
        <w:pStyle w:val="16"/>
        <w:ind w:left="0" w:leftChars="0" w:firstLine="422"/>
        <w:rPr>
          <w:rFonts w:ascii="宋体" w:hAnsi="宋体" w:cs="宋体"/>
          <w:b/>
          <w:bCs/>
          <w:color w:val="auto"/>
          <w:sz w:val="21"/>
          <w:szCs w:val="21"/>
        </w:rPr>
      </w:pPr>
      <w:r>
        <w:rPr>
          <w:rFonts w:hint="eastAsia" w:ascii="宋体" w:hAnsi="宋体" w:cs="宋体"/>
          <w:b/>
          <w:bCs/>
          <w:color w:val="auto"/>
          <w:sz w:val="21"/>
          <w:szCs w:val="21"/>
        </w:rPr>
        <w:t xml:space="preserve">4.3.2 </w:t>
      </w:r>
      <w:r>
        <w:rPr>
          <w:rFonts w:hint="eastAsia" w:ascii="宋体" w:hAnsi="宋体" w:cs="宋体"/>
          <w:b/>
          <w:bCs/>
          <w:color w:val="auto"/>
          <w:sz w:val="21"/>
          <w:szCs w:val="21"/>
          <w:lang w:eastAsia="zh-CN"/>
        </w:rPr>
        <w:t>供应商</w:t>
      </w:r>
      <w:r>
        <w:rPr>
          <w:rFonts w:hint="eastAsia" w:ascii="宋体" w:hAnsi="宋体" w:cs="宋体"/>
          <w:b/>
          <w:bCs/>
          <w:color w:val="auto"/>
          <w:sz w:val="21"/>
          <w:szCs w:val="21"/>
        </w:rPr>
        <w:t>在《投标文件》提交截止时间后不得自行修改或撤回其投标</w:t>
      </w:r>
    </w:p>
    <w:p w14:paraId="1D0ED198">
      <w:pPr>
        <w:numPr>
          <w:ilvl w:val="0"/>
          <w:numId w:val="2"/>
        </w:numPr>
        <w:spacing w:line="400" w:lineRule="exact"/>
        <w:ind w:firstLine="420" w:firstLineChars="200"/>
        <w:outlineLvl w:val="1"/>
        <w:rPr>
          <w:rStyle w:val="33"/>
          <w:color w:val="auto"/>
          <w:sz w:val="21"/>
          <w:szCs w:val="21"/>
        </w:rPr>
      </w:pPr>
      <w:bookmarkStart w:id="208" w:name="_Toc22603"/>
      <w:r>
        <w:rPr>
          <w:rStyle w:val="33"/>
          <w:rFonts w:hint="eastAsia"/>
          <w:color w:val="auto"/>
          <w:sz w:val="21"/>
          <w:szCs w:val="21"/>
        </w:rPr>
        <w:t>开标、资格审查与评标</w:t>
      </w:r>
      <w:bookmarkEnd w:id="180"/>
      <w:bookmarkEnd w:id="181"/>
      <w:bookmarkEnd w:id="182"/>
      <w:bookmarkEnd w:id="183"/>
      <w:bookmarkEnd w:id="184"/>
      <w:bookmarkEnd w:id="185"/>
      <w:bookmarkEnd w:id="208"/>
    </w:p>
    <w:p w14:paraId="7DA699C2">
      <w:pPr>
        <w:numPr>
          <w:ilvl w:val="1"/>
          <w:numId w:val="5"/>
        </w:numPr>
        <w:spacing w:line="400" w:lineRule="exact"/>
        <w:ind w:firstLine="420" w:firstLineChars="200"/>
        <w:rPr>
          <w:rFonts w:ascii="宋体" w:cs="宋体"/>
          <w:b/>
          <w:bCs/>
          <w:color w:val="auto"/>
        </w:rPr>
      </w:pPr>
      <w:bookmarkStart w:id="209" w:name="_Toc3802"/>
      <w:bookmarkStart w:id="210" w:name="_Toc3484"/>
      <w:bookmarkStart w:id="211" w:name="_Toc21689"/>
      <w:bookmarkStart w:id="212" w:name="_Toc10066"/>
      <w:bookmarkStart w:id="213" w:name="_Toc10372"/>
      <w:bookmarkStart w:id="214" w:name="_Toc30917"/>
      <w:bookmarkStart w:id="215" w:name="_Toc22058"/>
      <w:bookmarkStart w:id="216" w:name="_Toc24837"/>
      <w:bookmarkStart w:id="217" w:name="_Toc1051"/>
      <w:bookmarkStart w:id="218" w:name="_Toc18834"/>
      <w:bookmarkStart w:id="219" w:name="_Toc28821"/>
      <w:bookmarkStart w:id="220" w:name="_Toc12131"/>
      <w:bookmarkStart w:id="221" w:name="_Toc22420"/>
      <w:bookmarkStart w:id="222" w:name="_Toc25530"/>
      <w:bookmarkStart w:id="223" w:name="_Toc7396"/>
      <w:bookmarkStart w:id="224" w:name="_Toc10927"/>
      <w:bookmarkStart w:id="225" w:name="_Toc25755"/>
      <w:bookmarkStart w:id="226" w:name="_Toc12609"/>
      <w:bookmarkStart w:id="227" w:name="_Toc8996"/>
      <w:bookmarkStart w:id="228" w:name="_Toc5830"/>
      <w:bookmarkStart w:id="229" w:name="_Toc25509"/>
      <w:bookmarkStart w:id="230" w:name="_Toc608"/>
      <w:bookmarkStart w:id="231" w:name="_Toc312133548"/>
      <w:r>
        <w:rPr>
          <w:rFonts w:hint="eastAsia" w:ascii="宋体" w:hAnsi="宋体" w:cs="宋体"/>
          <w:b/>
          <w:bCs/>
          <w:color w:val="auto"/>
        </w:rPr>
        <w:t>开标</w:t>
      </w:r>
      <w:bookmarkEnd w:id="209"/>
      <w:bookmarkEnd w:id="210"/>
      <w:bookmarkEnd w:id="211"/>
      <w:bookmarkEnd w:id="212"/>
      <w:bookmarkEnd w:id="213"/>
      <w:bookmarkEnd w:id="214"/>
      <w:bookmarkEnd w:id="215"/>
      <w:bookmarkEnd w:id="216"/>
      <w:bookmarkEnd w:id="217"/>
      <w:bookmarkEnd w:id="218"/>
      <w:bookmarkEnd w:id="219"/>
    </w:p>
    <w:p w14:paraId="284AFF9A">
      <w:pPr>
        <w:spacing w:line="400" w:lineRule="exact"/>
        <w:ind w:firstLine="420" w:firstLineChars="200"/>
        <w:outlineLvl w:val="2"/>
        <w:rPr>
          <w:rFonts w:ascii="宋体" w:hAnsi="宋体" w:cs="宋体"/>
          <w:color w:val="auto"/>
          <w:szCs w:val="21"/>
        </w:rPr>
      </w:pPr>
      <w:bookmarkStart w:id="232" w:name="_Toc9007"/>
      <w:r>
        <w:rPr>
          <w:rFonts w:hint="eastAsia" w:ascii="宋体" w:hAnsi="宋体" w:cs="宋体"/>
          <w:color w:val="auto"/>
          <w:szCs w:val="21"/>
        </w:rPr>
        <w:t>5.1.1 《投标文件》开启时间和地点</w:t>
      </w:r>
      <w:bookmarkEnd w:id="232"/>
    </w:p>
    <w:p w14:paraId="608B2EC0">
      <w:pPr>
        <w:spacing w:line="400" w:lineRule="exact"/>
        <w:ind w:firstLine="420" w:firstLineChars="200"/>
        <w:rPr>
          <w:rFonts w:ascii="宋体" w:hAnsi="宋体" w:cs="宋体"/>
          <w:b/>
          <w:bCs/>
          <w:color w:val="auto"/>
          <w:szCs w:val="21"/>
        </w:rPr>
      </w:pPr>
      <w:r>
        <w:rPr>
          <w:rFonts w:hint="eastAsia" w:ascii="宋体" w:hAnsi="宋体" w:cs="宋体"/>
          <w:b/>
          <w:bCs/>
          <w:color w:val="auto"/>
          <w:szCs w:val="21"/>
        </w:rPr>
        <w:t xml:space="preserve"> 采购人和采购代理机构按“公开招标公告”规定的时间和地点于网上（公开招标公告所述网上电子交易系统）公开《投标文件》开启。</w:t>
      </w:r>
    </w:p>
    <w:p w14:paraId="418C758C">
      <w:pPr>
        <w:spacing w:line="400" w:lineRule="exact"/>
        <w:ind w:firstLine="420" w:firstLineChars="200"/>
        <w:rPr>
          <w:rFonts w:ascii="宋体" w:hAnsi="宋体" w:cs="宋体"/>
          <w:b/>
          <w:bCs/>
          <w:color w:val="auto"/>
          <w:szCs w:val="21"/>
        </w:rPr>
      </w:pPr>
      <w:r>
        <w:rPr>
          <w:rFonts w:hint="eastAsia" w:ascii="宋体" w:hAnsi="宋体" w:cs="宋体"/>
          <w:b/>
          <w:bCs/>
          <w:color w:val="auto"/>
          <w:szCs w:val="21"/>
          <w:lang w:eastAsia="zh-CN"/>
        </w:rPr>
        <w:t>供应商</w:t>
      </w:r>
      <w:r>
        <w:rPr>
          <w:rFonts w:hint="eastAsia" w:ascii="宋体" w:hAnsi="宋体" w:cs="宋体"/>
          <w:b/>
          <w:bCs/>
          <w:color w:val="auto"/>
          <w:szCs w:val="21"/>
        </w:rPr>
        <w:t>需在开标前打开“公开招标公告”所述网上电子交易系统，凭企业数字证书登录投标用户入口的“政府采购”系统，并进入本项目相匹配的网上开标室。</w:t>
      </w:r>
    </w:p>
    <w:p w14:paraId="467FF89B">
      <w:pPr>
        <w:spacing w:line="400" w:lineRule="exact"/>
        <w:ind w:firstLine="420" w:firstLineChars="200"/>
        <w:outlineLvl w:val="2"/>
        <w:rPr>
          <w:rFonts w:ascii="宋体" w:hAnsi="宋体" w:cs="宋体"/>
          <w:color w:val="auto"/>
          <w:szCs w:val="21"/>
        </w:rPr>
      </w:pPr>
      <w:bookmarkStart w:id="233" w:name="_Toc16647"/>
      <w:r>
        <w:rPr>
          <w:rFonts w:hint="eastAsia" w:ascii="宋体" w:hAnsi="宋体" w:cs="宋体"/>
          <w:b/>
          <w:bCs/>
          <w:color w:val="auto"/>
          <w:szCs w:val="21"/>
        </w:rPr>
        <w:t>《投标文件》开启程序</w:t>
      </w:r>
      <w:bookmarkEnd w:id="233"/>
    </w:p>
    <w:p w14:paraId="4E100426">
      <w:pPr>
        <w:spacing w:line="400" w:lineRule="exact"/>
        <w:ind w:firstLine="420" w:firstLineChars="200"/>
        <w:rPr>
          <w:rFonts w:ascii="宋体" w:hAnsi="宋体" w:cs="宋体"/>
          <w:b/>
          <w:bCs/>
          <w:color w:val="auto"/>
          <w:szCs w:val="21"/>
        </w:rPr>
      </w:pPr>
      <w:r>
        <w:rPr>
          <w:rFonts w:hint="eastAsia" w:ascii="宋体" w:hAnsi="宋体" w:cs="宋体"/>
          <w:b/>
          <w:bCs/>
          <w:color w:val="auto"/>
          <w:szCs w:val="21"/>
        </w:rPr>
        <w:t xml:space="preserve"> 本项目为网上电子交易方式，《投标文件》的开启方式为远程解密，为保证开启工作顺利进行，</w:t>
      </w:r>
      <w:r>
        <w:rPr>
          <w:rFonts w:hint="eastAsia" w:ascii="宋体" w:hAnsi="宋体" w:cs="宋体"/>
          <w:b/>
          <w:bCs/>
          <w:color w:val="auto"/>
          <w:szCs w:val="21"/>
          <w:lang w:eastAsia="zh-CN"/>
        </w:rPr>
        <w:t>供应商</w:t>
      </w:r>
      <w:r>
        <w:rPr>
          <w:rFonts w:hint="eastAsia" w:ascii="宋体" w:hAnsi="宋体" w:cs="宋体"/>
          <w:b/>
          <w:bCs/>
          <w:color w:val="auto"/>
          <w:szCs w:val="21"/>
        </w:rPr>
        <w:t>需在开标阶段、在管理员下达解密指令后的指定时限内，完成对本单位的加密《投标文件》的远程解密。如</w:t>
      </w:r>
      <w:r>
        <w:rPr>
          <w:rFonts w:hint="eastAsia" w:ascii="宋体" w:hAnsi="宋体" w:cs="宋体"/>
          <w:b/>
          <w:bCs/>
          <w:color w:val="auto"/>
          <w:szCs w:val="21"/>
          <w:lang w:eastAsia="zh-CN"/>
        </w:rPr>
        <w:t>供应商</w:t>
      </w:r>
      <w:r>
        <w:rPr>
          <w:rFonts w:hint="eastAsia" w:ascii="宋体" w:hAnsi="宋体" w:cs="宋体"/>
          <w:b/>
          <w:bCs/>
          <w:color w:val="auto"/>
          <w:szCs w:val="21"/>
        </w:rPr>
        <w:t>因自身原因、在指定时限内没有解密成功的，其投标将不能被接受，投标单位自行承担相应后果。解密完成后，</w:t>
      </w:r>
      <w:r>
        <w:rPr>
          <w:rFonts w:hint="eastAsia" w:ascii="宋体" w:hAnsi="宋体" w:cs="宋体"/>
          <w:b/>
          <w:bCs/>
          <w:color w:val="auto"/>
          <w:szCs w:val="21"/>
          <w:lang w:eastAsia="zh-CN"/>
        </w:rPr>
        <w:t>供应商</w:t>
      </w:r>
      <w:r>
        <w:rPr>
          <w:rFonts w:hint="eastAsia" w:ascii="宋体" w:hAnsi="宋体" w:cs="宋体"/>
          <w:b/>
          <w:bCs/>
          <w:color w:val="auto"/>
          <w:szCs w:val="21"/>
        </w:rPr>
        <w:t>的报价将在系统界面上显示。</w:t>
      </w:r>
    </w:p>
    <w:p w14:paraId="78861A13">
      <w:pPr>
        <w:spacing w:line="400" w:lineRule="exact"/>
        <w:ind w:firstLine="420" w:firstLineChars="200"/>
        <w:rPr>
          <w:rFonts w:ascii="宋体" w:hAnsi="宋体" w:cs="宋体"/>
          <w:b/>
          <w:bCs/>
          <w:color w:val="auto"/>
          <w:szCs w:val="21"/>
        </w:rPr>
      </w:pPr>
      <w:r>
        <w:rPr>
          <w:rFonts w:hint="eastAsia" w:ascii="宋体" w:hAnsi="宋体" w:cs="宋体"/>
          <w:b/>
          <w:bCs/>
          <w:color w:val="auto"/>
          <w:szCs w:val="21"/>
        </w:rPr>
        <w:t>鉴于网上电子交易方式的特点，管理员将根据系统情况下达解密指令。</w:t>
      </w:r>
    </w:p>
    <w:p w14:paraId="698A80DB">
      <w:pPr>
        <w:spacing w:line="400" w:lineRule="exact"/>
        <w:ind w:firstLine="420" w:firstLineChars="200"/>
        <w:rPr>
          <w:rFonts w:ascii="宋体" w:hAnsi="宋体" w:cs="宋体"/>
          <w:color w:val="auto"/>
          <w:szCs w:val="21"/>
        </w:rPr>
      </w:pPr>
      <w:r>
        <w:rPr>
          <w:rFonts w:hint="eastAsia" w:ascii="宋体" w:hAnsi="宋体" w:cs="宋体"/>
          <w:color w:val="auto"/>
          <w:szCs w:val="21"/>
          <w:lang w:eastAsia="zh-CN"/>
        </w:rPr>
        <w:t>供应商</w:t>
      </w:r>
      <w:r>
        <w:rPr>
          <w:rFonts w:hint="eastAsia" w:ascii="宋体" w:hAnsi="宋体" w:cs="宋体"/>
          <w:color w:val="auto"/>
          <w:szCs w:val="21"/>
        </w:rPr>
        <w:t>代表对开标过程和开标记录有异议，以及认为采购人、采购代理机构相关工作人员有需要回避的情形的，应当场提出询问或者回避申请。采购人、采购代理机构对</w:t>
      </w:r>
      <w:r>
        <w:rPr>
          <w:rFonts w:hint="eastAsia" w:ascii="宋体" w:hAnsi="宋体" w:cs="宋体"/>
          <w:color w:val="auto"/>
          <w:szCs w:val="21"/>
          <w:lang w:eastAsia="zh-CN"/>
        </w:rPr>
        <w:t>供应商</w:t>
      </w:r>
      <w:r>
        <w:rPr>
          <w:rFonts w:hint="eastAsia" w:ascii="宋体" w:hAnsi="宋体" w:cs="宋体"/>
          <w:color w:val="auto"/>
          <w:szCs w:val="21"/>
        </w:rPr>
        <w:t>代表提出的询问或者回避申请应当及时处理，并制作记录。</w:t>
      </w:r>
    </w:p>
    <w:p w14:paraId="285BC8BB">
      <w:pPr>
        <w:spacing w:line="400" w:lineRule="exact"/>
        <w:ind w:firstLine="420" w:firstLineChars="200"/>
        <w:rPr>
          <w:rFonts w:ascii="宋体" w:cs="宋体"/>
          <w:color w:val="auto"/>
          <w:szCs w:val="21"/>
        </w:rPr>
      </w:pPr>
      <w:r>
        <w:rPr>
          <w:rFonts w:hint="eastAsia" w:ascii="宋体" w:hAnsi="宋体" w:cs="宋体"/>
          <w:color w:val="auto"/>
          <w:szCs w:val="21"/>
          <w:lang w:eastAsia="zh-CN"/>
        </w:rPr>
        <w:t>供应商</w:t>
      </w:r>
      <w:r>
        <w:rPr>
          <w:rFonts w:hint="eastAsia" w:ascii="宋体" w:hAnsi="宋体" w:cs="宋体"/>
          <w:color w:val="auto"/>
          <w:szCs w:val="21"/>
        </w:rPr>
        <w:t>未参加开标的，视同认可开标结果。</w:t>
      </w:r>
    </w:p>
    <w:p w14:paraId="32BBE0C0">
      <w:pPr>
        <w:numPr>
          <w:ilvl w:val="1"/>
          <w:numId w:val="5"/>
        </w:numPr>
        <w:spacing w:line="400" w:lineRule="exact"/>
        <w:ind w:firstLine="420" w:firstLineChars="200"/>
        <w:rPr>
          <w:rFonts w:ascii="宋体" w:cs="宋体"/>
          <w:b/>
          <w:bCs/>
          <w:color w:val="auto"/>
        </w:rPr>
      </w:pPr>
      <w:bookmarkStart w:id="234" w:name="_Toc22131"/>
      <w:bookmarkStart w:id="235" w:name="_Toc18862"/>
      <w:bookmarkStart w:id="236" w:name="_Toc3031"/>
      <w:bookmarkStart w:id="237" w:name="_Toc29955"/>
      <w:bookmarkStart w:id="238" w:name="_Toc29588"/>
      <w:bookmarkStart w:id="239" w:name="_Toc11192"/>
      <w:bookmarkStart w:id="240" w:name="_Toc29637"/>
      <w:bookmarkStart w:id="241" w:name="_Toc29315"/>
      <w:bookmarkStart w:id="242" w:name="_Toc22209"/>
      <w:bookmarkStart w:id="243" w:name="_Toc24277"/>
      <w:bookmarkStart w:id="244" w:name="_Toc13168"/>
      <w:r>
        <w:rPr>
          <w:rFonts w:hint="eastAsia" w:ascii="宋体" w:hAnsi="宋体" w:cs="宋体"/>
          <w:b/>
          <w:bCs/>
          <w:color w:val="auto"/>
        </w:rPr>
        <w:t>资格审查工作</w:t>
      </w:r>
      <w:bookmarkEnd w:id="234"/>
      <w:bookmarkEnd w:id="235"/>
      <w:bookmarkEnd w:id="236"/>
      <w:bookmarkEnd w:id="237"/>
      <w:bookmarkEnd w:id="238"/>
      <w:bookmarkEnd w:id="239"/>
      <w:bookmarkEnd w:id="240"/>
      <w:bookmarkEnd w:id="241"/>
      <w:bookmarkEnd w:id="242"/>
      <w:bookmarkEnd w:id="243"/>
      <w:bookmarkEnd w:id="244"/>
    </w:p>
    <w:p w14:paraId="6882B1A7">
      <w:pPr>
        <w:numPr>
          <w:ilvl w:val="2"/>
          <w:numId w:val="5"/>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开标结束后，采购代理机构应当依法对</w:t>
      </w:r>
      <w:r>
        <w:rPr>
          <w:rFonts w:hint="eastAsia" w:ascii="宋体" w:hAnsi="宋体" w:cs="宋体"/>
          <w:color w:val="auto"/>
          <w:szCs w:val="21"/>
          <w:lang w:eastAsia="zh-CN"/>
        </w:rPr>
        <w:t>供应商</w:t>
      </w:r>
      <w:r>
        <w:rPr>
          <w:rFonts w:hint="eastAsia" w:ascii="宋体" w:hAnsi="宋体" w:cs="宋体"/>
          <w:color w:val="auto"/>
          <w:szCs w:val="21"/>
        </w:rPr>
        <w:t>的资格进行审查。合格</w:t>
      </w:r>
      <w:r>
        <w:rPr>
          <w:rFonts w:hint="eastAsia" w:ascii="宋体" w:hAnsi="宋体" w:cs="宋体"/>
          <w:color w:val="auto"/>
          <w:szCs w:val="21"/>
          <w:lang w:eastAsia="zh-CN"/>
        </w:rPr>
        <w:t>供应商</w:t>
      </w:r>
      <w:r>
        <w:rPr>
          <w:rFonts w:hint="eastAsia" w:ascii="宋体" w:hAnsi="宋体" w:cs="宋体"/>
          <w:color w:val="auto"/>
          <w:szCs w:val="21"/>
        </w:rPr>
        <w:t>不足</w:t>
      </w:r>
      <w:r>
        <w:rPr>
          <w:rFonts w:ascii="宋体" w:hAnsi="宋体" w:cs="宋体"/>
          <w:color w:val="auto"/>
          <w:szCs w:val="21"/>
        </w:rPr>
        <w:t>3</w:t>
      </w:r>
      <w:r>
        <w:rPr>
          <w:rFonts w:hint="eastAsia" w:ascii="宋体" w:hAnsi="宋体" w:cs="宋体"/>
          <w:color w:val="auto"/>
          <w:szCs w:val="21"/>
        </w:rPr>
        <w:t>家的，不得评标。</w:t>
      </w:r>
    </w:p>
    <w:p w14:paraId="06CD67C3">
      <w:pPr>
        <w:numPr>
          <w:ilvl w:val="1"/>
          <w:numId w:val="5"/>
        </w:numPr>
        <w:spacing w:line="400" w:lineRule="exact"/>
        <w:ind w:firstLine="420" w:firstLineChars="200"/>
        <w:rPr>
          <w:rFonts w:ascii="宋体" w:cs="宋体"/>
          <w:b/>
          <w:bCs/>
          <w:color w:val="auto"/>
        </w:rPr>
      </w:pPr>
      <w:bookmarkStart w:id="245" w:name="_Toc32305"/>
      <w:bookmarkStart w:id="246" w:name="_Toc16180"/>
      <w:bookmarkStart w:id="247" w:name="_Toc2042"/>
      <w:bookmarkStart w:id="248" w:name="_Toc24379"/>
      <w:bookmarkStart w:id="249" w:name="_Toc31129"/>
      <w:bookmarkStart w:id="250" w:name="_Toc26746"/>
      <w:bookmarkStart w:id="251" w:name="_Toc8092"/>
      <w:bookmarkStart w:id="252" w:name="_Toc19513"/>
      <w:bookmarkStart w:id="253" w:name="_Toc31474"/>
      <w:bookmarkStart w:id="254" w:name="_Toc12598"/>
      <w:bookmarkStart w:id="255" w:name="_Toc22105"/>
      <w:r>
        <w:rPr>
          <w:rFonts w:hint="eastAsia" w:ascii="宋体" w:hAnsi="宋体" w:cs="宋体"/>
          <w:b/>
          <w:bCs/>
          <w:color w:val="auto"/>
        </w:rPr>
        <w:t>评标工作</w:t>
      </w:r>
      <w:bookmarkEnd w:id="245"/>
      <w:bookmarkEnd w:id="246"/>
      <w:bookmarkEnd w:id="247"/>
      <w:bookmarkEnd w:id="248"/>
      <w:bookmarkEnd w:id="249"/>
      <w:bookmarkEnd w:id="250"/>
      <w:bookmarkEnd w:id="251"/>
      <w:bookmarkEnd w:id="252"/>
      <w:bookmarkEnd w:id="253"/>
      <w:bookmarkEnd w:id="254"/>
      <w:bookmarkEnd w:id="255"/>
    </w:p>
    <w:p w14:paraId="24910550">
      <w:pPr>
        <w:numPr>
          <w:ilvl w:val="2"/>
          <w:numId w:val="5"/>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评标委员会</w:t>
      </w:r>
    </w:p>
    <w:p w14:paraId="00996147">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1</w:t>
      </w:r>
      <w:r>
        <w:rPr>
          <w:rFonts w:hint="eastAsia" w:ascii="宋体" w:hAnsi="宋体" w:cs="宋体"/>
          <w:color w:val="auto"/>
          <w:kern w:val="0"/>
          <w:szCs w:val="21"/>
        </w:rPr>
        <w:t>）评标工作由采购人依法组建的评标委员会负责，对符合资格的</w:t>
      </w:r>
      <w:r>
        <w:rPr>
          <w:rFonts w:hint="eastAsia" w:ascii="宋体" w:hAnsi="宋体" w:cs="宋体"/>
          <w:color w:val="auto"/>
          <w:kern w:val="0"/>
          <w:szCs w:val="21"/>
          <w:lang w:eastAsia="zh-CN"/>
        </w:rPr>
        <w:t>供应商</w:t>
      </w:r>
      <w:r>
        <w:rPr>
          <w:rFonts w:hint="eastAsia" w:ascii="宋体" w:hAnsi="宋体" w:cs="宋体"/>
          <w:color w:val="auto"/>
          <w:kern w:val="0"/>
          <w:szCs w:val="21"/>
        </w:rPr>
        <w:t>的投标文件进行评审，并按评标办法规定的方式推荐出</w:t>
      </w:r>
      <w:r>
        <w:rPr>
          <w:rFonts w:hint="eastAsia" w:ascii="宋体" w:hAnsi="宋体" w:cs="宋体"/>
          <w:color w:val="auto"/>
          <w:kern w:val="0"/>
          <w:szCs w:val="21"/>
          <w:lang w:eastAsia="zh-CN"/>
        </w:rPr>
        <w:t>供应商</w:t>
      </w:r>
      <w:r>
        <w:rPr>
          <w:rFonts w:hint="eastAsia" w:ascii="宋体" w:hAnsi="宋体" w:cs="宋体"/>
          <w:color w:val="auto"/>
          <w:kern w:val="0"/>
          <w:szCs w:val="21"/>
        </w:rPr>
        <w:t>须知前附表中载明数量的中标候选人。</w:t>
      </w:r>
    </w:p>
    <w:p w14:paraId="4E88DB67">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2</w:t>
      </w:r>
      <w:r>
        <w:rPr>
          <w:rFonts w:hint="eastAsia" w:ascii="宋体" w:hAnsi="宋体" w:cs="宋体"/>
          <w:color w:val="auto"/>
          <w:kern w:val="0"/>
          <w:szCs w:val="21"/>
        </w:rPr>
        <w:t>）评标委员会由采购人代表和评标专家组成，见</w:t>
      </w:r>
      <w:r>
        <w:rPr>
          <w:rFonts w:hint="eastAsia" w:ascii="宋体" w:hAnsi="宋体" w:cs="宋体"/>
          <w:color w:val="auto"/>
          <w:kern w:val="0"/>
          <w:szCs w:val="21"/>
          <w:lang w:eastAsia="zh-CN"/>
        </w:rPr>
        <w:t>供应商</w:t>
      </w:r>
      <w:r>
        <w:rPr>
          <w:rFonts w:hint="eastAsia" w:ascii="宋体" w:hAnsi="宋体" w:cs="宋体"/>
          <w:color w:val="auto"/>
          <w:kern w:val="0"/>
          <w:szCs w:val="21"/>
        </w:rPr>
        <w:t>须知前附表。</w:t>
      </w:r>
    </w:p>
    <w:p w14:paraId="3E14472B">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3</w:t>
      </w:r>
      <w:r>
        <w:rPr>
          <w:rFonts w:hint="eastAsia" w:ascii="宋体" w:hAnsi="宋体" w:cs="宋体"/>
          <w:color w:val="auto"/>
          <w:kern w:val="0"/>
          <w:szCs w:val="21"/>
        </w:rPr>
        <w:t>）评标专家对本单位的采购项目只能作为采购人代表参与评标，对技术复杂、专业性强的采购项目，通过随机方式难以确定合适评审专家的，经主管预算单位同意，采购人可以自行选定相应专业领域的评审专家。</w:t>
      </w:r>
    </w:p>
    <w:p w14:paraId="28B0B3F1">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4</w:t>
      </w:r>
      <w:r>
        <w:rPr>
          <w:rFonts w:hint="eastAsia" w:ascii="宋体" w:hAnsi="宋体" w:cs="宋体"/>
          <w:color w:val="auto"/>
          <w:kern w:val="0"/>
          <w:szCs w:val="21"/>
        </w:rPr>
        <w:t>）采购代理机构工作人员不得参加由本机构代理的政府采购项目的评标。</w:t>
      </w:r>
    </w:p>
    <w:p w14:paraId="71B9BF67">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5</w:t>
      </w:r>
      <w:r>
        <w:rPr>
          <w:rFonts w:hint="eastAsia" w:ascii="宋体" w:hAnsi="宋体" w:cs="宋体"/>
          <w:color w:val="auto"/>
          <w:kern w:val="0"/>
          <w:szCs w:val="21"/>
        </w:rPr>
        <w:t>）评标委员会成员名单在评标结果公告前应当保密。</w:t>
      </w:r>
    </w:p>
    <w:p w14:paraId="29A7D3F8">
      <w:pPr>
        <w:numPr>
          <w:ilvl w:val="2"/>
          <w:numId w:val="5"/>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评标委员会及其成员不得有下列行为：</w:t>
      </w:r>
    </w:p>
    <w:p w14:paraId="0527F55C">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1</w:t>
      </w:r>
      <w:r>
        <w:rPr>
          <w:rFonts w:hint="eastAsia" w:ascii="宋体" w:hAnsi="宋体" w:cs="宋体"/>
          <w:color w:val="auto"/>
          <w:kern w:val="0"/>
          <w:szCs w:val="21"/>
        </w:rPr>
        <w:t>）确定参与评标至评标结束前私自接触</w:t>
      </w:r>
      <w:r>
        <w:rPr>
          <w:rFonts w:hint="eastAsia" w:ascii="宋体" w:hAnsi="宋体" w:cs="宋体"/>
          <w:color w:val="auto"/>
          <w:kern w:val="0"/>
          <w:szCs w:val="21"/>
          <w:lang w:eastAsia="zh-CN"/>
        </w:rPr>
        <w:t>供应商</w:t>
      </w:r>
      <w:r>
        <w:rPr>
          <w:rFonts w:hint="eastAsia" w:ascii="宋体" w:hAnsi="宋体" w:cs="宋体"/>
          <w:color w:val="auto"/>
          <w:kern w:val="0"/>
          <w:szCs w:val="21"/>
        </w:rPr>
        <w:t>；</w:t>
      </w:r>
    </w:p>
    <w:p w14:paraId="1988CDF5">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2</w:t>
      </w:r>
      <w:r>
        <w:rPr>
          <w:rFonts w:hint="eastAsia" w:ascii="宋体" w:hAnsi="宋体" w:cs="宋体"/>
          <w:color w:val="auto"/>
          <w:kern w:val="0"/>
          <w:szCs w:val="21"/>
        </w:rPr>
        <w:t>）接受</w:t>
      </w:r>
      <w:r>
        <w:rPr>
          <w:rFonts w:hint="eastAsia" w:ascii="宋体" w:hAnsi="宋体" w:cs="宋体"/>
          <w:color w:val="auto"/>
          <w:kern w:val="0"/>
          <w:szCs w:val="21"/>
          <w:lang w:eastAsia="zh-CN"/>
        </w:rPr>
        <w:t>供应商</w:t>
      </w:r>
      <w:r>
        <w:rPr>
          <w:rFonts w:hint="eastAsia" w:ascii="宋体" w:hAnsi="宋体" w:cs="宋体"/>
          <w:color w:val="auto"/>
          <w:kern w:val="0"/>
          <w:szCs w:val="21"/>
        </w:rPr>
        <w:t>提出的与投标文件不一致的澄清或者说明（对于投标文件中含义不明确、同类问题表述不一致或者有明显文字和计算错误的内容，评标委员会以书面形式要求</w:t>
      </w:r>
      <w:r>
        <w:rPr>
          <w:rFonts w:hint="eastAsia" w:ascii="宋体" w:hAnsi="宋体" w:cs="宋体"/>
          <w:color w:val="auto"/>
          <w:kern w:val="0"/>
          <w:szCs w:val="21"/>
          <w:lang w:eastAsia="zh-CN"/>
        </w:rPr>
        <w:t>供应商</w:t>
      </w:r>
      <w:r>
        <w:rPr>
          <w:rFonts w:hint="eastAsia" w:ascii="宋体" w:hAnsi="宋体" w:cs="宋体"/>
          <w:color w:val="auto"/>
          <w:kern w:val="0"/>
          <w:szCs w:val="21"/>
        </w:rPr>
        <w:t>作出必要的澄清、说明或者补正的除外）；</w:t>
      </w:r>
    </w:p>
    <w:p w14:paraId="5D2F91F9">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3</w:t>
      </w:r>
      <w:r>
        <w:rPr>
          <w:rFonts w:hint="eastAsia" w:ascii="宋体" w:hAnsi="宋体" w:cs="宋体"/>
          <w:color w:val="auto"/>
          <w:kern w:val="0"/>
          <w:szCs w:val="21"/>
        </w:rPr>
        <w:t>）违反评标纪律发表倾向性意见或者征询采购人的倾向性意见；</w:t>
      </w:r>
    </w:p>
    <w:p w14:paraId="3FD30D0B">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4</w:t>
      </w:r>
      <w:r>
        <w:rPr>
          <w:rFonts w:hint="eastAsia" w:ascii="宋体" w:hAnsi="宋体" w:cs="宋体"/>
          <w:color w:val="auto"/>
          <w:kern w:val="0"/>
          <w:szCs w:val="21"/>
        </w:rPr>
        <w:t>）在评标过程中擅离职守，影响评标程序正常进行的；</w:t>
      </w:r>
    </w:p>
    <w:p w14:paraId="70D7A1C0">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5</w:t>
      </w:r>
      <w:r>
        <w:rPr>
          <w:rFonts w:hint="eastAsia" w:ascii="宋体" w:hAnsi="宋体" w:cs="宋体"/>
          <w:color w:val="auto"/>
          <w:kern w:val="0"/>
          <w:szCs w:val="21"/>
        </w:rPr>
        <w:t>）记录、复制或者带走任何评标资料；</w:t>
      </w:r>
    </w:p>
    <w:p w14:paraId="04E3CA53">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6</w:t>
      </w:r>
      <w:r>
        <w:rPr>
          <w:rFonts w:hint="eastAsia" w:ascii="宋体" w:hAnsi="宋体" w:cs="宋体"/>
          <w:color w:val="auto"/>
          <w:kern w:val="0"/>
          <w:szCs w:val="21"/>
        </w:rPr>
        <w:t>）其他不遵守评标纪律的行为。</w:t>
      </w:r>
    </w:p>
    <w:p w14:paraId="6C8694A7">
      <w:pPr>
        <w:tabs>
          <w:tab w:val="left" w:pos="720"/>
        </w:tabs>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评标委员会成员有本章第</w:t>
      </w:r>
      <w:r>
        <w:rPr>
          <w:rFonts w:ascii="宋体" w:hAnsi="宋体" w:cs="宋体"/>
          <w:color w:val="auto"/>
          <w:szCs w:val="21"/>
        </w:rPr>
        <w:t>5.3.2</w:t>
      </w:r>
      <w:r>
        <w:rPr>
          <w:rFonts w:hint="eastAsia" w:ascii="宋体" w:hAnsi="宋体" w:cs="宋体"/>
          <w:color w:val="auto"/>
          <w:szCs w:val="21"/>
        </w:rPr>
        <w:t>项第（</w:t>
      </w:r>
      <w:r>
        <w:rPr>
          <w:rFonts w:ascii="宋体" w:hAnsi="宋体" w:cs="宋体"/>
          <w:color w:val="auto"/>
          <w:szCs w:val="21"/>
        </w:rPr>
        <w:t>1</w:t>
      </w:r>
      <w:r>
        <w:rPr>
          <w:rFonts w:hint="eastAsia" w:ascii="宋体" w:hAnsi="宋体" w:cs="宋体"/>
          <w:color w:val="auto"/>
          <w:szCs w:val="21"/>
        </w:rPr>
        <w:t>）至（</w:t>
      </w:r>
      <w:r>
        <w:rPr>
          <w:rFonts w:ascii="宋体" w:hAnsi="宋体" w:cs="宋体"/>
          <w:color w:val="auto"/>
          <w:szCs w:val="21"/>
        </w:rPr>
        <w:t>6</w:t>
      </w:r>
      <w:r>
        <w:rPr>
          <w:rFonts w:hint="eastAsia" w:ascii="宋体" w:hAnsi="宋体" w:cs="宋体"/>
          <w:color w:val="auto"/>
          <w:szCs w:val="21"/>
        </w:rPr>
        <w:t>）目行为之一的，其评标意见无效，并不得获取评标劳务报酬和报销异地评标差旅费。</w:t>
      </w:r>
    </w:p>
    <w:p w14:paraId="7D2A5D2B">
      <w:pPr>
        <w:numPr>
          <w:ilvl w:val="2"/>
          <w:numId w:val="5"/>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评标委员会成员对需要共同认定的事项存在争议的，应当按照少数服从多数的原则作出结论。持不同意见的评标委员会成员应当在评标报告上签署不同意见及理由，否则视为同意评标报告。</w:t>
      </w:r>
    </w:p>
    <w:p w14:paraId="2B4B369A">
      <w:pPr>
        <w:numPr>
          <w:ilvl w:val="2"/>
          <w:numId w:val="5"/>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评标</w:t>
      </w:r>
    </w:p>
    <w:p w14:paraId="5C8B91C6">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1</w:t>
      </w:r>
      <w:r>
        <w:rPr>
          <w:rFonts w:hint="eastAsia" w:ascii="宋体" w:hAnsi="宋体" w:cs="宋体"/>
          <w:color w:val="auto"/>
          <w:kern w:val="0"/>
          <w:szCs w:val="21"/>
        </w:rPr>
        <w:t>）评标委员会按照第四章评标办法规定的方法、评标因素、标准和程序对投标文件进行评标。第四章评标办法没有规定的方法、评标因素和标准，不作为评标依据。</w:t>
      </w:r>
    </w:p>
    <w:p w14:paraId="234F5FE4">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）评标委员会完成评标后，评标委员会应当向</w:t>
      </w:r>
      <w:r>
        <w:rPr>
          <w:rFonts w:hint="eastAsia" w:ascii="宋体" w:hAnsi="宋体" w:cs="宋体"/>
          <w:color w:val="auto"/>
          <w:kern w:val="0"/>
          <w:szCs w:val="21"/>
          <w:highlight w:val="none"/>
          <w:lang w:val="en-US" w:eastAsia="zh-CN"/>
        </w:rPr>
        <w:t>安阳市</w:t>
      </w:r>
      <w:r>
        <w:rPr>
          <w:rFonts w:hint="eastAsia" w:ascii="宋体" w:hAnsi="宋体" w:cs="宋体"/>
          <w:color w:val="auto"/>
          <w:kern w:val="0"/>
          <w:szCs w:val="21"/>
          <w:highlight w:val="none"/>
        </w:rPr>
        <w:t>公共资源交易中心评标系统上提交书面评标报告和中标候选人名单。</w:t>
      </w:r>
      <w:r>
        <w:rPr>
          <w:rFonts w:hint="eastAsia" w:ascii="宋体" w:hAnsi="宋体" w:cs="宋体"/>
          <w:color w:val="auto"/>
          <w:kern w:val="0"/>
          <w:szCs w:val="21"/>
        </w:rPr>
        <w:t>评标委员会推荐中标候选人的人数见</w:t>
      </w:r>
      <w:r>
        <w:rPr>
          <w:rFonts w:hint="eastAsia" w:ascii="宋体" w:hAnsi="宋体" w:cs="宋体"/>
          <w:color w:val="auto"/>
          <w:kern w:val="0"/>
          <w:szCs w:val="21"/>
          <w:lang w:eastAsia="zh-CN"/>
        </w:rPr>
        <w:t>供应商</w:t>
      </w:r>
      <w:r>
        <w:rPr>
          <w:rFonts w:hint="eastAsia" w:ascii="宋体" w:hAnsi="宋体" w:cs="宋体"/>
          <w:color w:val="auto"/>
          <w:kern w:val="0"/>
          <w:szCs w:val="21"/>
        </w:rPr>
        <w:t>须知前附表。</w:t>
      </w:r>
    </w:p>
    <w:p w14:paraId="2A13AD76">
      <w:pPr>
        <w:numPr>
          <w:ilvl w:val="2"/>
          <w:numId w:val="5"/>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评标委员会成员有下列情形之一的，应当回避：</w:t>
      </w:r>
    </w:p>
    <w:p w14:paraId="31E432EC">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一</w:t>
      </w:r>
      <w:r>
        <w:rPr>
          <w:rFonts w:ascii="宋体" w:hAnsi="宋体" w:cs="宋体"/>
          <w:color w:val="auto"/>
          <w:kern w:val="0"/>
          <w:szCs w:val="21"/>
        </w:rPr>
        <w:t>)</w:t>
      </w:r>
      <w:r>
        <w:rPr>
          <w:rFonts w:hint="eastAsia" w:ascii="宋体" w:hAnsi="宋体" w:cs="宋体"/>
          <w:color w:val="auto"/>
          <w:kern w:val="0"/>
          <w:szCs w:val="21"/>
        </w:rPr>
        <w:t>参加采购活动前三年内</w:t>
      </w:r>
      <w:r>
        <w:rPr>
          <w:rFonts w:hint="eastAsia" w:ascii="宋体" w:cs="宋体"/>
          <w:color w:val="auto"/>
          <w:kern w:val="0"/>
          <w:szCs w:val="21"/>
        </w:rPr>
        <w:t>，</w:t>
      </w:r>
      <w:r>
        <w:rPr>
          <w:rFonts w:hint="eastAsia" w:ascii="宋体" w:hAnsi="宋体" w:cs="宋体"/>
          <w:color w:val="auto"/>
          <w:kern w:val="0"/>
          <w:szCs w:val="21"/>
        </w:rPr>
        <w:t>与</w:t>
      </w:r>
      <w:r>
        <w:rPr>
          <w:rFonts w:hint="eastAsia" w:ascii="宋体" w:hAnsi="宋体" w:cs="宋体"/>
          <w:color w:val="auto"/>
          <w:kern w:val="0"/>
          <w:szCs w:val="21"/>
          <w:lang w:eastAsia="zh-CN"/>
        </w:rPr>
        <w:t>供应商</w:t>
      </w:r>
      <w:r>
        <w:rPr>
          <w:rFonts w:hint="eastAsia" w:ascii="宋体" w:hAnsi="宋体" w:cs="宋体"/>
          <w:color w:val="auto"/>
          <w:kern w:val="0"/>
          <w:szCs w:val="21"/>
        </w:rPr>
        <w:t>存在劳动关系</w:t>
      </w:r>
      <w:r>
        <w:rPr>
          <w:rFonts w:hint="eastAsia" w:ascii="宋体" w:cs="宋体"/>
          <w:color w:val="auto"/>
          <w:kern w:val="0"/>
          <w:szCs w:val="21"/>
        </w:rPr>
        <w:t>，</w:t>
      </w:r>
      <w:r>
        <w:rPr>
          <w:rFonts w:hint="eastAsia" w:ascii="宋体" w:hAnsi="宋体" w:cs="宋体"/>
          <w:color w:val="auto"/>
          <w:kern w:val="0"/>
          <w:szCs w:val="21"/>
        </w:rPr>
        <w:t>或者担任过</w:t>
      </w:r>
      <w:r>
        <w:rPr>
          <w:rFonts w:hint="eastAsia" w:ascii="宋体" w:hAnsi="宋体" w:cs="宋体"/>
          <w:color w:val="auto"/>
          <w:kern w:val="0"/>
          <w:szCs w:val="21"/>
          <w:lang w:eastAsia="zh-CN"/>
        </w:rPr>
        <w:t>供应商</w:t>
      </w:r>
      <w:r>
        <w:rPr>
          <w:rFonts w:hint="eastAsia" w:ascii="宋体" w:hAnsi="宋体" w:cs="宋体"/>
          <w:color w:val="auto"/>
          <w:kern w:val="0"/>
          <w:szCs w:val="21"/>
        </w:rPr>
        <w:t>的董事、监事</w:t>
      </w:r>
      <w:r>
        <w:rPr>
          <w:rFonts w:hint="eastAsia" w:ascii="宋体" w:cs="宋体"/>
          <w:color w:val="auto"/>
          <w:kern w:val="0"/>
          <w:szCs w:val="21"/>
        </w:rPr>
        <w:t>，</w:t>
      </w:r>
      <w:r>
        <w:rPr>
          <w:rFonts w:hint="eastAsia" w:ascii="宋体" w:hAnsi="宋体" w:cs="宋体"/>
          <w:color w:val="auto"/>
          <w:kern w:val="0"/>
          <w:szCs w:val="21"/>
        </w:rPr>
        <w:t>或者是</w:t>
      </w:r>
      <w:r>
        <w:rPr>
          <w:rFonts w:hint="eastAsia" w:ascii="宋体" w:hAnsi="宋体" w:cs="宋体"/>
          <w:color w:val="auto"/>
          <w:kern w:val="0"/>
          <w:szCs w:val="21"/>
          <w:lang w:eastAsia="zh-CN"/>
        </w:rPr>
        <w:t>供应商</w:t>
      </w:r>
      <w:r>
        <w:rPr>
          <w:rFonts w:hint="eastAsia" w:ascii="宋体" w:hAnsi="宋体" w:cs="宋体"/>
          <w:color w:val="auto"/>
          <w:kern w:val="0"/>
          <w:szCs w:val="21"/>
        </w:rPr>
        <w:t>的控股股东或实际控制人；</w:t>
      </w:r>
    </w:p>
    <w:p w14:paraId="679CF455">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二</w:t>
      </w:r>
      <w:r>
        <w:rPr>
          <w:rFonts w:ascii="宋体" w:hAnsi="宋体" w:cs="宋体"/>
          <w:color w:val="auto"/>
          <w:kern w:val="0"/>
          <w:szCs w:val="21"/>
        </w:rPr>
        <w:t>)</w:t>
      </w:r>
      <w:r>
        <w:rPr>
          <w:rFonts w:hint="eastAsia" w:ascii="宋体" w:hAnsi="宋体" w:cs="宋体"/>
          <w:color w:val="auto"/>
          <w:kern w:val="0"/>
          <w:szCs w:val="21"/>
        </w:rPr>
        <w:t>与</w:t>
      </w:r>
      <w:r>
        <w:rPr>
          <w:rFonts w:hint="eastAsia" w:ascii="宋体" w:hAnsi="宋体" w:cs="宋体"/>
          <w:color w:val="auto"/>
          <w:kern w:val="0"/>
          <w:szCs w:val="21"/>
          <w:lang w:eastAsia="zh-CN"/>
        </w:rPr>
        <w:t>供应商</w:t>
      </w:r>
      <w:r>
        <w:rPr>
          <w:rFonts w:hint="eastAsia" w:ascii="宋体" w:hAnsi="宋体" w:cs="宋体"/>
          <w:color w:val="auto"/>
          <w:kern w:val="0"/>
          <w:szCs w:val="21"/>
        </w:rPr>
        <w:t>的法定代表人或者负责人有夫妻、直系血亲、三代以内旁系血亲或者近姻亲关系；</w:t>
      </w:r>
    </w:p>
    <w:p w14:paraId="3309917F">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三</w:t>
      </w:r>
      <w:r>
        <w:rPr>
          <w:rFonts w:ascii="宋体" w:hAnsi="宋体" w:cs="宋体"/>
          <w:color w:val="auto"/>
          <w:kern w:val="0"/>
          <w:szCs w:val="21"/>
        </w:rPr>
        <w:t>)</w:t>
      </w:r>
      <w:r>
        <w:rPr>
          <w:rFonts w:hint="eastAsia" w:ascii="宋体" w:hAnsi="宋体" w:cs="宋体"/>
          <w:color w:val="auto"/>
          <w:kern w:val="0"/>
          <w:szCs w:val="21"/>
        </w:rPr>
        <w:t>与</w:t>
      </w:r>
      <w:r>
        <w:rPr>
          <w:rFonts w:hint="eastAsia" w:ascii="宋体" w:hAnsi="宋体" w:cs="宋体"/>
          <w:color w:val="auto"/>
          <w:kern w:val="0"/>
          <w:szCs w:val="21"/>
          <w:lang w:eastAsia="zh-CN"/>
        </w:rPr>
        <w:t>供应商</w:t>
      </w:r>
      <w:r>
        <w:rPr>
          <w:rFonts w:hint="eastAsia" w:ascii="宋体" w:hAnsi="宋体" w:cs="宋体"/>
          <w:color w:val="auto"/>
          <w:kern w:val="0"/>
          <w:szCs w:val="21"/>
        </w:rPr>
        <w:t>有其他可能影响政府采购活动公平、公正进行的关系。</w:t>
      </w:r>
    </w:p>
    <w:p w14:paraId="7210EBCF">
      <w:pPr>
        <w:autoSpaceDE w:val="0"/>
        <w:autoSpaceDN w:val="0"/>
        <w:adjustRightInd w:val="0"/>
        <w:snapToGrid w:val="0"/>
        <w:spacing w:line="400" w:lineRule="exact"/>
        <w:ind w:right="40" w:firstLine="420" w:firstLineChars="200"/>
        <w:jc w:val="left"/>
        <w:rPr>
          <w:rFonts w:ascii="宋体" w:cs="宋体"/>
          <w:color w:val="auto"/>
          <w:kern w:val="0"/>
          <w:szCs w:val="21"/>
        </w:rPr>
      </w:pPr>
      <w:r>
        <w:rPr>
          <w:rFonts w:hint="eastAsia" w:ascii="宋体" w:hAnsi="宋体" w:cs="宋体"/>
          <w:color w:val="auto"/>
          <w:kern w:val="0"/>
          <w:szCs w:val="21"/>
        </w:rPr>
        <w:t>评标专家发现本人与参加采购活动的</w:t>
      </w:r>
      <w:r>
        <w:rPr>
          <w:rFonts w:hint="eastAsia" w:ascii="宋体" w:hAnsi="宋体" w:cs="宋体"/>
          <w:color w:val="auto"/>
          <w:kern w:val="0"/>
          <w:szCs w:val="21"/>
          <w:lang w:eastAsia="zh-CN"/>
        </w:rPr>
        <w:t>供应商</w:t>
      </w:r>
      <w:r>
        <w:rPr>
          <w:rFonts w:hint="eastAsia" w:ascii="宋体" w:hAnsi="宋体" w:cs="宋体"/>
          <w:color w:val="auto"/>
          <w:kern w:val="0"/>
          <w:szCs w:val="21"/>
        </w:rPr>
        <w:t>有利害关系的</w:t>
      </w:r>
      <w:r>
        <w:rPr>
          <w:rFonts w:hint="eastAsia" w:ascii="宋体" w:cs="宋体"/>
          <w:color w:val="auto"/>
          <w:kern w:val="0"/>
          <w:szCs w:val="21"/>
        </w:rPr>
        <w:t>，</w:t>
      </w:r>
      <w:r>
        <w:rPr>
          <w:rFonts w:hint="eastAsia" w:ascii="宋体" w:hAnsi="宋体" w:cs="宋体"/>
          <w:color w:val="auto"/>
          <w:kern w:val="0"/>
          <w:szCs w:val="21"/>
        </w:rPr>
        <w:t>应当主动提出回避。采购代理机构发现评标专家与参加采购活动的</w:t>
      </w:r>
      <w:r>
        <w:rPr>
          <w:rFonts w:hint="eastAsia" w:ascii="宋体" w:hAnsi="宋体" w:cs="宋体"/>
          <w:color w:val="auto"/>
          <w:kern w:val="0"/>
          <w:szCs w:val="21"/>
          <w:lang w:eastAsia="zh-CN"/>
        </w:rPr>
        <w:t>供应商</w:t>
      </w:r>
      <w:r>
        <w:rPr>
          <w:rFonts w:hint="eastAsia" w:ascii="宋体" w:hAnsi="宋体" w:cs="宋体"/>
          <w:color w:val="auto"/>
          <w:kern w:val="0"/>
          <w:szCs w:val="21"/>
        </w:rPr>
        <w:t>有利害关系的</w:t>
      </w:r>
      <w:r>
        <w:rPr>
          <w:rFonts w:hint="eastAsia" w:ascii="宋体" w:cs="宋体"/>
          <w:color w:val="auto"/>
          <w:kern w:val="0"/>
          <w:szCs w:val="21"/>
        </w:rPr>
        <w:t>，</w:t>
      </w:r>
      <w:r>
        <w:rPr>
          <w:rFonts w:hint="eastAsia" w:ascii="宋体" w:hAnsi="宋体" w:cs="宋体"/>
          <w:color w:val="auto"/>
          <w:kern w:val="0"/>
          <w:szCs w:val="21"/>
        </w:rPr>
        <w:t>应当要求其回避。</w:t>
      </w:r>
    </w:p>
    <w:p w14:paraId="14C2AFBD">
      <w:pPr>
        <w:numPr>
          <w:ilvl w:val="1"/>
          <w:numId w:val="2"/>
        </w:numPr>
        <w:spacing w:line="400" w:lineRule="exact"/>
        <w:ind w:firstLine="420" w:firstLineChars="200"/>
        <w:rPr>
          <w:rFonts w:ascii="宋体" w:cs="宋体"/>
          <w:b/>
          <w:bCs/>
          <w:color w:val="auto"/>
        </w:rPr>
      </w:pPr>
      <w:r>
        <w:rPr>
          <w:rFonts w:hint="eastAsia" w:ascii="宋体" w:hAnsi="宋体" w:cs="宋体"/>
          <w:b/>
          <w:bCs/>
          <w:color w:val="auto"/>
        </w:rPr>
        <w:t>保密及其它注意事项</w:t>
      </w:r>
      <w:bookmarkEnd w:id="220"/>
      <w:bookmarkEnd w:id="221"/>
      <w:bookmarkEnd w:id="222"/>
      <w:bookmarkEnd w:id="223"/>
      <w:bookmarkEnd w:id="224"/>
      <w:bookmarkEnd w:id="225"/>
      <w:bookmarkEnd w:id="226"/>
      <w:bookmarkEnd w:id="227"/>
      <w:bookmarkEnd w:id="228"/>
      <w:bookmarkEnd w:id="229"/>
      <w:bookmarkEnd w:id="230"/>
    </w:p>
    <w:p w14:paraId="3595AF57">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评标是招标工作的重要环节，评标工作在评标委员会内独立进行。</w:t>
      </w:r>
    </w:p>
    <w:p w14:paraId="00AA02EF">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评标委员会将遵照规定的评标方法，公正、平等地对待所有</w:t>
      </w:r>
      <w:r>
        <w:rPr>
          <w:rFonts w:hint="eastAsia" w:ascii="宋体" w:hAnsi="宋体" w:cs="宋体"/>
          <w:color w:val="auto"/>
          <w:szCs w:val="21"/>
          <w:lang w:eastAsia="zh-CN"/>
        </w:rPr>
        <w:t>供应商</w:t>
      </w:r>
      <w:r>
        <w:rPr>
          <w:rFonts w:hint="eastAsia" w:ascii="宋体" w:hAnsi="宋体" w:cs="宋体"/>
          <w:color w:val="auto"/>
          <w:szCs w:val="21"/>
        </w:rPr>
        <w:t>。</w:t>
      </w:r>
    </w:p>
    <w:p w14:paraId="4A0667EA">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在开标、评标期间，</w:t>
      </w:r>
      <w:r>
        <w:rPr>
          <w:rFonts w:hint="eastAsia" w:ascii="宋体" w:hAnsi="宋体" w:cs="宋体"/>
          <w:color w:val="auto"/>
          <w:szCs w:val="21"/>
          <w:lang w:eastAsia="zh-CN"/>
        </w:rPr>
        <w:t>供应商</w:t>
      </w:r>
      <w:r>
        <w:rPr>
          <w:rFonts w:hint="eastAsia" w:ascii="宋体" w:hAnsi="宋体" w:cs="宋体"/>
          <w:color w:val="auto"/>
          <w:szCs w:val="21"/>
        </w:rPr>
        <w:t>不得向评委询问评标情况，不得进行旨在影响评标结果的活动。否则其投标可能被拒绝。</w:t>
      </w:r>
    </w:p>
    <w:p w14:paraId="756D1ABC">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为保证评标的公正性，开标后直至授予</w:t>
      </w:r>
      <w:r>
        <w:rPr>
          <w:rFonts w:hint="eastAsia" w:ascii="宋体" w:hAnsi="宋体" w:cs="宋体"/>
          <w:color w:val="auto"/>
          <w:szCs w:val="21"/>
          <w:lang w:eastAsia="zh-CN"/>
        </w:rPr>
        <w:t>供应商</w:t>
      </w:r>
      <w:r>
        <w:rPr>
          <w:rFonts w:hint="eastAsia" w:ascii="宋体" w:hAnsi="宋体" w:cs="宋体"/>
          <w:color w:val="auto"/>
          <w:szCs w:val="21"/>
        </w:rPr>
        <w:t>合同，评委不得与</w:t>
      </w:r>
      <w:r>
        <w:rPr>
          <w:rFonts w:hint="eastAsia" w:ascii="宋体" w:hAnsi="宋体" w:cs="宋体"/>
          <w:color w:val="auto"/>
          <w:szCs w:val="21"/>
          <w:lang w:eastAsia="zh-CN"/>
        </w:rPr>
        <w:t>供应商</w:t>
      </w:r>
      <w:r>
        <w:rPr>
          <w:rFonts w:hint="eastAsia" w:ascii="宋体" w:hAnsi="宋体" w:cs="宋体"/>
          <w:color w:val="auto"/>
          <w:szCs w:val="21"/>
        </w:rPr>
        <w:t>私下交换意见。</w:t>
      </w:r>
    </w:p>
    <w:p w14:paraId="214C3533">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在评标工作结束后，凡与评标情况有接触的任何人不得擅自将评标情况扩散出评标人员之外。</w:t>
      </w:r>
    </w:p>
    <w:p w14:paraId="2772A2BB">
      <w:pPr>
        <w:numPr>
          <w:ilvl w:val="2"/>
          <w:numId w:val="2"/>
        </w:numPr>
        <w:adjustRightInd w:val="0"/>
        <w:snapToGrid w:val="0"/>
        <w:spacing w:line="400" w:lineRule="exact"/>
        <w:ind w:firstLine="420" w:firstLineChars="200"/>
        <w:rPr>
          <w:rFonts w:ascii="宋体" w:cs="宋体"/>
          <w:b/>
          <w:bCs/>
          <w:color w:val="auto"/>
        </w:rPr>
      </w:pPr>
      <w:r>
        <w:rPr>
          <w:rFonts w:hint="eastAsia" w:ascii="宋体" w:hAnsi="宋体" w:cs="宋体"/>
          <w:color w:val="auto"/>
          <w:szCs w:val="21"/>
        </w:rPr>
        <w:t>评标结束后，投标文件概不退还。</w:t>
      </w:r>
      <w:bookmarkStart w:id="256" w:name="_Toc30376"/>
      <w:bookmarkStart w:id="257" w:name="_Toc40112135"/>
    </w:p>
    <w:p w14:paraId="1328D91E">
      <w:pPr>
        <w:numPr>
          <w:ilvl w:val="0"/>
          <w:numId w:val="2"/>
        </w:numPr>
        <w:spacing w:line="400" w:lineRule="exact"/>
        <w:ind w:firstLine="420" w:firstLineChars="200"/>
        <w:outlineLvl w:val="1"/>
        <w:rPr>
          <w:rStyle w:val="33"/>
          <w:color w:val="auto"/>
          <w:sz w:val="21"/>
          <w:szCs w:val="21"/>
        </w:rPr>
      </w:pPr>
      <w:bookmarkStart w:id="258" w:name="_Toc8742"/>
      <w:bookmarkStart w:id="259" w:name="_Toc1511"/>
      <w:bookmarkStart w:id="260" w:name="_Toc1992"/>
      <w:bookmarkStart w:id="261" w:name="_Toc25991"/>
      <w:r>
        <w:rPr>
          <w:rStyle w:val="33"/>
          <w:rFonts w:hint="eastAsia"/>
          <w:color w:val="auto"/>
          <w:sz w:val="21"/>
          <w:szCs w:val="21"/>
        </w:rPr>
        <w:t>授予合同</w:t>
      </w:r>
      <w:bookmarkEnd w:id="231"/>
      <w:bookmarkEnd w:id="256"/>
      <w:bookmarkEnd w:id="257"/>
      <w:bookmarkEnd w:id="258"/>
      <w:bookmarkEnd w:id="259"/>
      <w:bookmarkEnd w:id="260"/>
      <w:bookmarkEnd w:id="261"/>
    </w:p>
    <w:p w14:paraId="5372F2B1">
      <w:pPr>
        <w:numPr>
          <w:ilvl w:val="1"/>
          <w:numId w:val="2"/>
        </w:numPr>
        <w:spacing w:line="400" w:lineRule="exact"/>
        <w:ind w:firstLine="420" w:firstLineChars="200"/>
        <w:rPr>
          <w:rFonts w:ascii="宋体" w:cs="宋体"/>
          <w:b/>
          <w:bCs/>
          <w:color w:val="auto"/>
        </w:rPr>
      </w:pPr>
      <w:bookmarkStart w:id="262" w:name="_Toc22245"/>
      <w:bookmarkStart w:id="263" w:name="_Toc15637"/>
      <w:bookmarkStart w:id="264" w:name="_Toc22971"/>
      <w:bookmarkStart w:id="265" w:name="_Toc21756"/>
      <w:bookmarkStart w:id="266" w:name="_Toc6320"/>
      <w:bookmarkStart w:id="267" w:name="_Toc7898"/>
      <w:bookmarkStart w:id="268" w:name="_Toc13599"/>
      <w:bookmarkStart w:id="269" w:name="_Toc27126"/>
      <w:bookmarkStart w:id="270" w:name="_Toc3574"/>
      <w:bookmarkStart w:id="271" w:name="_Toc16230"/>
      <w:bookmarkStart w:id="272" w:name="_Toc32241"/>
      <w:bookmarkStart w:id="273" w:name="_Toc30644"/>
      <w:bookmarkStart w:id="274" w:name="_Toc26604"/>
      <w:bookmarkStart w:id="275" w:name="_Toc23900"/>
      <w:bookmarkStart w:id="276" w:name="_Toc17818"/>
      <w:bookmarkStart w:id="277" w:name="_Toc22457"/>
      <w:bookmarkStart w:id="278" w:name="_Toc22088"/>
      <w:r>
        <w:rPr>
          <w:rFonts w:hint="eastAsia" w:ascii="宋体" w:hAnsi="宋体" w:cs="宋体"/>
          <w:b/>
          <w:bCs/>
          <w:color w:val="auto"/>
        </w:rPr>
        <w:t>中标公告</w:t>
      </w:r>
      <w:bookmarkEnd w:id="262"/>
      <w:bookmarkEnd w:id="263"/>
      <w:bookmarkEnd w:id="264"/>
      <w:bookmarkEnd w:id="265"/>
      <w:bookmarkEnd w:id="266"/>
      <w:bookmarkEnd w:id="267"/>
      <w:bookmarkEnd w:id="268"/>
      <w:bookmarkEnd w:id="269"/>
      <w:bookmarkEnd w:id="270"/>
      <w:bookmarkEnd w:id="271"/>
      <w:bookmarkEnd w:id="272"/>
    </w:p>
    <w:p w14:paraId="7A96B361">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采购代理机构应当在评标结束后</w:t>
      </w:r>
      <w:r>
        <w:rPr>
          <w:rFonts w:ascii="宋体" w:hAnsi="宋体" w:cs="宋体"/>
          <w:color w:val="auto"/>
          <w:szCs w:val="21"/>
        </w:rPr>
        <w:t>2</w:t>
      </w:r>
      <w:r>
        <w:rPr>
          <w:rFonts w:hint="eastAsia" w:ascii="宋体" w:hAnsi="宋体" w:cs="宋体"/>
          <w:color w:val="auto"/>
          <w:szCs w:val="21"/>
        </w:rPr>
        <w:t>个工作日内将评标报告送采购人。采购人应自收到评标报告之日起</w:t>
      </w:r>
      <w:r>
        <w:rPr>
          <w:rFonts w:ascii="宋体" w:hAnsi="宋体" w:cs="宋体"/>
          <w:color w:val="auto"/>
          <w:szCs w:val="21"/>
        </w:rPr>
        <w:t>5</w:t>
      </w:r>
      <w:r>
        <w:rPr>
          <w:rFonts w:hint="eastAsia" w:ascii="宋体" w:hAnsi="宋体" w:cs="宋体"/>
          <w:color w:val="auto"/>
          <w:szCs w:val="21"/>
        </w:rPr>
        <w:t>个工作日内，依法确定中标人。中标候选人并列的，由采购人确定中标人。</w:t>
      </w:r>
    </w:p>
    <w:p w14:paraId="5843ADA0">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采购代理机构应当自中标人确定之日起</w:t>
      </w:r>
      <w:r>
        <w:rPr>
          <w:rFonts w:ascii="宋体" w:hAnsi="宋体" w:cs="宋体"/>
          <w:color w:val="auto"/>
          <w:szCs w:val="21"/>
        </w:rPr>
        <w:t>2</w:t>
      </w:r>
      <w:r>
        <w:rPr>
          <w:rFonts w:hint="eastAsia" w:ascii="宋体" w:hAnsi="宋体" w:cs="宋体"/>
          <w:color w:val="auto"/>
          <w:szCs w:val="21"/>
        </w:rPr>
        <w:t>个工作日内，在省级以上财政部门指定的媒体上公告中标结果，招标文件应当随中标结果同时公告。</w:t>
      </w:r>
    </w:p>
    <w:p w14:paraId="5F95A96F">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中标结果公告内容应当包括采购人及其委托的采购代理机构的名称、地址、联系方式，项目名称和项目编号，中标人名称、地址和中标金额，主要中标标的的名称、规格型号、数量、单价、服务要求，中标公告期限以及评标专家名单。公告期限为</w:t>
      </w:r>
      <w:r>
        <w:rPr>
          <w:rFonts w:ascii="宋体" w:hAnsi="宋体" w:cs="宋体"/>
          <w:color w:val="auto"/>
          <w:szCs w:val="21"/>
        </w:rPr>
        <w:t>1</w:t>
      </w:r>
      <w:r>
        <w:rPr>
          <w:rFonts w:hint="eastAsia" w:ascii="宋体" w:hAnsi="宋体" w:cs="宋体"/>
          <w:color w:val="auto"/>
          <w:szCs w:val="21"/>
        </w:rPr>
        <w:t>个工作日。</w:t>
      </w:r>
    </w:p>
    <w:p w14:paraId="3BE5997F">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在公告中标结果的同时，采购代理机构应当向中标人发出中标通知书；对未通过资格审查的</w:t>
      </w:r>
      <w:r>
        <w:rPr>
          <w:rFonts w:hint="eastAsia" w:ascii="宋体" w:hAnsi="宋体" w:cs="宋体"/>
          <w:color w:val="auto"/>
          <w:szCs w:val="21"/>
          <w:lang w:eastAsia="zh-CN"/>
        </w:rPr>
        <w:t>供应商</w:t>
      </w:r>
      <w:r>
        <w:rPr>
          <w:rFonts w:hint="eastAsia" w:ascii="宋体" w:hAnsi="宋体" w:cs="宋体"/>
          <w:color w:val="auto"/>
          <w:szCs w:val="21"/>
        </w:rPr>
        <w:t>，应当告知其未通过的原因；采用综合评分法评标的，还应当告知未中标人单位的评审得分与排序。</w:t>
      </w:r>
    </w:p>
    <w:p w14:paraId="2F2F8BBC">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中标通知书发出后，采购人无正当理由不得改变中标结果，中标人无正当理由不得放弃中标。</w:t>
      </w:r>
    </w:p>
    <w:p w14:paraId="4F14761C">
      <w:pPr>
        <w:numPr>
          <w:ilvl w:val="2"/>
          <w:numId w:val="2"/>
        </w:numPr>
        <w:adjustRightInd w:val="0"/>
        <w:snapToGrid w:val="0"/>
        <w:spacing w:line="400" w:lineRule="exact"/>
        <w:ind w:firstLine="420" w:firstLineChars="200"/>
        <w:rPr>
          <w:rFonts w:ascii="宋体" w:cs="宋体"/>
          <w:color w:val="auto"/>
        </w:rPr>
      </w:pPr>
      <w:r>
        <w:rPr>
          <w:rFonts w:hint="eastAsia" w:ascii="宋体" w:hAnsi="宋体" w:cs="宋体"/>
          <w:color w:val="auto"/>
          <w:szCs w:val="21"/>
        </w:rPr>
        <w:t>中标人为中小企业的，采购代理机构将随中标结果同时公告其《中小企业声明函》；中标人为残疾人福利性单位的，采购代理机构将随中标结果同时公告其《残疾人福利性单位声明函》，接受社会监督。</w:t>
      </w:r>
    </w:p>
    <w:p w14:paraId="726D18D8">
      <w:pPr>
        <w:numPr>
          <w:ilvl w:val="2"/>
          <w:numId w:val="2"/>
        </w:numPr>
        <w:adjustRightInd w:val="0"/>
        <w:snapToGrid w:val="0"/>
        <w:spacing w:line="400" w:lineRule="exact"/>
        <w:ind w:firstLine="420" w:firstLineChars="200"/>
        <w:rPr>
          <w:rFonts w:ascii="宋体" w:cs="宋体"/>
          <w:color w:val="auto"/>
        </w:rPr>
      </w:pPr>
      <w:r>
        <w:rPr>
          <w:rFonts w:hint="eastAsia" w:ascii="宋体" w:hAnsi="宋体" w:cs="宋体"/>
          <w:color w:val="auto"/>
          <w:szCs w:val="21"/>
        </w:rPr>
        <w:t>各有关当事人对中标结果有异议的，可以在中标结果公告期限届满之日起七个工作日内，按《政府采购质疑和投诉办法》（财政部令第</w:t>
      </w:r>
      <w:r>
        <w:rPr>
          <w:rFonts w:ascii="宋体" w:hAnsi="宋体" w:cs="宋体"/>
          <w:color w:val="auto"/>
          <w:szCs w:val="21"/>
        </w:rPr>
        <w:t>94</w:t>
      </w:r>
      <w:r>
        <w:rPr>
          <w:rFonts w:hint="eastAsia" w:ascii="宋体" w:hAnsi="宋体" w:cs="宋体"/>
          <w:color w:val="auto"/>
          <w:szCs w:val="21"/>
        </w:rPr>
        <w:t>号）要求以书面形式同时向采购人和采购代理机构提出质疑，逾期提交或未按照要求提交的质疑函将不予受理。</w:t>
      </w:r>
    </w:p>
    <w:bookmarkEnd w:id="273"/>
    <w:bookmarkEnd w:id="274"/>
    <w:bookmarkEnd w:id="275"/>
    <w:bookmarkEnd w:id="276"/>
    <w:bookmarkEnd w:id="277"/>
    <w:bookmarkEnd w:id="278"/>
    <w:p w14:paraId="33C9F7EF">
      <w:pPr>
        <w:numPr>
          <w:ilvl w:val="1"/>
          <w:numId w:val="2"/>
        </w:numPr>
        <w:spacing w:line="400" w:lineRule="exact"/>
        <w:ind w:firstLine="420" w:firstLineChars="200"/>
        <w:rPr>
          <w:rFonts w:ascii="宋体" w:cs="宋体"/>
          <w:b/>
          <w:bCs/>
          <w:color w:val="auto"/>
        </w:rPr>
      </w:pPr>
      <w:bookmarkStart w:id="279" w:name="_Toc7497"/>
      <w:r>
        <w:rPr>
          <w:rFonts w:hint="eastAsia" w:ascii="宋体" w:hAnsi="宋体" w:cs="宋体"/>
          <w:b/>
          <w:bCs/>
          <w:color w:val="auto"/>
        </w:rPr>
        <w:t>采购任务取消</w:t>
      </w:r>
      <w:bookmarkEnd w:id="279"/>
    </w:p>
    <w:p w14:paraId="0DA3FB56">
      <w:pPr>
        <w:adjustRightInd w:val="0"/>
        <w:snapToGrid w:val="0"/>
        <w:spacing w:line="400" w:lineRule="exact"/>
        <w:ind w:firstLine="420" w:firstLineChars="200"/>
        <w:rPr>
          <w:rFonts w:ascii="宋体" w:cs="宋体"/>
          <w:color w:val="auto"/>
          <w:szCs w:val="21"/>
        </w:rPr>
      </w:pPr>
      <w:r>
        <w:rPr>
          <w:rFonts w:hint="eastAsia" w:ascii="宋体" w:cs="宋体"/>
          <w:color w:val="auto"/>
          <w:szCs w:val="21"/>
        </w:rPr>
        <w:t>因重大变故采购任务取消时，采购人或者采购代理机构应当及时在原公告发布媒体上发布终止公告，以书面形式通知已经获取招标文件、资格预审文件或者被邀请的潜在</w:t>
      </w:r>
      <w:r>
        <w:rPr>
          <w:rFonts w:hint="eastAsia" w:ascii="宋体" w:cs="宋体"/>
          <w:color w:val="auto"/>
          <w:szCs w:val="21"/>
          <w:lang w:eastAsia="zh-CN"/>
        </w:rPr>
        <w:t>供应商</w:t>
      </w:r>
      <w:r>
        <w:rPr>
          <w:rFonts w:hint="eastAsia" w:ascii="宋体" w:cs="宋体"/>
          <w:color w:val="auto"/>
          <w:szCs w:val="21"/>
        </w:rPr>
        <w:t>，并将项目实施情况和采购任务取消原因报告本级财政部门。已经收取招标文件费用或者投标保证金的，采购人或者采购代理机构应当在终止采购活动后</w:t>
      </w:r>
      <w:r>
        <w:rPr>
          <w:rFonts w:ascii="宋体" w:cs="宋体"/>
          <w:color w:val="auto"/>
          <w:szCs w:val="21"/>
        </w:rPr>
        <w:t>5</w:t>
      </w:r>
      <w:r>
        <w:rPr>
          <w:rFonts w:hint="eastAsia" w:ascii="宋体" w:cs="宋体"/>
          <w:color w:val="auto"/>
          <w:szCs w:val="21"/>
        </w:rPr>
        <w:t>个工作日内，退还所收取的招标文件费用和所收取的投标保证金及其在银行产生的孳息。采购人有权拒绝任何</w:t>
      </w:r>
      <w:r>
        <w:rPr>
          <w:rFonts w:hint="eastAsia" w:ascii="宋体" w:cs="宋体"/>
          <w:color w:val="auto"/>
          <w:szCs w:val="21"/>
          <w:lang w:eastAsia="zh-CN"/>
        </w:rPr>
        <w:t>供应商</w:t>
      </w:r>
      <w:r>
        <w:rPr>
          <w:rFonts w:hint="eastAsia" w:ascii="宋体" w:cs="宋体"/>
          <w:color w:val="auto"/>
          <w:szCs w:val="21"/>
        </w:rPr>
        <w:t>中标，且对受影响的</w:t>
      </w:r>
      <w:r>
        <w:rPr>
          <w:rFonts w:hint="eastAsia" w:ascii="宋体" w:cs="宋体"/>
          <w:color w:val="auto"/>
          <w:szCs w:val="21"/>
          <w:lang w:eastAsia="zh-CN"/>
        </w:rPr>
        <w:t>供应商</w:t>
      </w:r>
      <w:r>
        <w:rPr>
          <w:rFonts w:hint="eastAsia" w:ascii="宋体" w:cs="宋体"/>
          <w:color w:val="auto"/>
          <w:szCs w:val="21"/>
        </w:rPr>
        <w:t>不承担任何责任。</w:t>
      </w:r>
    </w:p>
    <w:p w14:paraId="0F214B7B">
      <w:pPr>
        <w:numPr>
          <w:ilvl w:val="1"/>
          <w:numId w:val="2"/>
        </w:numPr>
        <w:spacing w:line="400" w:lineRule="exact"/>
        <w:ind w:firstLine="420" w:firstLineChars="200"/>
        <w:rPr>
          <w:rFonts w:ascii="宋体" w:cs="宋体"/>
          <w:b/>
          <w:bCs/>
          <w:color w:val="auto"/>
        </w:rPr>
      </w:pPr>
      <w:bookmarkStart w:id="280" w:name="_Toc1468"/>
      <w:bookmarkStart w:id="281" w:name="_Toc25326"/>
      <w:bookmarkStart w:id="282" w:name="_Toc29785"/>
      <w:bookmarkStart w:id="283" w:name="_Toc14610"/>
      <w:bookmarkStart w:id="284" w:name="_Toc3846"/>
      <w:bookmarkStart w:id="285" w:name="_Toc12174"/>
      <w:bookmarkStart w:id="286" w:name="_Toc21282"/>
      <w:bookmarkStart w:id="287" w:name="_Toc24223"/>
      <w:bookmarkStart w:id="288" w:name="_Toc5799"/>
      <w:bookmarkStart w:id="289" w:name="_Toc23214"/>
      <w:bookmarkStart w:id="290" w:name="_Toc12305"/>
      <w:r>
        <w:rPr>
          <w:rFonts w:hint="eastAsia" w:ascii="宋体" w:hAnsi="宋体" w:cs="宋体"/>
          <w:b/>
          <w:bCs/>
          <w:color w:val="auto"/>
        </w:rPr>
        <w:t>中标通知书</w:t>
      </w:r>
      <w:bookmarkEnd w:id="280"/>
      <w:bookmarkEnd w:id="281"/>
      <w:bookmarkEnd w:id="282"/>
      <w:bookmarkEnd w:id="283"/>
      <w:bookmarkEnd w:id="284"/>
      <w:bookmarkEnd w:id="285"/>
      <w:bookmarkEnd w:id="286"/>
      <w:bookmarkEnd w:id="287"/>
      <w:bookmarkEnd w:id="288"/>
      <w:bookmarkEnd w:id="289"/>
      <w:bookmarkEnd w:id="290"/>
    </w:p>
    <w:p w14:paraId="0D290522">
      <w:pPr>
        <w:adjustRightInd w:val="0"/>
        <w:snapToGrid w:val="0"/>
        <w:spacing w:line="400" w:lineRule="exact"/>
        <w:ind w:firstLine="420" w:firstLineChars="200"/>
        <w:rPr>
          <w:rFonts w:ascii="宋体" w:cs="宋体"/>
          <w:color w:val="auto"/>
          <w:szCs w:val="21"/>
          <w:highlight w:val="none"/>
        </w:rPr>
      </w:pPr>
      <w:r>
        <w:rPr>
          <w:rFonts w:hint="eastAsia" w:ascii="宋体" w:hAnsi="宋体" w:cs="宋体"/>
          <w:color w:val="auto"/>
          <w:szCs w:val="21"/>
          <w:highlight w:val="none"/>
        </w:rPr>
        <w:t>在公告中标结果的同时，采购人或采购代理机构应当向中标人发出中标通知书，中标通知书将作为签订合同的依据。</w:t>
      </w:r>
    </w:p>
    <w:p w14:paraId="74866B53">
      <w:pPr>
        <w:numPr>
          <w:ilvl w:val="1"/>
          <w:numId w:val="2"/>
        </w:numPr>
        <w:spacing w:line="400" w:lineRule="exact"/>
        <w:ind w:firstLine="420" w:firstLineChars="200"/>
        <w:rPr>
          <w:rFonts w:ascii="宋体" w:cs="宋体"/>
          <w:b/>
          <w:bCs/>
          <w:color w:val="auto"/>
        </w:rPr>
      </w:pPr>
      <w:bookmarkStart w:id="291" w:name="_Toc25686"/>
      <w:bookmarkStart w:id="292" w:name="_Toc25990"/>
      <w:bookmarkStart w:id="293" w:name="_Toc9865"/>
      <w:bookmarkStart w:id="294" w:name="_Toc14397"/>
      <w:bookmarkStart w:id="295" w:name="_Toc21924"/>
      <w:bookmarkStart w:id="296" w:name="_Toc3979"/>
      <w:bookmarkStart w:id="297" w:name="_Toc15209"/>
      <w:bookmarkStart w:id="298" w:name="_Toc20517"/>
      <w:bookmarkStart w:id="299" w:name="_Toc11448"/>
      <w:bookmarkStart w:id="300" w:name="_Toc9428"/>
      <w:bookmarkStart w:id="301" w:name="_Toc26111"/>
      <w:bookmarkStart w:id="302" w:name="_Toc3376"/>
      <w:bookmarkStart w:id="303" w:name="_Toc11221"/>
      <w:bookmarkStart w:id="304" w:name="_Toc15061"/>
      <w:bookmarkStart w:id="305" w:name="_Toc1226"/>
      <w:bookmarkStart w:id="306" w:name="_Toc26471"/>
      <w:bookmarkStart w:id="307" w:name="_Toc12530"/>
      <w:r>
        <w:rPr>
          <w:rFonts w:hint="eastAsia" w:ascii="宋体" w:hAnsi="宋体" w:cs="宋体"/>
          <w:b/>
          <w:bCs/>
          <w:color w:val="auto"/>
        </w:rPr>
        <w:t>履约保证金</w:t>
      </w:r>
      <w:bookmarkEnd w:id="291"/>
      <w:bookmarkEnd w:id="292"/>
      <w:bookmarkEnd w:id="293"/>
      <w:bookmarkEnd w:id="294"/>
      <w:bookmarkEnd w:id="295"/>
      <w:bookmarkEnd w:id="296"/>
      <w:bookmarkEnd w:id="297"/>
      <w:bookmarkEnd w:id="298"/>
      <w:bookmarkEnd w:id="299"/>
      <w:bookmarkEnd w:id="300"/>
      <w:bookmarkEnd w:id="301"/>
    </w:p>
    <w:p w14:paraId="4AA134F8">
      <w:pPr>
        <w:numPr>
          <w:ilvl w:val="2"/>
          <w:numId w:val="2"/>
        </w:numPr>
        <w:adjustRightInd w:val="0"/>
        <w:snapToGrid w:val="0"/>
        <w:spacing w:line="400" w:lineRule="exact"/>
        <w:ind w:firstLine="420" w:firstLineChars="200"/>
        <w:rPr>
          <w:rFonts w:ascii="宋体" w:cs="宋体"/>
          <w:color w:val="auto"/>
          <w:szCs w:val="21"/>
          <w:highlight w:val="none"/>
        </w:rPr>
      </w:pPr>
      <w:bookmarkStart w:id="308" w:name="_Toc22384"/>
      <w:bookmarkStart w:id="309" w:name="_Toc24299"/>
      <w:bookmarkStart w:id="310" w:name="_Toc13295"/>
      <w:bookmarkStart w:id="311" w:name="_Toc1508"/>
      <w:r>
        <w:rPr>
          <w:rFonts w:hint="eastAsia" w:ascii="宋体" w:hAnsi="宋体" w:cs="宋体"/>
          <w:color w:val="auto"/>
          <w:szCs w:val="21"/>
          <w:highlight w:val="none"/>
        </w:rPr>
        <w:t>中标人应按</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须知前附表规定的形式、金额和招标文件第五章“合同条款及格式”的规定向招标人提交履约保证金。</w:t>
      </w:r>
    </w:p>
    <w:p w14:paraId="446784F6">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highlight w:val="none"/>
        </w:rPr>
        <w:t>中标人不能按本章第</w:t>
      </w:r>
      <w:r>
        <w:rPr>
          <w:rFonts w:ascii="宋体" w:hAnsi="宋体" w:cs="宋体"/>
          <w:color w:val="auto"/>
          <w:szCs w:val="21"/>
          <w:highlight w:val="none"/>
        </w:rPr>
        <w:t>6.4.1</w:t>
      </w:r>
      <w:r>
        <w:rPr>
          <w:rFonts w:hint="eastAsia" w:ascii="宋体" w:hAnsi="宋体" w:cs="宋体"/>
          <w:color w:val="auto"/>
          <w:szCs w:val="21"/>
          <w:highlight w:val="none"/>
        </w:rPr>
        <w:t>项要求</w:t>
      </w:r>
      <w:r>
        <w:rPr>
          <w:rFonts w:hint="eastAsia" w:ascii="宋体" w:hAnsi="宋体" w:cs="宋体"/>
          <w:color w:val="auto"/>
          <w:szCs w:val="21"/>
        </w:rPr>
        <w:t>提交履约保证金的，视为放弃中标。</w:t>
      </w:r>
    </w:p>
    <w:p w14:paraId="1B08AC4A">
      <w:pPr>
        <w:numPr>
          <w:ilvl w:val="1"/>
          <w:numId w:val="2"/>
        </w:numPr>
        <w:spacing w:line="400" w:lineRule="exact"/>
        <w:ind w:firstLine="420" w:firstLineChars="200"/>
        <w:rPr>
          <w:rFonts w:ascii="宋体" w:cs="宋体"/>
          <w:b/>
          <w:bCs/>
          <w:color w:val="auto"/>
        </w:rPr>
      </w:pPr>
      <w:bookmarkStart w:id="312" w:name="_Toc20184"/>
      <w:r>
        <w:rPr>
          <w:rFonts w:hint="eastAsia" w:ascii="宋体" w:hAnsi="宋体" w:cs="宋体"/>
          <w:b/>
          <w:bCs/>
          <w:color w:val="auto"/>
        </w:rPr>
        <w:t>签订合同</w:t>
      </w:r>
      <w:bookmarkEnd w:id="302"/>
      <w:bookmarkEnd w:id="303"/>
      <w:bookmarkEnd w:id="304"/>
      <w:bookmarkEnd w:id="305"/>
      <w:bookmarkEnd w:id="306"/>
      <w:bookmarkEnd w:id="307"/>
      <w:bookmarkEnd w:id="308"/>
      <w:bookmarkEnd w:id="309"/>
      <w:bookmarkEnd w:id="310"/>
      <w:bookmarkEnd w:id="311"/>
      <w:bookmarkEnd w:id="312"/>
    </w:p>
    <w:p w14:paraId="2E7C421C">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采购人应当自中标通知书发出之日起</w:t>
      </w:r>
      <w:r>
        <w:rPr>
          <w:rFonts w:hint="eastAsia" w:ascii="宋体" w:hAnsi="宋体" w:cs="宋体"/>
          <w:color w:val="auto"/>
          <w:szCs w:val="21"/>
          <w:lang w:val="en-US" w:eastAsia="zh-CN"/>
        </w:rPr>
        <w:t>3个工作日</w:t>
      </w:r>
      <w:r>
        <w:rPr>
          <w:rFonts w:hint="eastAsia" w:ascii="宋体" w:hAnsi="宋体" w:cs="宋体"/>
          <w:color w:val="auto"/>
          <w:szCs w:val="21"/>
        </w:rPr>
        <w:t>内，按照招标文件和中标人投标文件的规定，与中标人签订书面合同。所签订的合同不得对招标文件确定的事项和中标人投标文件作实质性修改。</w:t>
      </w:r>
    </w:p>
    <w:p w14:paraId="5EE19B41">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招标文件、中标人的投标文件和澄清文件等，均应作为签约合同文本的基础。</w:t>
      </w:r>
    </w:p>
    <w:p w14:paraId="24776902">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如中标人拒签合同，则按违约处理。对违约方收取中标金额</w:t>
      </w:r>
      <w:r>
        <w:rPr>
          <w:rFonts w:ascii="宋体" w:hAnsi="宋体" w:cs="宋体"/>
          <w:color w:val="auto"/>
          <w:szCs w:val="21"/>
        </w:rPr>
        <w:t>2%</w:t>
      </w:r>
      <w:r>
        <w:rPr>
          <w:rFonts w:hint="eastAsia" w:ascii="宋体" w:hAnsi="宋体" w:cs="宋体"/>
          <w:color w:val="auto"/>
          <w:szCs w:val="21"/>
        </w:rPr>
        <w:t>的违约金。</w:t>
      </w:r>
    </w:p>
    <w:p w14:paraId="5AC47604">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政府采购合同应当包括采购人与中标人的名称和住所、标的、数量、质量、价款或者报酬、履行期限及地点和方式、验收要求、违约责任、解决争议的方法等内容。</w:t>
      </w:r>
    </w:p>
    <w:p w14:paraId="5CC3DAB6">
      <w:pPr>
        <w:numPr>
          <w:ilvl w:val="2"/>
          <w:numId w:val="2"/>
        </w:num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如中标人不按本章第</w:t>
      </w:r>
      <w:r>
        <w:rPr>
          <w:rFonts w:ascii="宋体" w:hAnsi="宋体" w:cs="宋体"/>
          <w:color w:val="auto"/>
          <w:szCs w:val="21"/>
        </w:rPr>
        <w:t>6.5.1</w:t>
      </w:r>
      <w:r>
        <w:rPr>
          <w:rFonts w:hint="eastAsia" w:ascii="宋体" w:hAnsi="宋体" w:cs="宋体"/>
          <w:color w:val="auto"/>
          <w:szCs w:val="21"/>
        </w:rPr>
        <w:t>项约定签订合同，采购人将报请取消其中标决定。采购人可重新招标。</w:t>
      </w:r>
    </w:p>
    <w:p w14:paraId="560CA492">
      <w:pPr>
        <w:numPr>
          <w:ilvl w:val="0"/>
          <w:numId w:val="2"/>
        </w:numPr>
        <w:spacing w:line="400" w:lineRule="exact"/>
        <w:ind w:firstLine="420" w:firstLineChars="200"/>
        <w:outlineLvl w:val="1"/>
        <w:rPr>
          <w:rStyle w:val="33"/>
          <w:color w:val="auto"/>
          <w:sz w:val="21"/>
          <w:szCs w:val="21"/>
        </w:rPr>
      </w:pPr>
      <w:bookmarkStart w:id="313" w:name="_Toc40112136"/>
      <w:bookmarkStart w:id="314" w:name="_Toc3577"/>
      <w:bookmarkStart w:id="315" w:name="_Toc12934"/>
      <w:bookmarkStart w:id="316" w:name="_Toc11346"/>
      <w:bookmarkStart w:id="317" w:name="_Toc12880"/>
      <w:bookmarkStart w:id="318" w:name="_Toc2716"/>
      <w:r>
        <w:rPr>
          <w:rStyle w:val="33"/>
          <w:rFonts w:hint="eastAsia"/>
          <w:color w:val="auto"/>
          <w:sz w:val="21"/>
          <w:szCs w:val="21"/>
        </w:rPr>
        <w:t>信用记录</w:t>
      </w:r>
      <w:bookmarkEnd w:id="313"/>
      <w:bookmarkEnd w:id="314"/>
      <w:bookmarkEnd w:id="315"/>
      <w:bookmarkEnd w:id="316"/>
      <w:bookmarkEnd w:id="317"/>
      <w:bookmarkEnd w:id="318"/>
    </w:p>
    <w:p w14:paraId="2D96C55F">
      <w:pPr>
        <w:adjustRightInd w:val="0"/>
        <w:snapToGrid w:val="0"/>
        <w:spacing w:line="400" w:lineRule="exact"/>
        <w:ind w:firstLine="420" w:firstLineChars="200"/>
        <w:rPr>
          <w:rFonts w:ascii="宋体" w:cs="宋体"/>
          <w:color w:val="auto"/>
          <w:szCs w:val="21"/>
        </w:rPr>
      </w:pPr>
      <w:bookmarkStart w:id="319" w:name="_Toc40112137"/>
      <w:bookmarkStart w:id="320" w:name="_Toc18298"/>
      <w:bookmarkStart w:id="321" w:name="_Toc16339"/>
      <w:r>
        <w:rPr>
          <w:rFonts w:hint="eastAsia" w:ascii="宋体" w:hAnsi="宋体" w:cs="宋体"/>
          <w:color w:val="auto"/>
          <w:szCs w:val="21"/>
        </w:rPr>
        <w:t>根据《关于在政府采购活动中查询及使用信用记录有关问题的通知》</w:t>
      </w:r>
      <w:r>
        <w:rPr>
          <w:rFonts w:ascii="宋体" w:hAnsi="宋体" w:cs="宋体"/>
          <w:color w:val="auto"/>
          <w:szCs w:val="21"/>
        </w:rPr>
        <w:t>(</w:t>
      </w:r>
      <w:r>
        <w:rPr>
          <w:rFonts w:hint="eastAsia" w:ascii="宋体" w:hAnsi="宋体" w:cs="宋体"/>
          <w:color w:val="auto"/>
          <w:szCs w:val="21"/>
        </w:rPr>
        <w:t>财库</w:t>
      </w:r>
      <w:r>
        <w:rPr>
          <w:rFonts w:ascii="宋体" w:hAnsi="宋体" w:cs="宋体"/>
          <w:color w:val="auto"/>
          <w:szCs w:val="21"/>
        </w:rPr>
        <w:t>[2016]125</w:t>
      </w:r>
      <w:r>
        <w:rPr>
          <w:rFonts w:hint="eastAsia" w:ascii="宋体" w:hAnsi="宋体" w:cs="宋体"/>
          <w:color w:val="auto"/>
          <w:szCs w:val="21"/>
        </w:rPr>
        <w:t>号</w:t>
      </w:r>
      <w:r>
        <w:rPr>
          <w:rFonts w:ascii="宋体" w:hAnsi="宋体" w:cs="宋体"/>
          <w:color w:val="auto"/>
          <w:szCs w:val="21"/>
        </w:rPr>
        <w:t>)</w:t>
      </w:r>
      <w:r>
        <w:rPr>
          <w:rFonts w:hint="eastAsia" w:ascii="宋体" w:hAnsi="宋体" w:cs="宋体"/>
          <w:color w:val="auto"/>
          <w:szCs w:val="21"/>
        </w:rPr>
        <w:t>的规定，开标结束后至符合性审查前采购代理机构通过“信用中国”网站（</w:t>
      </w:r>
      <w:r>
        <w:rPr>
          <w:rFonts w:ascii="宋体" w:hAnsi="宋体" w:cs="宋体"/>
          <w:color w:val="auto"/>
          <w:szCs w:val="21"/>
        </w:rPr>
        <w:t>www.creditchina.gov.cn</w:t>
      </w:r>
      <w:r>
        <w:rPr>
          <w:rFonts w:hint="eastAsia" w:ascii="宋体" w:hAnsi="宋体" w:cs="宋体"/>
          <w:color w:val="auto"/>
          <w:szCs w:val="21"/>
        </w:rPr>
        <w:t>）、“中国执行信息公开网”网站（</w:t>
      </w:r>
      <w:r>
        <w:rPr>
          <w:rFonts w:ascii="宋体" w:hAnsi="宋体" w:cs="宋体"/>
          <w:color w:val="auto"/>
          <w:szCs w:val="21"/>
        </w:rPr>
        <w:t>zxgk.court.gov.cn</w:t>
      </w:r>
      <w:r>
        <w:rPr>
          <w:rFonts w:hint="eastAsia" w:ascii="宋体" w:hAnsi="宋体" w:cs="宋体"/>
          <w:color w:val="auto"/>
          <w:szCs w:val="21"/>
        </w:rPr>
        <w:t>）和中国政府采购网（</w:t>
      </w:r>
      <w:r>
        <w:rPr>
          <w:rFonts w:ascii="宋体" w:hAnsi="宋体" w:cs="宋体"/>
          <w:color w:val="auto"/>
          <w:szCs w:val="21"/>
        </w:rPr>
        <w:t>www.ccgp.gov.cn</w:t>
      </w:r>
      <w:r>
        <w:rPr>
          <w:rFonts w:hint="eastAsia" w:ascii="宋体" w:hAnsi="宋体" w:cs="宋体"/>
          <w:color w:val="auto"/>
          <w:szCs w:val="21"/>
        </w:rPr>
        <w:t>）查询企业的信用记录，列入“中国执行信息公开网”网站的“失信被执行人”、“信用中国”网站的</w:t>
      </w:r>
      <w:r>
        <w:rPr>
          <w:rFonts w:hint="eastAsia" w:ascii="宋体" w:hAnsi="宋体" w:cs="宋体"/>
          <w:color w:val="auto"/>
        </w:rPr>
        <w:t>“重大税收违法失信主体”</w:t>
      </w:r>
      <w:r>
        <w:rPr>
          <w:rFonts w:hint="eastAsia" w:ascii="宋体" w:hAnsi="宋体" w:cs="宋体"/>
          <w:color w:val="auto"/>
          <w:szCs w:val="21"/>
        </w:rPr>
        <w:t>和“中国政府采购网”网站的“政府采购严重违法失信行为记录名单”及其他不符合《中华人民共和国政府采购法》第二十二条规定条件的</w:t>
      </w:r>
      <w:r>
        <w:rPr>
          <w:rFonts w:hint="eastAsia" w:ascii="宋体" w:hAnsi="宋体" w:cs="宋体"/>
          <w:color w:val="auto"/>
          <w:szCs w:val="21"/>
          <w:lang w:eastAsia="zh-CN"/>
        </w:rPr>
        <w:t>供应商</w:t>
      </w:r>
      <w:r>
        <w:rPr>
          <w:rFonts w:hint="eastAsia" w:ascii="宋体" w:hAnsi="宋体" w:cs="宋体"/>
          <w:color w:val="auto"/>
          <w:szCs w:val="21"/>
        </w:rPr>
        <w:t>，将拒绝参与本次政府采购活动。</w:t>
      </w:r>
    </w:p>
    <w:p w14:paraId="01A5D7EB">
      <w:pPr>
        <w:adjustRightInd w:val="0"/>
        <w:snapToGrid w:val="0"/>
        <w:spacing w:line="400" w:lineRule="exact"/>
        <w:ind w:firstLine="420" w:firstLineChars="200"/>
        <w:rPr>
          <w:rFonts w:ascii="宋体" w:cs="宋体"/>
          <w:color w:val="auto"/>
        </w:rPr>
      </w:pPr>
      <w:r>
        <w:rPr>
          <w:rFonts w:hint="eastAsia" w:ascii="宋体" w:hAnsi="宋体" w:cs="宋体"/>
          <w:color w:val="auto"/>
          <w:szCs w:val="21"/>
        </w:rPr>
        <w:t>在本招标文件规定的查询时间之后，网站信息发生的任何变更均不再作为评标依据。</w:t>
      </w:r>
      <w:r>
        <w:rPr>
          <w:rFonts w:hint="eastAsia" w:ascii="宋体" w:hAnsi="宋体" w:cs="宋体"/>
          <w:color w:val="auto"/>
          <w:szCs w:val="21"/>
          <w:lang w:eastAsia="zh-CN"/>
        </w:rPr>
        <w:t>供应商</w:t>
      </w:r>
      <w:r>
        <w:rPr>
          <w:rFonts w:hint="eastAsia" w:ascii="宋体" w:hAnsi="宋体" w:cs="宋体"/>
          <w:color w:val="auto"/>
          <w:szCs w:val="21"/>
        </w:rPr>
        <w:t>自行提供的与网站信息不一致的其他证明材料亦不作为资格审查的依据。信用信息查询记录及相关证据与其他采购文件一并保存。</w:t>
      </w:r>
    </w:p>
    <w:p w14:paraId="0D014C96">
      <w:pPr>
        <w:numPr>
          <w:ilvl w:val="0"/>
          <w:numId w:val="2"/>
        </w:numPr>
        <w:spacing w:line="400" w:lineRule="exact"/>
        <w:ind w:firstLine="420" w:firstLineChars="200"/>
        <w:outlineLvl w:val="1"/>
        <w:rPr>
          <w:rStyle w:val="33"/>
          <w:color w:val="auto"/>
          <w:sz w:val="21"/>
          <w:szCs w:val="21"/>
        </w:rPr>
      </w:pPr>
      <w:bookmarkStart w:id="322" w:name="_Toc6386"/>
      <w:bookmarkStart w:id="323" w:name="_Toc13666"/>
      <w:bookmarkStart w:id="324" w:name="_Toc27111"/>
      <w:bookmarkStart w:id="325" w:name="_Toc15305"/>
      <w:r>
        <w:rPr>
          <w:rStyle w:val="33"/>
          <w:rFonts w:hint="eastAsia"/>
          <w:color w:val="auto"/>
          <w:sz w:val="21"/>
          <w:szCs w:val="21"/>
        </w:rPr>
        <w:t>需要补充的其他内容</w:t>
      </w:r>
      <w:bookmarkEnd w:id="319"/>
      <w:bookmarkEnd w:id="320"/>
      <w:bookmarkEnd w:id="322"/>
      <w:bookmarkEnd w:id="323"/>
      <w:bookmarkEnd w:id="324"/>
      <w:bookmarkEnd w:id="325"/>
    </w:p>
    <w:p w14:paraId="6F0D1003">
      <w:pPr>
        <w:adjustRightInd w:val="0"/>
        <w:snapToGrid w:val="0"/>
        <w:spacing w:line="400" w:lineRule="exact"/>
        <w:ind w:firstLine="420" w:firstLineChars="200"/>
        <w:rPr>
          <w:rFonts w:ascii="宋体" w:cs="宋体"/>
          <w:color w:val="auto"/>
          <w:szCs w:val="21"/>
        </w:rPr>
      </w:pPr>
      <w:r>
        <w:rPr>
          <w:rFonts w:hint="eastAsia" w:ascii="宋体" w:hAnsi="宋体" w:cs="宋体"/>
          <w:color w:val="auto"/>
          <w:szCs w:val="21"/>
        </w:rPr>
        <w:t>见</w:t>
      </w:r>
      <w:r>
        <w:rPr>
          <w:rFonts w:hint="eastAsia" w:ascii="宋体" w:hAnsi="宋体" w:cs="宋体"/>
          <w:color w:val="auto"/>
          <w:szCs w:val="21"/>
          <w:lang w:eastAsia="zh-CN"/>
        </w:rPr>
        <w:t>供应商</w:t>
      </w:r>
      <w:r>
        <w:rPr>
          <w:rFonts w:hint="eastAsia" w:ascii="宋体" w:hAnsi="宋体" w:cs="宋体"/>
          <w:color w:val="auto"/>
          <w:szCs w:val="21"/>
        </w:rPr>
        <w:t>须知前附表。</w:t>
      </w:r>
      <w:bookmarkEnd w:id="321"/>
    </w:p>
    <w:p w14:paraId="499D46A7">
      <w:pPr>
        <w:pStyle w:val="6"/>
        <w:tabs>
          <w:tab w:val="left" w:pos="721"/>
          <w:tab w:val="left" w:pos="840"/>
          <w:tab w:val="left" w:pos="2880"/>
          <w:tab w:val="left" w:pos="3780"/>
        </w:tabs>
        <w:adjustRightInd w:val="0"/>
        <w:snapToGrid w:val="0"/>
        <w:jc w:val="center"/>
        <w:outlineLvl w:val="0"/>
        <w:rPr>
          <w:rFonts w:ascii="宋体" w:cs="宋体"/>
          <w:color w:val="auto"/>
          <w:szCs w:val="32"/>
        </w:rPr>
      </w:pPr>
      <w:r>
        <w:rPr>
          <w:rFonts w:ascii="宋体" w:cs="宋体"/>
          <w:color w:val="auto"/>
        </w:rPr>
        <w:br w:type="page"/>
      </w:r>
      <w:bookmarkStart w:id="326" w:name="_Toc19667"/>
      <w:bookmarkStart w:id="327" w:name="_Toc18196"/>
      <w:bookmarkStart w:id="328" w:name="_Toc2048"/>
      <w:bookmarkStart w:id="329" w:name="_Toc40112138"/>
      <w:bookmarkStart w:id="330" w:name="_Toc28231"/>
      <w:r>
        <w:rPr>
          <w:rFonts w:hint="eastAsia" w:ascii="宋体" w:hAnsi="宋体" w:eastAsia="宋体" w:cs="宋体"/>
          <w:b w:val="0"/>
          <w:snapToGrid w:val="0"/>
          <w:color w:val="000000"/>
          <w:spacing w:val="-1"/>
          <w:kern w:val="0"/>
          <w:sz w:val="32"/>
          <w:szCs w:val="32"/>
          <w:lang w:val="en-US" w:eastAsia="zh-CN" w:bidi="ar-SA"/>
          <w14:textOutline w14:w="5805">
            <w14:solidFill>
              <w14:srgbClr w14:val="000000"/>
            </w14:solidFill>
            <w14:prstDash w14:val="solid"/>
            <w14:miter w14:val="0"/>
          </w14:textOutline>
        </w:rPr>
        <w:t>第三章  资格审查</w:t>
      </w:r>
      <w:bookmarkEnd w:id="326"/>
      <w:bookmarkEnd w:id="327"/>
      <w:bookmarkEnd w:id="328"/>
      <w:bookmarkEnd w:id="329"/>
      <w:bookmarkEnd w:id="330"/>
    </w:p>
    <w:p w14:paraId="39E89860">
      <w:pPr>
        <w:pStyle w:val="7"/>
        <w:adjustRightInd w:val="0"/>
        <w:snapToGrid w:val="0"/>
        <w:ind w:firstLine="3602" w:firstLineChars="1500"/>
        <w:jc w:val="both"/>
        <w:outlineLvl w:val="1"/>
        <w:rPr>
          <w:rFonts w:ascii="宋体" w:cs="宋体"/>
          <w:color w:val="auto"/>
          <w:sz w:val="24"/>
          <w:szCs w:val="24"/>
        </w:rPr>
      </w:pPr>
      <w:bookmarkStart w:id="331" w:name="_Toc27205"/>
      <w:bookmarkStart w:id="332" w:name="_Toc6735"/>
      <w:bookmarkStart w:id="333" w:name="_Toc16729"/>
      <w:bookmarkStart w:id="334" w:name="_Toc21173"/>
      <w:bookmarkStart w:id="335" w:name="_Toc27033"/>
      <w:bookmarkStart w:id="336" w:name="_Toc11714"/>
      <w:bookmarkStart w:id="337" w:name="_Toc13197"/>
      <w:bookmarkStart w:id="338" w:name="_Toc14110"/>
      <w:bookmarkStart w:id="339" w:name="_Toc9066"/>
      <w:bookmarkStart w:id="340" w:name="_Toc30398"/>
      <w:bookmarkStart w:id="341" w:name="_Toc6281"/>
      <w:bookmarkStart w:id="342" w:name="_Toc28519"/>
      <w:r>
        <w:rPr>
          <w:rFonts w:hint="eastAsia" w:ascii="宋体" w:hAnsi="宋体" w:cs="宋体"/>
          <w:color w:val="auto"/>
          <w:sz w:val="24"/>
          <w:szCs w:val="24"/>
        </w:rPr>
        <w:t>资格审查前附表</w:t>
      </w:r>
      <w:bookmarkEnd w:id="331"/>
      <w:bookmarkEnd w:id="332"/>
      <w:bookmarkEnd w:id="333"/>
      <w:bookmarkEnd w:id="334"/>
      <w:bookmarkEnd w:id="335"/>
      <w:bookmarkEnd w:id="336"/>
      <w:bookmarkEnd w:id="337"/>
      <w:bookmarkEnd w:id="338"/>
      <w:bookmarkEnd w:id="339"/>
      <w:bookmarkEnd w:id="340"/>
      <w:bookmarkEnd w:id="341"/>
      <w:bookmarkEnd w:id="342"/>
    </w:p>
    <w:tbl>
      <w:tblPr>
        <w:tblStyle w:val="17"/>
        <w:tblpPr w:leftFromText="180" w:rightFromText="180" w:vertAnchor="text" w:horzAnchor="page" w:tblpX="1455" w:tblpY="71"/>
        <w:tblOverlap w:val="never"/>
        <w:tblW w:w="92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3104"/>
        <w:gridCol w:w="5153"/>
      </w:tblGrid>
      <w:tr w14:paraId="667A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72" w:type="dxa"/>
            <w:vAlign w:val="center"/>
          </w:tcPr>
          <w:p w14:paraId="0215A29A">
            <w:pPr>
              <w:widowControl/>
              <w:adjustRightInd w:val="0"/>
              <w:snapToGrid w:val="0"/>
              <w:spacing w:line="360" w:lineRule="auto"/>
              <w:jc w:val="center"/>
              <w:rPr>
                <w:rFonts w:ascii="宋体" w:cs="宋体"/>
                <w:color w:val="auto"/>
                <w:kern w:val="0"/>
                <w:sz w:val="24"/>
              </w:rPr>
            </w:pPr>
            <w:r>
              <w:rPr>
                <w:rFonts w:hint="eastAsia" w:ascii="宋体" w:hAnsi="宋体" w:cs="宋体"/>
                <w:color w:val="auto"/>
                <w:kern w:val="0"/>
                <w:sz w:val="24"/>
              </w:rPr>
              <w:t>条款</w:t>
            </w:r>
          </w:p>
        </w:tc>
        <w:tc>
          <w:tcPr>
            <w:tcW w:w="3104" w:type="dxa"/>
            <w:vAlign w:val="center"/>
          </w:tcPr>
          <w:p w14:paraId="164EC795">
            <w:pPr>
              <w:widowControl/>
              <w:adjustRightInd w:val="0"/>
              <w:snapToGrid w:val="0"/>
              <w:spacing w:line="360" w:lineRule="auto"/>
              <w:jc w:val="center"/>
              <w:rPr>
                <w:rFonts w:ascii="宋体" w:cs="宋体"/>
                <w:color w:val="auto"/>
                <w:kern w:val="0"/>
                <w:sz w:val="24"/>
              </w:rPr>
            </w:pPr>
            <w:r>
              <w:rPr>
                <w:rFonts w:hint="eastAsia" w:ascii="宋体" w:hAnsi="宋体" w:cs="宋体"/>
                <w:color w:val="auto"/>
                <w:kern w:val="0"/>
                <w:sz w:val="24"/>
              </w:rPr>
              <w:t>评审因素</w:t>
            </w:r>
          </w:p>
        </w:tc>
        <w:tc>
          <w:tcPr>
            <w:tcW w:w="5153" w:type="dxa"/>
            <w:vAlign w:val="center"/>
          </w:tcPr>
          <w:p w14:paraId="5A9E51FC">
            <w:pPr>
              <w:widowControl/>
              <w:adjustRightInd w:val="0"/>
              <w:snapToGrid w:val="0"/>
              <w:spacing w:line="360" w:lineRule="auto"/>
              <w:jc w:val="center"/>
              <w:rPr>
                <w:rFonts w:ascii="宋体" w:cs="宋体"/>
                <w:color w:val="auto"/>
                <w:kern w:val="0"/>
                <w:sz w:val="24"/>
              </w:rPr>
            </w:pPr>
            <w:r>
              <w:rPr>
                <w:rFonts w:hint="eastAsia" w:ascii="宋体" w:hAnsi="宋体" w:cs="宋体"/>
                <w:color w:val="auto"/>
                <w:kern w:val="0"/>
                <w:sz w:val="24"/>
              </w:rPr>
              <w:t>评审标准</w:t>
            </w:r>
          </w:p>
        </w:tc>
      </w:tr>
      <w:tr w14:paraId="0F0D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2" w:type="dxa"/>
            <w:vMerge w:val="restart"/>
            <w:vAlign w:val="center"/>
          </w:tcPr>
          <w:p w14:paraId="2ED2BF18">
            <w:pPr>
              <w:widowControl/>
              <w:adjustRightInd w:val="0"/>
              <w:snapToGrid w:val="0"/>
              <w:spacing w:line="360" w:lineRule="auto"/>
              <w:jc w:val="center"/>
              <w:rPr>
                <w:rFonts w:ascii="宋体" w:cs="宋体"/>
                <w:color w:val="auto"/>
                <w:kern w:val="0"/>
                <w:sz w:val="24"/>
              </w:rPr>
            </w:pPr>
            <w:r>
              <w:rPr>
                <w:rFonts w:hint="eastAsia" w:ascii="宋体" w:hAnsi="宋体" w:cs="宋体"/>
                <w:color w:val="auto"/>
                <w:sz w:val="24"/>
              </w:rPr>
              <w:t>资格审查</w:t>
            </w:r>
            <w:r>
              <w:rPr>
                <w:rFonts w:hint="eastAsia" w:ascii="宋体" w:hAnsi="宋体" w:cs="宋体"/>
                <w:color w:val="auto"/>
                <w:kern w:val="0"/>
                <w:sz w:val="24"/>
              </w:rPr>
              <w:t>标准</w:t>
            </w:r>
          </w:p>
        </w:tc>
        <w:tc>
          <w:tcPr>
            <w:tcW w:w="3104" w:type="dxa"/>
            <w:shd w:val="clear" w:color="auto" w:fill="auto"/>
            <w:vAlign w:val="center"/>
          </w:tcPr>
          <w:p w14:paraId="3594B301">
            <w:pPr>
              <w:widowControl/>
              <w:adjustRightInd w:val="0"/>
              <w:snapToGrid w:val="0"/>
              <w:spacing w:line="360" w:lineRule="auto"/>
              <w:jc w:val="center"/>
              <w:rPr>
                <w:rFonts w:ascii="宋体" w:cs="宋体"/>
                <w:color w:val="auto"/>
                <w:sz w:val="24"/>
              </w:rPr>
            </w:pPr>
            <w:r>
              <w:rPr>
                <w:rFonts w:hint="eastAsia" w:ascii="宋体" w:hAnsi="宋体" w:cs="宋体"/>
                <w:color w:val="auto"/>
                <w:sz w:val="24"/>
              </w:rPr>
              <w:t>应在中华人民共和国境内注册，具有独立承担民事责任的能力</w:t>
            </w:r>
          </w:p>
        </w:tc>
        <w:tc>
          <w:tcPr>
            <w:tcW w:w="5153" w:type="dxa"/>
            <w:shd w:val="clear" w:color="auto" w:fill="auto"/>
            <w:vAlign w:val="center"/>
          </w:tcPr>
          <w:p w14:paraId="35B92508">
            <w:pPr>
              <w:widowControl/>
              <w:adjustRightInd w:val="0"/>
              <w:snapToGrid w:val="0"/>
              <w:spacing w:line="360" w:lineRule="auto"/>
              <w:jc w:val="center"/>
              <w:rPr>
                <w:rFonts w:ascii="宋体" w:cs="宋体"/>
                <w:color w:val="auto"/>
                <w:sz w:val="24"/>
              </w:rPr>
            </w:pPr>
            <w:r>
              <w:rPr>
                <w:rFonts w:hint="eastAsia" w:ascii="宋体" w:hAnsi="宋体" w:cs="宋体"/>
                <w:color w:val="auto"/>
                <w:sz w:val="24"/>
              </w:rPr>
              <w:t>提供</w:t>
            </w:r>
            <w:r>
              <w:rPr>
                <w:rFonts w:hint="eastAsia" w:ascii="宋体" w:hAnsi="宋体" w:eastAsia="宋体" w:cs="宋体"/>
                <w:spacing w:val="-2"/>
                <w:sz w:val="24"/>
                <w:szCs w:val="24"/>
                <w:lang w:eastAsia="zh-CN"/>
              </w:rPr>
              <w:t>法人或者其他组织的营业执照等证明文件</w:t>
            </w:r>
          </w:p>
        </w:tc>
      </w:tr>
      <w:tr w14:paraId="6E9C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72" w:type="dxa"/>
            <w:vMerge w:val="continue"/>
            <w:vAlign w:val="center"/>
          </w:tcPr>
          <w:p w14:paraId="78AF4FCE">
            <w:pPr>
              <w:widowControl/>
              <w:adjustRightInd w:val="0"/>
              <w:snapToGrid w:val="0"/>
              <w:spacing w:line="360" w:lineRule="auto"/>
              <w:jc w:val="center"/>
              <w:rPr>
                <w:rFonts w:ascii="宋体" w:cs="宋体"/>
                <w:color w:val="auto"/>
                <w:kern w:val="0"/>
                <w:sz w:val="24"/>
              </w:rPr>
            </w:pPr>
          </w:p>
        </w:tc>
        <w:tc>
          <w:tcPr>
            <w:tcW w:w="3104" w:type="dxa"/>
            <w:shd w:val="clear" w:color="auto" w:fill="auto"/>
            <w:vAlign w:val="center"/>
          </w:tcPr>
          <w:p w14:paraId="6261979C">
            <w:pPr>
              <w:widowControl/>
              <w:adjustRightInd w:val="0"/>
              <w:snapToGrid w:val="0"/>
              <w:spacing w:line="360" w:lineRule="auto"/>
              <w:jc w:val="center"/>
              <w:rPr>
                <w:rFonts w:hint="eastAsia" w:ascii="宋体" w:hAnsi="宋体" w:cs="宋体"/>
                <w:color w:val="auto"/>
                <w:sz w:val="24"/>
              </w:rPr>
            </w:pPr>
            <w:r>
              <w:rPr>
                <w:rFonts w:hint="eastAsia" w:ascii="宋体" w:hAnsi="宋体" w:eastAsia="宋体" w:cs="宋体"/>
                <w:spacing w:val="-2"/>
                <w:sz w:val="24"/>
                <w:szCs w:val="24"/>
                <w:lang w:eastAsia="zh-CN"/>
              </w:rPr>
              <w:t>财务状况报告</w:t>
            </w:r>
          </w:p>
        </w:tc>
        <w:tc>
          <w:tcPr>
            <w:tcW w:w="5153" w:type="dxa"/>
            <w:shd w:val="clear" w:color="auto" w:fill="auto"/>
            <w:vAlign w:val="center"/>
          </w:tcPr>
          <w:p w14:paraId="5BE4A80F">
            <w:pPr>
              <w:widowControl/>
              <w:adjustRightInd w:val="0"/>
              <w:snapToGrid w:val="0"/>
              <w:spacing w:line="360" w:lineRule="auto"/>
              <w:jc w:val="center"/>
              <w:rPr>
                <w:rFonts w:hint="eastAsia"/>
                <w:color w:val="auto"/>
                <w:sz w:val="24"/>
              </w:rPr>
            </w:pPr>
            <w:r>
              <w:rPr>
                <w:rFonts w:hint="eastAsia" w:ascii="宋体" w:hAnsi="宋体" w:eastAsia="宋体" w:cs="宋体"/>
                <w:spacing w:val="-2"/>
                <w:sz w:val="24"/>
                <w:szCs w:val="24"/>
                <w:lang w:eastAsia="zh-CN"/>
              </w:rPr>
              <w:t>提供第三方审计机构出具的 202</w:t>
            </w:r>
            <w:r>
              <w:rPr>
                <w:rFonts w:hint="eastAsia" w:ascii="宋体" w:hAnsi="宋体" w:eastAsia="宋体" w:cs="宋体"/>
                <w:spacing w:val="-2"/>
                <w:sz w:val="24"/>
                <w:szCs w:val="24"/>
                <w:lang w:val="en-US" w:eastAsia="zh-CN"/>
              </w:rPr>
              <w:t>3</w:t>
            </w:r>
            <w:r>
              <w:rPr>
                <w:rFonts w:hint="eastAsia" w:ascii="宋体" w:hAnsi="宋体" w:eastAsia="宋体" w:cs="宋体"/>
                <w:spacing w:val="-2"/>
                <w:sz w:val="24"/>
                <w:szCs w:val="24"/>
                <w:lang w:eastAsia="zh-CN"/>
              </w:rPr>
              <w:t xml:space="preserve"> 年度财务审计报告；公司成立时间不足一年的， 可提供开户银行资信证明</w:t>
            </w:r>
          </w:p>
        </w:tc>
      </w:tr>
      <w:tr w14:paraId="739C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72" w:type="dxa"/>
            <w:vMerge w:val="continue"/>
            <w:vAlign w:val="center"/>
          </w:tcPr>
          <w:p w14:paraId="3FB6655F">
            <w:pPr>
              <w:widowControl/>
              <w:adjustRightInd w:val="0"/>
              <w:snapToGrid w:val="0"/>
              <w:spacing w:line="360" w:lineRule="auto"/>
              <w:jc w:val="center"/>
              <w:rPr>
                <w:rFonts w:ascii="宋体" w:cs="宋体"/>
                <w:color w:val="auto"/>
                <w:kern w:val="0"/>
                <w:sz w:val="24"/>
              </w:rPr>
            </w:pPr>
          </w:p>
        </w:tc>
        <w:tc>
          <w:tcPr>
            <w:tcW w:w="3104" w:type="dxa"/>
            <w:shd w:val="clear" w:color="auto" w:fill="auto"/>
            <w:vAlign w:val="top"/>
          </w:tcPr>
          <w:p w14:paraId="21A6201C">
            <w:pPr>
              <w:pStyle w:val="25"/>
              <w:spacing w:before="72" w:line="229" w:lineRule="auto"/>
              <w:ind w:left="0" w:leftChars="0" w:right="357" w:rightChars="0" w:hanging="56" w:firstLineChars="0"/>
              <w:jc w:val="center"/>
              <w:rPr>
                <w:rFonts w:hint="eastAsia" w:ascii="宋体" w:hAnsi="宋体" w:cs="宋体"/>
                <w:color w:val="auto"/>
                <w:sz w:val="24"/>
              </w:rPr>
            </w:pPr>
            <w:r>
              <w:rPr>
                <w:rFonts w:hint="eastAsia" w:ascii="宋体" w:hAnsi="宋体" w:eastAsia="宋体" w:cs="宋体"/>
                <w:spacing w:val="-2"/>
                <w:kern w:val="2"/>
                <w:sz w:val="24"/>
                <w:szCs w:val="24"/>
                <w:lang w:val="en-US" w:eastAsia="zh-CN" w:bidi="ar-SA"/>
              </w:rPr>
              <w:t>具有履行合同所必需的设备和专业技术能力的证明材料</w:t>
            </w:r>
          </w:p>
        </w:tc>
        <w:tc>
          <w:tcPr>
            <w:tcW w:w="5153" w:type="dxa"/>
            <w:shd w:val="clear" w:color="auto" w:fill="auto"/>
            <w:vAlign w:val="center"/>
          </w:tcPr>
          <w:p w14:paraId="2EF3A425">
            <w:pPr>
              <w:pStyle w:val="3"/>
              <w:spacing w:before="91" w:line="220" w:lineRule="auto"/>
              <w:outlineLvl w:val="6"/>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证明材料详见招标文件“第七章 投标文件格式”</w:t>
            </w:r>
          </w:p>
          <w:p w14:paraId="65A48A3D">
            <w:pPr>
              <w:pStyle w:val="25"/>
              <w:spacing w:before="229" w:line="219" w:lineRule="auto"/>
              <w:ind w:left="118" w:leftChars="0"/>
              <w:jc w:val="center"/>
              <w:rPr>
                <w:rFonts w:hint="eastAsia"/>
                <w:color w:val="auto"/>
                <w:sz w:val="24"/>
              </w:rPr>
            </w:pPr>
            <w:r>
              <w:rPr>
                <w:rFonts w:hint="eastAsia" w:ascii="宋体" w:hAnsi="宋体" w:cs="宋体"/>
                <w:color w:val="auto"/>
                <w:sz w:val="24"/>
              </w:rPr>
              <w:t>。</w:t>
            </w:r>
          </w:p>
        </w:tc>
      </w:tr>
      <w:tr w14:paraId="653E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72" w:type="dxa"/>
            <w:vMerge w:val="continue"/>
            <w:vAlign w:val="center"/>
          </w:tcPr>
          <w:p w14:paraId="08CECA03">
            <w:pPr>
              <w:widowControl/>
              <w:adjustRightInd w:val="0"/>
              <w:snapToGrid w:val="0"/>
              <w:spacing w:line="360" w:lineRule="auto"/>
              <w:jc w:val="center"/>
              <w:rPr>
                <w:rFonts w:ascii="宋体" w:cs="宋体"/>
                <w:color w:val="auto"/>
                <w:kern w:val="0"/>
                <w:sz w:val="24"/>
              </w:rPr>
            </w:pPr>
          </w:p>
        </w:tc>
        <w:tc>
          <w:tcPr>
            <w:tcW w:w="3104" w:type="dxa"/>
            <w:shd w:val="clear" w:color="auto" w:fill="auto"/>
            <w:vAlign w:val="center"/>
          </w:tcPr>
          <w:p w14:paraId="311D81B7">
            <w:pPr>
              <w:widowControl/>
              <w:adjustRightInd w:val="0"/>
              <w:snapToGrid w:val="0"/>
              <w:spacing w:line="360" w:lineRule="auto"/>
              <w:jc w:val="center"/>
              <w:rPr>
                <w:rFonts w:ascii="宋体" w:cs="宋体"/>
                <w:color w:val="auto"/>
                <w:kern w:val="0"/>
                <w:sz w:val="24"/>
              </w:rPr>
            </w:pPr>
            <w:r>
              <w:rPr>
                <w:rFonts w:hint="eastAsia" w:ascii="宋体" w:hAnsi="宋体" w:cs="宋体"/>
                <w:color w:val="auto"/>
                <w:sz w:val="24"/>
              </w:rPr>
              <w:t>依法缴纳税收和社会保障资金</w:t>
            </w:r>
          </w:p>
        </w:tc>
        <w:tc>
          <w:tcPr>
            <w:tcW w:w="5153" w:type="dxa"/>
            <w:shd w:val="clear" w:color="auto" w:fill="auto"/>
            <w:vAlign w:val="center"/>
          </w:tcPr>
          <w:p w14:paraId="321DEB87">
            <w:pPr>
              <w:widowControl/>
              <w:adjustRightInd w:val="0"/>
              <w:snapToGrid w:val="0"/>
              <w:spacing w:line="360" w:lineRule="auto"/>
              <w:rPr>
                <w:rFonts w:ascii="宋体" w:cs="宋体"/>
                <w:color w:val="auto"/>
                <w:kern w:val="0"/>
                <w:sz w:val="24"/>
              </w:rPr>
            </w:pPr>
            <w:r>
              <w:rPr>
                <w:rFonts w:hint="eastAsia" w:ascii="宋体" w:hAnsi="宋体" w:eastAsia="宋体" w:cs="宋体"/>
                <w:spacing w:val="-2"/>
                <w:sz w:val="24"/>
                <w:szCs w:val="24"/>
                <w:lang w:eastAsia="zh-CN"/>
              </w:rPr>
              <w:t>202</w:t>
            </w:r>
            <w:r>
              <w:rPr>
                <w:rFonts w:hint="eastAsia" w:ascii="宋体" w:hAnsi="宋体" w:eastAsia="宋体" w:cs="宋体"/>
                <w:spacing w:val="-2"/>
                <w:sz w:val="24"/>
                <w:szCs w:val="24"/>
                <w:lang w:val="en-US" w:eastAsia="zh-CN"/>
              </w:rPr>
              <w:t>4</w:t>
            </w:r>
            <w:r>
              <w:rPr>
                <w:rFonts w:hint="eastAsia" w:ascii="宋体" w:hAnsi="宋体" w:eastAsia="宋体" w:cs="宋体"/>
                <w:spacing w:val="-2"/>
                <w:sz w:val="24"/>
                <w:szCs w:val="24"/>
                <w:lang w:eastAsia="zh-CN"/>
              </w:rPr>
              <w:t>年以来连续 3 个月依法缴纳税收 和社会保障资金的相关证明材料（成立不足要求时限的</w:t>
            </w:r>
            <w:r>
              <w:rPr>
                <w:rFonts w:hint="default" w:ascii="宋体" w:hAnsi="宋体" w:eastAsia="宋体" w:cs="宋体"/>
                <w:spacing w:val="-2"/>
                <w:sz w:val="24"/>
                <w:szCs w:val="24"/>
                <w:lang w:val="en-US" w:eastAsia="zh-CN"/>
              </w:rPr>
              <w:t>,</w:t>
            </w:r>
            <w:r>
              <w:rPr>
                <w:rFonts w:hint="eastAsia" w:ascii="宋体" w:hAnsi="宋体" w:eastAsia="宋体" w:cs="宋体"/>
                <w:spacing w:val="-2"/>
                <w:sz w:val="24"/>
                <w:szCs w:val="24"/>
                <w:lang w:eastAsia="zh-CN"/>
              </w:rPr>
              <w:t>提供自成立以来依法缴纳税收和社会保障资金的相关证明材料；依法免税或不需要缴纳社会保障资金的应提供相关证明材料）；</w:t>
            </w:r>
          </w:p>
        </w:tc>
      </w:tr>
      <w:tr w14:paraId="53E1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972" w:type="dxa"/>
            <w:vMerge w:val="continue"/>
            <w:vAlign w:val="center"/>
          </w:tcPr>
          <w:p w14:paraId="216D2B84">
            <w:pPr>
              <w:widowControl/>
              <w:adjustRightInd w:val="0"/>
              <w:snapToGrid w:val="0"/>
              <w:spacing w:line="360" w:lineRule="auto"/>
              <w:jc w:val="center"/>
              <w:rPr>
                <w:rFonts w:ascii="宋体" w:cs="宋体"/>
                <w:color w:val="auto"/>
                <w:kern w:val="0"/>
                <w:sz w:val="24"/>
              </w:rPr>
            </w:pPr>
          </w:p>
        </w:tc>
        <w:tc>
          <w:tcPr>
            <w:tcW w:w="3104" w:type="dxa"/>
            <w:vAlign w:val="center"/>
          </w:tcPr>
          <w:p w14:paraId="3F66EB0F">
            <w:pPr>
              <w:widowControl/>
              <w:adjustRightInd w:val="0"/>
              <w:snapToGrid w:val="0"/>
              <w:spacing w:line="360" w:lineRule="auto"/>
              <w:jc w:val="center"/>
              <w:rPr>
                <w:rFonts w:ascii="宋体" w:cs="宋体"/>
                <w:color w:val="auto"/>
                <w:kern w:val="0"/>
                <w:sz w:val="24"/>
              </w:rPr>
            </w:pPr>
            <w:r>
              <w:rPr>
                <w:rFonts w:hint="eastAsia" w:ascii="宋体" w:hAnsi="宋体" w:eastAsia="宋体" w:cs="宋体"/>
                <w:spacing w:val="-2"/>
                <w:sz w:val="24"/>
                <w:szCs w:val="24"/>
                <w:lang w:val="en-US" w:eastAsia="zh-CN"/>
              </w:rPr>
              <w:t>供应商</w:t>
            </w:r>
            <w:r>
              <w:rPr>
                <w:rFonts w:hint="eastAsia" w:ascii="宋体" w:hAnsi="宋体" w:eastAsia="宋体" w:cs="宋体"/>
                <w:spacing w:val="-2"/>
                <w:sz w:val="24"/>
                <w:szCs w:val="24"/>
                <w:lang w:val="en-US" w:eastAsia="en-US"/>
              </w:rPr>
              <w:t>拟派本项目技术负责人须具有相关专业贰级及以上注册建造师执业资格证书（在本单位注册，不含临时建造师）</w:t>
            </w:r>
          </w:p>
        </w:tc>
        <w:tc>
          <w:tcPr>
            <w:tcW w:w="5153" w:type="dxa"/>
            <w:vAlign w:val="center"/>
          </w:tcPr>
          <w:p w14:paraId="21B5CD8D">
            <w:pPr>
              <w:widowControl/>
              <w:adjustRightInd w:val="0"/>
              <w:snapToGrid w:val="0"/>
              <w:spacing w:line="360" w:lineRule="auto"/>
              <w:rPr>
                <w:rFonts w:ascii="宋体" w:cs="宋体"/>
                <w:color w:val="auto"/>
                <w:kern w:val="0"/>
                <w:sz w:val="24"/>
              </w:rPr>
            </w:pPr>
            <w:r>
              <w:rPr>
                <w:rFonts w:hint="eastAsia" w:ascii="宋体" w:hAnsi="宋体" w:eastAsia="宋体" w:cs="宋体"/>
                <w:spacing w:val="-2"/>
                <w:kern w:val="2"/>
                <w:sz w:val="24"/>
                <w:szCs w:val="24"/>
                <w:lang w:val="en-US" w:eastAsia="zh-CN" w:bidi="ar-SA"/>
              </w:rPr>
              <w:t>证明材料</w:t>
            </w:r>
            <w:r>
              <w:rPr>
                <w:rFonts w:hint="eastAsia" w:ascii="宋体" w:hAnsi="宋体" w:cs="宋体"/>
                <w:color w:val="auto"/>
                <w:sz w:val="24"/>
              </w:rPr>
              <w:t>，</w:t>
            </w:r>
            <w:r>
              <w:rPr>
                <w:rFonts w:hint="eastAsia" w:ascii="宋体" w:hAnsi="宋体" w:cs="宋体"/>
                <w:color w:val="auto"/>
                <w:sz w:val="24"/>
                <w:lang w:eastAsia="zh-CN"/>
              </w:rPr>
              <w:t>承诺函格式详见招标文件“第七章</w:t>
            </w:r>
            <w:r>
              <w:rPr>
                <w:rFonts w:hint="eastAsia" w:ascii="宋体" w:hAnsi="宋体" w:cs="宋体"/>
                <w:color w:val="auto"/>
                <w:sz w:val="24"/>
                <w:lang w:val="en-US" w:eastAsia="zh-CN"/>
              </w:rPr>
              <w:t xml:space="preserve"> </w:t>
            </w:r>
          </w:p>
        </w:tc>
      </w:tr>
      <w:tr w14:paraId="4DDB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972" w:type="dxa"/>
            <w:vMerge w:val="continue"/>
            <w:vAlign w:val="center"/>
          </w:tcPr>
          <w:p w14:paraId="28568B99">
            <w:pPr>
              <w:widowControl/>
              <w:adjustRightInd w:val="0"/>
              <w:snapToGrid w:val="0"/>
              <w:spacing w:line="360" w:lineRule="auto"/>
              <w:jc w:val="center"/>
              <w:rPr>
                <w:rFonts w:ascii="宋体" w:cs="宋体"/>
                <w:color w:val="auto"/>
                <w:kern w:val="0"/>
                <w:sz w:val="24"/>
              </w:rPr>
            </w:pPr>
          </w:p>
        </w:tc>
        <w:tc>
          <w:tcPr>
            <w:tcW w:w="3104" w:type="dxa"/>
            <w:vAlign w:val="center"/>
          </w:tcPr>
          <w:p w14:paraId="31FC7340">
            <w:pPr>
              <w:widowControl/>
              <w:adjustRightInd w:val="0"/>
              <w:snapToGrid w:val="0"/>
              <w:spacing w:line="360" w:lineRule="auto"/>
              <w:jc w:val="center"/>
              <w:rPr>
                <w:rFonts w:ascii="宋体" w:cs="宋体"/>
                <w:color w:val="auto"/>
                <w:kern w:val="0"/>
                <w:sz w:val="24"/>
              </w:rPr>
            </w:pPr>
            <w:r>
              <w:rPr>
                <w:rFonts w:hint="eastAsia" w:ascii="宋体" w:hAnsi="宋体" w:eastAsia="宋体" w:cs="宋体"/>
                <w:spacing w:val="-2"/>
                <w:sz w:val="24"/>
                <w:szCs w:val="24"/>
                <w:lang w:eastAsia="zh-CN"/>
              </w:rPr>
              <w:t>重大违法记录</w:t>
            </w:r>
          </w:p>
        </w:tc>
        <w:tc>
          <w:tcPr>
            <w:tcW w:w="5153" w:type="dxa"/>
            <w:vAlign w:val="center"/>
          </w:tcPr>
          <w:p w14:paraId="5FF52973">
            <w:pPr>
              <w:widowControl/>
              <w:adjustRightInd w:val="0"/>
              <w:snapToGrid w:val="0"/>
              <w:spacing w:line="360" w:lineRule="auto"/>
              <w:rPr>
                <w:rFonts w:ascii="宋体" w:cs="宋体"/>
                <w:color w:val="auto"/>
                <w:kern w:val="0"/>
                <w:sz w:val="24"/>
              </w:rPr>
            </w:pPr>
            <w:r>
              <w:rPr>
                <w:rFonts w:hint="eastAsia" w:ascii="宋体" w:hAnsi="宋体" w:eastAsia="宋体" w:cs="宋体"/>
                <w:spacing w:val="-2"/>
                <w:kern w:val="2"/>
                <w:sz w:val="24"/>
                <w:szCs w:val="24"/>
                <w:lang w:val="en-US" w:eastAsia="zh-CN" w:bidi="ar-SA"/>
              </w:rPr>
              <w:t>证明材料详见招标文件“第七章 投标文件格式”</w:t>
            </w:r>
          </w:p>
        </w:tc>
      </w:tr>
      <w:tr w14:paraId="4693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72" w:type="dxa"/>
            <w:vMerge w:val="continue"/>
            <w:vAlign w:val="center"/>
          </w:tcPr>
          <w:p w14:paraId="1F648F6B">
            <w:pPr>
              <w:widowControl/>
              <w:adjustRightInd w:val="0"/>
              <w:snapToGrid w:val="0"/>
              <w:spacing w:line="360" w:lineRule="auto"/>
              <w:jc w:val="center"/>
              <w:rPr>
                <w:rFonts w:ascii="宋体" w:cs="宋体"/>
                <w:color w:val="auto"/>
                <w:kern w:val="0"/>
                <w:sz w:val="24"/>
              </w:rPr>
            </w:pPr>
          </w:p>
        </w:tc>
        <w:tc>
          <w:tcPr>
            <w:tcW w:w="3104" w:type="dxa"/>
            <w:vAlign w:val="center"/>
          </w:tcPr>
          <w:p w14:paraId="3A6A51EE">
            <w:pPr>
              <w:widowControl/>
              <w:adjustRightInd w:val="0"/>
              <w:snapToGrid w:val="0"/>
              <w:spacing w:line="360" w:lineRule="auto"/>
              <w:jc w:val="center"/>
              <w:rPr>
                <w:rFonts w:ascii="宋体" w:cs="宋体"/>
                <w:color w:val="auto"/>
                <w:kern w:val="0"/>
                <w:sz w:val="24"/>
              </w:rPr>
            </w:pPr>
            <w:r>
              <w:rPr>
                <w:rFonts w:hint="eastAsia" w:ascii="宋体" w:hAnsi="宋体" w:cs="宋体"/>
                <w:color w:val="auto"/>
                <w:sz w:val="24"/>
              </w:rPr>
              <w:t>单位负责人为同一人或者存在直接控股、管理关系的不同供应商，不得参加同一合同项下的政府采购活动</w:t>
            </w:r>
          </w:p>
        </w:tc>
        <w:tc>
          <w:tcPr>
            <w:tcW w:w="5153" w:type="dxa"/>
            <w:vAlign w:val="center"/>
          </w:tcPr>
          <w:p w14:paraId="201C8EE1">
            <w:pPr>
              <w:widowControl/>
              <w:adjustRightInd w:val="0"/>
              <w:snapToGrid w:val="0"/>
              <w:spacing w:line="360" w:lineRule="auto"/>
              <w:rPr>
                <w:rFonts w:ascii="宋体" w:cs="宋体"/>
                <w:color w:val="auto"/>
                <w:kern w:val="0"/>
                <w:sz w:val="24"/>
              </w:rPr>
            </w:pPr>
            <w:r>
              <w:rPr>
                <w:rFonts w:hint="eastAsia" w:ascii="宋体" w:hAnsi="宋体" w:cs="宋体"/>
                <w:color w:val="auto"/>
                <w:sz w:val="24"/>
              </w:rPr>
              <w:t>须提供承诺函，</w:t>
            </w:r>
            <w:r>
              <w:rPr>
                <w:rFonts w:hint="eastAsia" w:ascii="宋体" w:hAnsi="宋体" w:cs="宋体"/>
                <w:color w:val="auto"/>
                <w:sz w:val="24"/>
                <w:lang w:eastAsia="zh-CN"/>
              </w:rPr>
              <w:t>承诺函格式详见招标文件“第七章</w:t>
            </w:r>
            <w:r>
              <w:rPr>
                <w:rFonts w:hint="eastAsia" w:ascii="宋体" w:hAnsi="宋体" w:cs="宋体"/>
                <w:color w:val="auto"/>
                <w:sz w:val="24"/>
                <w:lang w:val="en-US" w:eastAsia="zh-CN"/>
              </w:rPr>
              <w:t xml:space="preserve"> </w:t>
            </w:r>
            <w:r>
              <w:rPr>
                <w:rFonts w:hint="eastAsia" w:ascii="宋体" w:hAnsi="宋体" w:cs="宋体"/>
                <w:color w:val="auto"/>
                <w:sz w:val="24"/>
                <w:lang w:eastAsia="zh-CN"/>
              </w:rPr>
              <w:t>投标文件格式”</w:t>
            </w:r>
          </w:p>
        </w:tc>
      </w:tr>
      <w:tr w14:paraId="0EDA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9" w:hRule="atLeast"/>
        </w:trPr>
        <w:tc>
          <w:tcPr>
            <w:tcW w:w="972" w:type="dxa"/>
            <w:vMerge w:val="continue"/>
            <w:vAlign w:val="center"/>
          </w:tcPr>
          <w:p w14:paraId="60E8D1A5">
            <w:pPr>
              <w:widowControl/>
              <w:adjustRightInd w:val="0"/>
              <w:snapToGrid w:val="0"/>
              <w:spacing w:line="360" w:lineRule="auto"/>
              <w:jc w:val="center"/>
              <w:rPr>
                <w:rFonts w:ascii="宋体" w:cs="宋体"/>
                <w:color w:val="auto"/>
                <w:kern w:val="0"/>
                <w:sz w:val="24"/>
              </w:rPr>
            </w:pPr>
          </w:p>
        </w:tc>
        <w:tc>
          <w:tcPr>
            <w:tcW w:w="3104" w:type="dxa"/>
            <w:vAlign w:val="center"/>
          </w:tcPr>
          <w:p w14:paraId="68E328AB">
            <w:pPr>
              <w:widowControl/>
              <w:adjustRightInd w:val="0"/>
              <w:snapToGrid w:val="0"/>
              <w:spacing w:line="360" w:lineRule="auto"/>
              <w:jc w:val="center"/>
              <w:rPr>
                <w:rFonts w:ascii="宋体" w:cs="宋体"/>
                <w:color w:val="auto"/>
                <w:kern w:val="0"/>
                <w:sz w:val="24"/>
              </w:rPr>
            </w:pPr>
            <w:r>
              <w:rPr>
                <w:rFonts w:hint="eastAsia" w:ascii="宋体" w:hAnsi="宋体" w:cs="宋体"/>
                <w:color w:val="auto"/>
                <w:kern w:val="0"/>
                <w:sz w:val="24"/>
              </w:rPr>
              <w:t>信用记录</w:t>
            </w:r>
          </w:p>
        </w:tc>
        <w:tc>
          <w:tcPr>
            <w:tcW w:w="5153" w:type="dxa"/>
            <w:vAlign w:val="center"/>
          </w:tcPr>
          <w:p w14:paraId="3BC081FF">
            <w:pPr>
              <w:widowControl/>
              <w:adjustRightInd w:val="0"/>
              <w:snapToGrid w:val="0"/>
              <w:spacing w:line="360" w:lineRule="auto"/>
              <w:jc w:val="left"/>
              <w:rPr>
                <w:rFonts w:ascii="宋体" w:cs="宋体"/>
                <w:color w:val="auto"/>
                <w:kern w:val="0"/>
                <w:sz w:val="24"/>
              </w:rPr>
            </w:pPr>
            <w:r>
              <w:rPr>
                <w:rFonts w:hint="eastAsia" w:ascii="宋体" w:hAnsi="宋体" w:cs="宋体"/>
                <w:color w:val="auto"/>
                <w:kern w:val="0"/>
                <w:sz w:val="24"/>
              </w:rPr>
              <w:t>根据《关于在政府采购活动中查询及使用信用记录有关问题的通知》</w:t>
            </w:r>
            <w:r>
              <w:rPr>
                <w:rFonts w:ascii="宋体" w:hAnsi="宋体" w:cs="宋体"/>
                <w:color w:val="auto"/>
                <w:kern w:val="0"/>
                <w:sz w:val="24"/>
              </w:rPr>
              <w:t>(</w:t>
            </w:r>
            <w:r>
              <w:rPr>
                <w:rFonts w:hint="eastAsia" w:ascii="宋体" w:hAnsi="宋体" w:cs="宋体"/>
                <w:color w:val="auto"/>
                <w:kern w:val="0"/>
                <w:sz w:val="24"/>
              </w:rPr>
              <w:t>财库</w:t>
            </w:r>
            <w:r>
              <w:rPr>
                <w:rFonts w:ascii="宋体" w:hAnsi="宋体" w:cs="宋体"/>
                <w:color w:val="auto"/>
                <w:kern w:val="0"/>
                <w:sz w:val="24"/>
              </w:rPr>
              <w:t>[2016]125</w:t>
            </w:r>
            <w:r>
              <w:rPr>
                <w:rFonts w:hint="eastAsia" w:ascii="宋体" w:hAnsi="宋体" w:cs="宋体"/>
                <w:color w:val="auto"/>
                <w:kern w:val="0"/>
                <w:sz w:val="24"/>
              </w:rPr>
              <w:t>号</w:t>
            </w:r>
            <w:r>
              <w:rPr>
                <w:rFonts w:ascii="宋体" w:hAnsi="宋体" w:cs="宋体"/>
                <w:color w:val="auto"/>
                <w:kern w:val="0"/>
                <w:sz w:val="24"/>
              </w:rPr>
              <w:t>)</w:t>
            </w:r>
            <w:r>
              <w:rPr>
                <w:rFonts w:hint="eastAsia" w:ascii="宋体" w:hAnsi="宋体" w:cs="宋体"/>
                <w:color w:val="auto"/>
                <w:kern w:val="0"/>
                <w:sz w:val="24"/>
              </w:rPr>
              <w:t>的规定，开标结束后至符合性审查前采购代理机构通过“信用中国”网站（</w:t>
            </w:r>
            <w:r>
              <w:rPr>
                <w:rFonts w:ascii="宋体" w:hAnsi="宋体" w:cs="宋体"/>
                <w:color w:val="auto"/>
                <w:kern w:val="0"/>
                <w:sz w:val="24"/>
              </w:rPr>
              <w:t>www.creditchina.gov.cn</w:t>
            </w:r>
            <w:r>
              <w:rPr>
                <w:rFonts w:hint="eastAsia" w:ascii="宋体" w:hAnsi="宋体" w:cs="宋体"/>
                <w:color w:val="auto"/>
                <w:kern w:val="0"/>
                <w:sz w:val="24"/>
              </w:rPr>
              <w:t>）、“中国执行信息公开网”网站（</w:t>
            </w:r>
            <w:r>
              <w:rPr>
                <w:rFonts w:ascii="宋体" w:hAnsi="宋体" w:cs="宋体"/>
                <w:color w:val="auto"/>
                <w:kern w:val="0"/>
                <w:sz w:val="24"/>
              </w:rPr>
              <w:t>zxgk.court.gov.cn</w:t>
            </w:r>
            <w:r>
              <w:rPr>
                <w:rFonts w:hint="eastAsia" w:ascii="宋体" w:hAnsi="宋体" w:cs="宋体"/>
                <w:color w:val="auto"/>
                <w:kern w:val="0"/>
                <w:sz w:val="24"/>
              </w:rPr>
              <w:t>）和中国政府采购网（</w:t>
            </w:r>
            <w:r>
              <w:rPr>
                <w:rFonts w:ascii="宋体" w:hAnsi="宋体" w:cs="宋体"/>
                <w:color w:val="auto"/>
                <w:kern w:val="0"/>
                <w:sz w:val="24"/>
              </w:rPr>
              <w:t>www.ccgp.gov.cn</w:t>
            </w:r>
            <w:r>
              <w:rPr>
                <w:rFonts w:hint="eastAsia" w:ascii="宋体" w:hAnsi="宋体" w:cs="宋体"/>
                <w:color w:val="auto"/>
                <w:kern w:val="0"/>
                <w:sz w:val="24"/>
              </w:rPr>
              <w:t>）查询企业的信用记录，列入“中国执行信息公开网”网站的“失信被执行人”、“信用中国”网站的</w:t>
            </w:r>
            <w:r>
              <w:rPr>
                <w:rFonts w:hint="eastAsia" w:ascii="宋体" w:hAnsi="宋体" w:cs="宋体"/>
                <w:color w:val="auto"/>
                <w:sz w:val="24"/>
              </w:rPr>
              <w:t>“重大税收违法失信主体”</w:t>
            </w:r>
            <w:r>
              <w:rPr>
                <w:rFonts w:hint="eastAsia" w:ascii="宋体" w:hAnsi="宋体" w:cs="宋体"/>
                <w:color w:val="auto"/>
                <w:kern w:val="0"/>
                <w:sz w:val="24"/>
              </w:rPr>
              <w:t>和“中国政府采购网”网站的“政府采购严重违法失信行为记录名单”及其他不符合《中华人民共和国政府采购法》第二十二条规定条件的</w:t>
            </w:r>
            <w:r>
              <w:rPr>
                <w:rFonts w:hint="eastAsia" w:ascii="宋体" w:hAnsi="宋体" w:cs="宋体"/>
                <w:color w:val="auto"/>
                <w:kern w:val="0"/>
                <w:sz w:val="24"/>
                <w:lang w:eastAsia="zh-CN"/>
              </w:rPr>
              <w:t>供应商</w:t>
            </w:r>
            <w:r>
              <w:rPr>
                <w:rFonts w:hint="eastAsia" w:ascii="宋体" w:hAnsi="宋体" w:cs="宋体"/>
                <w:color w:val="auto"/>
                <w:kern w:val="0"/>
                <w:sz w:val="24"/>
              </w:rPr>
              <w:t>，将拒绝参与本次政府采购活动</w:t>
            </w:r>
          </w:p>
        </w:tc>
      </w:tr>
    </w:tbl>
    <w:p w14:paraId="4D0131F2">
      <w:pPr>
        <w:pStyle w:val="7"/>
        <w:numPr>
          <w:ilvl w:val="0"/>
          <w:numId w:val="6"/>
        </w:numPr>
        <w:adjustRightInd w:val="0"/>
        <w:snapToGrid w:val="0"/>
        <w:outlineLvl w:val="1"/>
        <w:rPr>
          <w:rFonts w:ascii="宋体" w:cs="宋体"/>
          <w:color w:val="auto"/>
          <w:sz w:val="24"/>
          <w:szCs w:val="24"/>
        </w:rPr>
      </w:pPr>
      <w:bookmarkStart w:id="343" w:name="_Toc10488"/>
      <w:bookmarkStart w:id="344" w:name="_Toc21337"/>
      <w:bookmarkStart w:id="345" w:name="_Toc27325"/>
      <w:bookmarkStart w:id="346" w:name="_Toc2378"/>
      <w:bookmarkStart w:id="347" w:name="_Toc19241"/>
      <w:bookmarkStart w:id="348" w:name="_Toc16266"/>
      <w:bookmarkStart w:id="349" w:name="_Toc16607"/>
      <w:bookmarkStart w:id="350" w:name="_Toc465"/>
      <w:bookmarkStart w:id="351" w:name="_Toc16293"/>
      <w:bookmarkStart w:id="352" w:name="_Toc23399"/>
      <w:bookmarkStart w:id="353" w:name="_Toc1301"/>
      <w:bookmarkStart w:id="354" w:name="_Toc14304"/>
      <w:bookmarkStart w:id="355" w:name="_Toc25514"/>
      <w:r>
        <w:rPr>
          <w:rFonts w:hint="eastAsia" w:ascii="宋体" w:hAnsi="宋体" w:cs="宋体"/>
          <w:color w:val="auto"/>
          <w:sz w:val="24"/>
          <w:szCs w:val="24"/>
        </w:rPr>
        <w:t>资格审查</w:t>
      </w:r>
      <w:bookmarkEnd w:id="343"/>
      <w:bookmarkEnd w:id="344"/>
      <w:bookmarkEnd w:id="345"/>
      <w:bookmarkEnd w:id="346"/>
      <w:bookmarkEnd w:id="347"/>
      <w:bookmarkEnd w:id="348"/>
      <w:bookmarkEnd w:id="349"/>
      <w:bookmarkEnd w:id="350"/>
      <w:bookmarkEnd w:id="351"/>
      <w:bookmarkEnd w:id="352"/>
      <w:bookmarkEnd w:id="353"/>
      <w:bookmarkEnd w:id="354"/>
      <w:bookmarkEnd w:id="355"/>
    </w:p>
    <w:p w14:paraId="446F702E">
      <w:pPr>
        <w:adjustRightInd w:val="0"/>
        <w:snapToGrid w:val="0"/>
        <w:spacing w:line="360" w:lineRule="auto"/>
        <w:ind w:firstLine="480" w:firstLineChars="200"/>
        <w:rPr>
          <w:rFonts w:ascii="宋体" w:cs="宋体"/>
          <w:color w:val="auto"/>
          <w:sz w:val="24"/>
        </w:rPr>
      </w:pPr>
      <w:r>
        <w:rPr>
          <w:rFonts w:hint="eastAsia" w:ascii="宋体" w:hAnsi="宋体" w:cs="宋体"/>
          <w:color w:val="auto"/>
          <w:sz w:val="24"/>
        </w:rPr>
        <w:t>开标结束后，采购代理机构应当依法对</w:t>
      </w:r>
      <w:r>
        <w:rPr>
          <w:rFonts w:hint="eastAsia" w:ascii="宋体" w:hAnsi="宋体" w:cs="宋体"/>
          <w:color w:val="auto"/>
          <w:sz w:val="24"/>
          <w:lang w:eastAsia="zh-CN"/>
        </w:rPr>
        <w:t>供应商</w:t>
      </w:r>
      <w:r>
        <w:rPr>
          <w:rFonts w:hint="eastAsia" w:ascii="宋体" w:hAnsi="宋体" w:cs="宋体"/>
          <w:color w:val="auto"/>
          <w:sz w:val="24"/>
        </w:rPr>
        <w:t>的资格进行审查。</w:t>
      </w:r>
    </w:p>
    <w:p w14:paraId="5918A3B4">
      <w:pPr>
        <w:pStyle w:val="7"/>
        <w:numPr>
          <w:ilvl w:val="0"/>
          <w:numId w:val="6"/>
        </w:numPr>
        <w:adjustRightInd w:val="0"/>
        <w:snapToGrid w:val="0"/>
        <w:outlineLvl w:val="1"/>
        <w:rPr>
          <w:rFonts w:ascii="宋体" w:cs="宋体"/>
          <w:color w:val="auto"/>
          <w:sz w:val="24"/>
          <w:szCs w:val="24"/>
        </w:rPr>
      </w:pPr>
      <w:bookmarkStart w:id="356" w:name="_Toc8631"/>
      <w:bookmarkStart w:id="357" w:name="_Toc8280"/>
      <w:bookmarkStart w:id="358" w:name="_Toc24563"/>
      <w:bookmarkStart w:id="359" w:name="_Toc21593"/>
      <w:bookmarkStart w:id="360" w:name="_Toc20941"/>
      <w:bookmarkStart w:id="361" w:name="_Toc3310"/>
      <w:bookmarkStart w:id="362" w:name="_Toc18033"/>
      <w:bookmarkStart w:id="363" w:name="_Toc2610"/>
      <w:bookmarkStart w:id="364" w:name="_Toc12137"/>
      <w:bookmarkStart w:id="365" w:name="_Toc23230"/>
      <w:bookmarkStart w:id="366" w:name="_Toc29893"/>
      <w:bookmarkStart w:id="367" w:name="_Toc11542"/>
      <w:bookmarkStart w:id="368" w:name="_Toc13641"/>
      <w:r>
        <w:rPr>
          <w:rFonts w:hint="eastAsia" w:ascii="宋体" w:hAnsi="宋体" w:cs="宋体"/>
          <w:color w:val="auto"/>
          <w:sz w:val="24"/>
          <w:szCs w:val="24"/>
        </w:rPr>
        <w:t>资格审查标准</w:t>
      </w:r>
      <w:bookmarkEnd w:id="356"/>
      <w:bookmarkEnd w:id="357"/>
      <w:bookmarkEnd w:id="358"/>
      <w:bookmarkEnd w:id="359"/>
      <w:bookmarkEnd w:id="360"/>
      <w:bookmarkEnd w:id="361"/>
      <w:bookmarkEnd w:id="362"/>
      <w:bookmarkEnd w:id="363"/>
      <w:bookmarkEnd w:id="364"/>
      <w:bookmarkEnd w:id="365"/>
      <w:bookmarkEnd w:id="366"/>
      <w:bookmarkEnd w:id="367"/>
      <w:bookmarkEnd w:id="368"/>
    </w:p>
    <w:p w14:paraId="353004B3">
      <w:pPr>
        <w:autoSpaceDE w:val="0"/>
        <w:autoSpaceDN w:val="0"/>
        <w:adjustRightInd w:val="0"/>
        <w:snapToGrid w:val="0"/>
        <w:spacing w:line="360" w:lineRule="auto"/>
        <w:ind w:right="-20"/>
        <w:jc w:val="left"/>
        <w:rPr>
          <w:rFonts w:ascii="宋体" w:cs="宋体"/>
          <w:color w:val="auto"/>
          <w:sz w:val="24"/>
        </w:rPr>
      </w:pPr>
      <w:r>
        <w:rPr>
          <w:rFonts w:ascii="宋体" w:hAnsi="宋体" w:cs="宋体"/>
          <w:color w:val="auto"/>
          <w:kern w:val="0"/>
          <w:sz w:val="24"/>
        </w:rPr>
        <w:t xml:space="preserve">    </w:t>
      </w:r>
      <w:r>
        <w:rPr>
          <w:rFonts w:hint="eastAsia" w:ascii="宋体" w:hAnsi="宋体" w:cs="宋体"/>
          <w:color w:val="auto"/>
          <w:kern w:val="0"/>
          <w:sz w:val="24"/>
        </w:rPr>
        <w:t>资格审查标准：见资格审查前附表。</w:t>
      </w:r>
    </w:p>
    <w:p w14:paraId="519D763A">
      <w:pPr>
        <w:pStyle w:val="7"/>
        <w:numPr>
          <w:ilvl w:val="0"/>
          <w:numId w:val="6"/>
        </w:numPr>
        <w:adjustRightInd w:val="0"/>
        <w:snapToGrid w:val="0"/>
        <w:outlineLvl w:val="1"/>
        <w:rPr>
          <w:rFonts w:ascii="宋体" w:cs="宋体"/>
          <w:color w:val="auto"/>
          <w:sz w:val="24"/>
          <w:szCs w:val="24"/>
        </w:rPr>
      </w:pPr>
      <w:bookmarkStart w:id="369" w:name="_Toc25928"/>
      <w:bookmarkStart w:id="370" w:name="_Toc24096"/>
      <w:bookmarkStart w:id="371" w:name="_Toc14072"/>
      <w:bookmarkStart w:id="372" w:name="_Toc920"/>
      <w:bookmarkStart w:id="373" w:name="_Toc29847"/>
      <w:bookmarkStart w:id="374" w:name="_Toc13549"/>
      <w:bookmarkStart w:id="375" w:name="_Toc10180"/>
      <w:bookmarkStart w:id="376" w:name="_Toc16031"/>
      <w:bookmarkStart w:id="377" w:name="_Toc19383"/>
      <w:bookmarkStart w:id="378" w:name="_Toc32375"/>
      <w:bookmarkStart w:id="379" w:name="_Toc2029"/>
      <w:bookmarkStart w:id="380" w:name="_Toc2259"/>
      <w:bookmarkStart w:id="381" w:name="_Toc5940"/>
      <w:r>
        <w:rPr>
          <w:rFonts w:hint="eastAsia" w:ascii="宋体" w:hAnsi="宋体" w:cs="宋体"/>
          <w:color w:val="auto"/>
          <w:sz w:val="24"/>
          <w:szCs w:val="24"/>
        </w:rPr>
        <w:t>资格审查程序</w:t>
      </w:r>
      <w:bookmarkEnd w:id="369"/>
      <w:bookmarkEnd w:id="370"/>
      <w:bookmarkEnd w:id="371"/>
      <w:bookmarkEnd w:id="372"/>
      <w:bookmarkEnd w:id="373"/>
      <w:bookmarkEnd w:id="374"/>
      <w:bookmarkEnd w:id="375"/>
      <w:bookmarkEnd w:id="376"/>
      <w:bookmarkEnd w:id="377"/>
      <w:bookmarkEnd w:id="378"/>
      <w:bookmarkEnd w:id="379"/>
      <w:bookmarkEnd w:id="380"/>
      <w:bookmarkEnd w:id="381"/>
    </w:p>
    <w:p w14:paraId="6FE883A4">
      <w:pPr>
        <w:autoSpaceDE w:val="0"/>
        <w:autoSpaceDN w:val="0"/>
        <w:adjustRightInd w:val="0"/>
        <w:snapToGrid w:val="0"/>
        <w:spacing w:line="360" w:lineRule="auto"/>
        <w:ind w:right="40" w:firstLine="472" w:firstLineChars="200"/>
        <w:jc w:val="left"/>
        <w:rPr>
          <w:rFonts w:hint="eastAsia" w:ascii="宋体" w:hAnsi="宋体" w:cs="宋体"/>
          <w:color w:val="auto"/>
          <w:kern w:val="0"/>
          <w:sz w:val="24"/>
        </w:rPr>
      </w:pPr>
      <w:r>
        <w:rPr>
          <w:rFonts w:hint="eastAsia" w:ascii="宋体" w:hAnsi="宋体" w:cs="宋体"/>
          <w:color w:val="auto"/>
          <w:spacing w:val="-2"/>
          <w:kern w:val="0"/>
          <w:sz w:val="24"/>
        </w:rPr>
        <w:t>资格审查人员依</w:t>
      </w:r>
      <w:r>
        <w:rPr>
          <w:rFonts w:hint="eastAsia" w:ascii="宋体" w:hAnsi="宋体" w:cs="宋体"/>
          <w:color w:val="auto"/>
          <w:kern w:val="0"/>
          <w:sz w:val="24"/>
        </w:rPr>
        <w:t>据本</w:t>
      </w:r>
      <w:r>
        <w:rPr>
          <w:rFonts w:hint="eastAsia" w:ascii="宋体" w:hAnsi="宋体" w:cs="宋体"/>
          <w:color w:val="auto"/>
          <w:spacing w:val="-2"/>
          <w:kern w:val="0"/>
          <w:sz w:val="24"/>
        </w:rPr>
        <w:t>章</w:t>
      </w:r>
      <w:r>
        <w:rPr>
          <w:rFonts w:hint="eastAsia" w:ascii="宋体" w:hAnsi="宋体" w:cs="宋体"/>
          <w:color w:val="auto"/>
          <w:kern w:val="0"/>
          <w:sz w:val="24"/>
        </w:rPr>
        <w:t>资格审查前附表</w:t>
      </w:r>
      <w:r>
        <w:rPr>
          <w:rFonts w:hint="eastAsia" w:ascii="宋体" w:hAnsi="宋体" w:cs="宋体"/>
          <w:color w:val="auto"/>
          <w:spacing w:val="-2"/>
          <w:kern w:val="0"/>
          <w:sz w:val="24"/>
        </w:rPr>
        <w:t>规</w:t>
      </w:r>
      <w:r>
        <w:rPr>
          <w:rFonts w:hint="eastAsia" w:ascii="宋体" w:hAnsi="宋体" w:cs="宋体"/>
          <w:color w:val="auto"/>
          <w:kern w:val="0"/>
          <w:sz w:val="24"/>
        </w:rPr>
        <w:t>定</w:t>
      </w:r>
      <w:r>
        <w:rPr>
          <w:rFonts w:hint="eastAsia" w:ascii="宋体" w:hAnsi="宋体" w:cs="宋体"/>
          <w:color w:val="auto"/>
          <w:spacing w:val="-2"/>
          <w:kern w:val="0"/>
          <w:sz w:val="24"/>
        </w:rPr>
        <w:t>的标</w:t>
      </w:r>
      <w:r>
        <w:rPr>
          <w:rFonts w:hint="eastAsia" w:ascii="宋体" w:hAnsi="宋体" w:cs="宋体"/>
          <w:color w:val="auto"/>
          <w:kern w:val="0"/>
          <w:sz w:val="24"/>
        </w:rPr>
        <w:t>准对</w:t>
      </w:r>
      <w:r>
        <w:rPr>
          <w:rFonts w:hint="eastAsia" w:ascii="宋体" w:hAnsi="宋体" w:cs="宋体"/>
          <w:color w:val="auto"/>
          <w:spacing w:val="-2"/>
          <w:kern w:val="0"/>
          <w:sz w:val="24"/>
        </w:rPr>
        <w:t>投</w:t>
      </w:r>
      <w:r>
        <w:rPr>
          <w:rFonts w:hint="eastAsia" w:ascii="宋体" w:hAnsi="宋体" w:cs="宋体"/>
          <w:color w:val="auto"/>
          <w:kern w:val="0"/>
          <w:sz w:val="24"/>
        </w:rPr>
        <w:t>标</w:t>
      </w:r>
      <w:r>
        <w:rPr>
          <w:rFonts w:hint="eastAsia" w:ascii="宋体" w:hAnsi="宋体" w:cs="宋体"/>
          <w:color w:val="auto"/>
          <w:spacing w:val="-2"/>
          <w:kern w:val="0"/>
          <w:sz w:val="24"/>
        </w:rPr>
        <w:t>文</w:t>
      </w:r>
      <w:r>
        <w:rPr>
          <w:rFonts w:hint="eastAsia" w:ascii="宋体" w:hAnsi="宋体" w:cs="宋体"/>
          <w:color w:val="auto"/>
          <w:kern w:val="0"/>
          <w:sz w:val="24"/>
        </w:rPr>
        <w:t>件</w:t>
      </w:r>
      <w:r>
        <w:rPr>
          <w:rFonts w:hint="eastAsia" w:ascii="宋体" w:hAnsi="宋体" w:cs="宋体"/>
          <w:color w:val="auto"/>
          <w:spacing w:val="-2"/>
          <w:kern w:val="0"/>
          <w:sz w:val="24"/>
        </w:rPr>
        <w:t>进</w:t>
      </w:r>
      <w:r>
        <w:rPr>
          <w:rFonts w:hint="eastAsia" w:ascii="宋体" w:hAnsi="宋体" w:cs="宋体"/>
          <w:color w:val="auto"/>
          <w:kern w:val="0"/>
          <w:sz w:val="24"/>
        </w:rPr>
        <w:t>行</w:t>
      </w:r>
      <w:r>
        <w:rPr>
          <w:rFonts w:hint="eastAsia" w:ascii="宋体" w:hAnsi="宋体" w:cs="宋体"/>
          <w:color w:val="auto"/>
          <w:spacing w:val="-2"/>
          <w:kern w:val="0"/>
          <w:sz w:val="24"/>
        </w:rPr>
        <w:t>资</w:t>
      </w:r>
      <w:r>
        <w:rPr>
          <w:rFonts w:hint="eastAsia" w:ascii="宋体" w:hAnsi="宋体" w:cs="宋体"/>
          <w:color w:val="auto"/>
          <w:kern w:val="0"/>
          <w:sz w:val="24"/>
        </w:rPr>
        <w:t>格审查，以确定</w:t>
      </w:r>
      <w:r>
        <w:rPr>
          <w:rFonts w:hint="eastAsia" w:ascii="宋体" w:hAnsi="宋体" w:cs="宋体"/>
          <w:color w:val="auto"/>
          <w:kern w:val="0"/>
          <w:sz w:val="24"/>
          <w:lang w:eastAsia="zh-CN"/>
        </w:rPr>
        <w:t>供应商</w:t>
      </w:r>
      <w:r>
        <w:rPr>
          <w:rFonts w:hint="eastAsia" w:ascii="宋体" w:hAnsi="宋体" w:cs="宋体"/>
          <w:color w:val="auto"/>
          <w:kern w:val="0"/>
          <w:sz w:val="24"/>
        </w:rPr>
        <w:t>是否具备投标资格，有一项不符合评审标准的，资格审查人员应当认定其投标无效，合格</w:t>
      </w:r>
      <w:r>
        <w:rPr>
          <w:rFonts w:hint="eastAsia" w:ascii="宋体" w:hAnsi="宋体" w:cs="宋体"/>
          <w:color w:val="auto"/>
          <w:kern w:val="0"/>
          <w:sz w:val="24"/>
          <w:lang w:eastAsia="zh-CN"/>
        </w:rPr>
        <w:t>供应商</w:t>
      </w:r>
      <w:r>
        <w:rPr>
          <w:rFonts w:hint="eastAsia" w:ascii="宋体" w:hAnsi="宋体" w:cs="宋体"/>
          <w:color w:val="auto"/>
          <w:kern w:val="0"/>
          <w:sz w:val="24"/>
        </w:rPr>
        <w:t>不足</w:t>
      </w:r>
      <w:r>
        <w:rPr>
          <w:rFonts w:ascii="宋体" w:hAnsi="宋体" w:cs="宋体"/>
          <w:color w:val="auto"/>
          <w:kern w:val="0"/>
          <w:sz w:val="24"/>
        </w:rPr>
        <w:t>3</w:t>
      </w:r>
      <w:r>
        <w:rPr>
          <w:rFonts w:hint="eastAsia" w:ascii="宋体" w:hAnsi="宋体" w:cs="宋体"/>
          <w:color w:val="auto"/>
          <w:kern w:val="0"/>
          <w:sz w:val="24"/>
        </w:rPr>
        <w:t>家的，不得评标。</w:t>
      </w:r>
    </w:p>
    <w:p w14:paraId="157E4F0D">
      <w:pPr>
        <w:rPr>
          <w:rFonts w:hint="eastAsia" w:ascii="宋体" w:hAnsi="宋体" w:cs="宋体"/>
          <w:color w:val="auto"/>
          <w:kern w:val="0"/>
          <w:sz w:val="24"/>
        </w:rPr>
      </w:pPr>
      <w:r>
        <w:rPr>
          <w:rFonts w:hint="eastAsia" w:ascii="宋体" w:hAnsi="宋体" w:cs="宋体"/>
          <w:color w:val="auto"/>
          <w:kern w:val="0"/>
          <w:sz w:val="24"/>
        </w:rPr>
        <w:br w:type="page"/>
      </w:r>
    </w:p>
    <w:p w14:paraId="7A4495F5">
      <w:pPr>
        <w:pStyle w:val="5"/>
        <w:rPr>
          <w:rFonts w:ascii="宋体" w:hAnsi="宋体" w:eastAsia="宋体" w:cs="宋体"/>
          <w:b w:val="0"/>
          <w:snapToGrid w:val="0"/>
          <w:color w:val="000000"/>
          <w:spacing w:val="-1"/>
          <w:kern w:val="0"/>
          <w:sz w:val="32"/>
          <w:szCs w:val="32"/>
          <w:lang w:val="en-US" w:eastAsia="en-US" w:bidi="ar-SA"/>
          <w14:textOutline w14:w="5805">
            <w14:solidFill>
              <w14:srgbClr w14:val="000000"/>
            </w14:solidFill>
            <w14:prstDash w14:val="solid"/>
            <w14:miter w14:val="0"/>
          </w14:textOutline>
        </w:rPr>
      </w:pPr>
      <w:bookmarkStart w:id="382" w:name="_Toc4487"/>
      <w:bookmarkStart w:id="383" w:name="_Toc40112139"/>
      <w:bookmarkStart w:id="384" w:name="_Toc24147"/>
      <w:bookmarkStart w:id="385" w:name="_Toc9840"/>
      <w:r>
        <w:rPr>
          <w:rFonts w:hint="eastAsia" w:ascii="宋体" w:hAnsi="宋体" w:eastAsia="宋体" w:cs="宋体"/>
          <w:b w:val="0"/>
          <w:snapToGrid w:val="0"/>
          <w:color w:val="000000"/>
          <w:spacing w:val="-1"/>
          <w:kern w:val="0"/>
          <w:sz w:val="32"/>
          <w:szCs w:val="32"/>
          <w:lang w:val="en-US" w:eastAsia="en-US" w:bidi="ar-SA"/>
          <w14:textOutline w14:w="5805">
            <w14:solidFill>
              <w14:srgbClr w14:val="000000"/>
            </w14:solidFill>
            <w14:prstDash w14:val="solid"/>
            <w14:miter w14:val="0"/>
          </w14:textOutline>
        </w:rPr>
        <w:t>第四章</w:t>
      </w:r>
      <w:r>
        <w:rPr>
          <w:rFonts w:ascii="宋体" w:hAnsi="宋体" w:eastAsia="宋体" w:cs="宋体"/>
          <w:b w:val="0"/>
          <w:snapToGrid w:val="0"/>
          <w:color w:val="000000"/>
          <w:spacing w:val="-1"/>
          <w:kern w:val="0"/>
          <w:sz w:val="32"/>
          <w:szCs w:val="32"/>
          <w:lang w:val="en-US" w:eastAsia="en-US" w:bidi="ar-SA"/>
          <w14:textOutline w14:w="5805">
            <w14:solidFill>
              <w14:srgbClr w14:val="000000"/>
            </w14:solidFill>
            <w14:prstDash w14:val="solid"/>
            <w14:miter w14:val="0"/>
          </w14:textOutline>
        </w:rPr>
        <w:t xml:space="preserve">  </w:t>
      </w:r>
      <w:r>
        <w:rPr>
          <w:rFonts w:hint="eastAsia" w:ascii="宋体" w:hAnsi="宋体" w:eastAsia="宋体" w:cs="宋体"/>
          <w:b w:val="0"/>
          <w:snapToGrid w:val="0"/>
          <w:color w:val="000000"/>
          <w:spacing w:val="-1"/>
          <w:kern w:val="0"/>
          <w:sz w:val="32"/>
          <w:szCs w:val="32"/>
          <w:lang w:val="en-US" w:eastAsia="en-US" w:bidi="ar-SA"/>
          <w14:textOutline w14:w="5805">
            <w14:solidFill>
              <w14:srgbClr w14:val="000000"/>
            </w14:solidFill>
            <w14:prstDash w14:val="solid"/>
            <w14:miter w14:val="0"/>
          </w14:textOutline>
        </w:rPr>
        <w:t>评标办法（综合评分法）</w:t>
      </w:r>
      <w:bookmarkEnd w:id="382"/>
      <w:bookmarkEnd w:id="383"/>
      <w:bookmarkEnd w:id="384"/>
      <w:bookmarkEnd w:id="385"/>
    </w:p>
    <w:p w14:paraId="756C16DD">
      <w:pPr>
        <w:keepNext/>
        <w:keepLines/>
        <w:spacing w:line="360" w:lineRule="auto"/>
        <w:ind w:left="482"/>
        <w:jc w:val="center"/>
        <w:outlineLvl w:val="1"/>
        <w:rPr>
          <w:color w:val="auto"/>
        </w:rPr>
      </w:pPr>
      <w:bookmarkStart w:id="386" w:name="_Toc4734"/>
      <w:bookmarkStart w:id="387" w:name="_Toc6633"/>
      <w:bookmarkStart w:id="388" w:name="_Toc16487"/>
      <w:bookmarkStart w:id="389" w:name="_Toc23659"/>
      <w:bookmarkStart w:id="390" w:name="_Toc16950"/>
      <w:bookmarkStart w:id="391" w:name="_Toc31081"/>
      <w:bookmarkStart w:id="392" w:name="_Toc1534"/>
      <w:bookmarkStart w:id="393" w:name="_Toc16535"/>
      <w:bookmarkStart w:id="394" w:name="_Toc22753"/>
      <w:bookmarkStart w:id="395" w:name="_Toc22649"/>
      <w:bookmarkStart w:id="396" w:name="_Toc12415"/>
      <w:bookmarkStart w:id="397" w:name="_Toc14114"/>
      <w:r>
        <w:rPr>
          <w:rFonts w:hint="eastAsia" w:ascii="宋体" w:hAnsi="宋体" w:cs="宋体"/>
          <w:b/>
          <w:bCs/>
          <w:color w:val="auto"/>
          <w:sz w:val="30"/>
          <w:szCs w:val="30"/>
        </w:rPr>
        <w:t>评标办法前附表</w:t>
      </w:r>
      <w:bookmarkEnd w:id="386"/>
      <w:bookmarkEnd w:id="387"/>
      <w:bookmarkEnd w:id="388"/>
      <w:bookmarkEnd w:id="389"/>
      <w:bookmarkEnd w:id="390"/>
      <w:bookmarkEnd w:id="391"/>
      <w:bookmarkEnd w:id="392"/>
      <w:bookmarkEnd w:id="393"/>
      <w:bookmarkEnd w:id="394"/>
      <w:bookmarkEnd w:id="395"/>
      <w:bookmarkEnd w:id="396"/>
      <w:bookmarkEnd w:id="397"/>
    </w:p>
    <w:tbl>
      <w:tblPr>
        <w:tblStyle w:val="1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131"/>
        <w:gridCol w:w="1026"/>
        <w:gridCol w:w="1528"/>
        <w:gridCol w:w="5738"/>
      </w:tblGrid>
      <w:tr w14:paraId="249E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exact"/>
          <w:jc w:val="center"/>
        </w:trPr>
        <w:tc>
          <w:tcPr>
            <w:tcW w:w="1104" w:type="pct"/>
            <w:gridSpan w:val="3"/>
            <w:vAlign w:val="center"/>
          </w:tcPr>
          <w:p w14:paraId="10F5CE94">
            <w:pPr>
              <w:widowControl/>
              <w:adjustRightInd w:val="0"/>
              <w:snapToGrid w:val="0"/>
              <w:spacing w:line="360" w:lineRule="auto"/>
              <w:jc w:val="center"/>
              <w:rPr>
                <w:rFonts w:ascii="宋体" w:cs="宋体"/>
                <w:b/>
                <w:bCs/>
                <w:color w:val="auto"/>
                <w:sz w:val="24"/>
              </w:rPr>
            </w:pPr>
            <w:r>
              <w:rPr>
                <w:rFonts w:hint="eastAsia" w:ascii="宋体" w:hAnsi="宋体" w:cs="宋体"/>
                <w:b/>
                <w:bCs/>
                <w:color w:val="auto"/>
                <w:sz w:val="24"/>
              </w:rPr>
              <w:t>条款号</w:t>
            </w:r>
          </w:p>
        </w:tc>
        <w:tc>
          <w:tcPr>
            <w:tcW w:w="819" w:type="pct"/>
            <w:vAlign w:val="center"/>
          </w:tcPr>
          <w:p w14:paraId="3ADFF79D">
            <w:pPr>
              <w:autoSpaceDE w:val="0"/>
              <w:autoSpaceDN w:val="0"/>
              <w:adjustRightInd w:val="0"/>
              <w:snapToGrid w:val="0"/>
              <w:spacing w:line="360" w:lineRule="auto"/>
              <w:ind w:left="38" w:leftChars="18"/>
              <w:jc w:val="center"/>
              <w:rPr>
                <w:rFonts w:ascii="宋体" w:cs="宋体"/>
                <w:b/>
                <w:bCs/>
                <w:color w:val="auto"/>
                <w:kern w:val="0"/>
                <w:sz w:val="24"/>
              </w:rPr>
            </w:pPr>
            <w:r>
              <w:rPr>
                <w:rFonts w:hint="eastAsia" w:ascii="宋体" w:hAnsi="宋体" w:cs="宋体"/>
                <w:b/>
                <w:bCs/>
                <w:color w:val="auto"/>
                <w:kern w:val="0"/>
                <w:sz w:val="24"/>
              </w:rPr>
              <w:t>评审因素</w:t>
            </w:r>
          </w:p>
        </w:tc>
        <w:tc>
          <w:tcPr>
            <w:tcW w:w="3076" w:type="pct"/>
            <w:vAlign w:val="center"/>
          </w:tcPr>
          <w:p w14:paraId="6D4867F2">
            <w:pPr>
              <w:autoSpaceDE w:val="0"/>
              <w:autoSpaceDN w:val="0"/>
              <w:adjustRightInd w:val="0"/>
              <w:snapToGrid w:val="0"/>
              <w:spacing w:line="360" w:lineRule="auto"/>
              <w:ind w:left="38" w:leftChars="18"/>
              <w:jc w:val="center"/>
              <w:rPr>
                <w:rFonts w:ascii="宋体" w:cs="宋体"/>
                <w:b/>
                <w:bCs/>
                <w:color w:val="auto"/>
                <w:sz w:val="24"/>
              </w:rPr>
            </w:pPr>
            <w:r>
              <w:rPr>
                <w:rFonts w:hint="eastAsia" w:ascii="宋体" w:hAnsi="宋体" w:cs="宋体"/>
                <w:b/>
                <w:bCs/>
                <w:color w:val="auto"/>
                <w:kern w:val="0"/>
                <w:sz w:val="24"/>
              </w:rPr>
              <w:t>评审标准</w:t>
            </w:r>
          </w:p>
        </w:tc>
      </w:tr>
      <w:tr w14:paraId="26BE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exact"/>
          <w:jc w:val="center"/>
        </w:trPr>
        <w:tc>
          <w:tcPr>
            <w:tcW w:w="554" w:type="pct"/>
            <w:gridSpan w:val="2"/>
            <w:vMerge w:val="restart"/>
            <w:vAlign w:val="center"/>
          </w:tcPr>
          <w:p w14:paraId="0963B99A">
            <w:pPr>
              <w:widowControl/>
              <w:adjustRightInd w:val="0"/>
              <w:snapToGrid w:val="0"/>
              <w:spacing w:line="360" w:lineRule="auto"/>
              <w:jc w:val="center"/>
              <w:rPr>
                <w:rFonts w:ascii="宋体" w:cs="宋体"/>
                <w:color w:val="auto"/>
                <w:kern w:val="0"/>
                <w:sz w:val="24"/>
              </w:rPr>
            </w:pPr>
            <w:r>
              <w:rPr>
                <w:rFonts w:ascii="宋体" w:hAnsi="宋体" w:cs="宋体"/>
                <w:color w:val="auto"/>
                <w:kern w:val="0"/>
                <w:sz w:val="24"/>
              </w:rPr>
              <w:t>2.1.1</w:t>
            </w:r>
          </w:p>
        </w:tc>
        <w:tc>
          <w:tcPr>
            <w:tcW w:w="549" w:type="pct"/>
            <w:vMerge w:val="restart"/>
            <w:vAlign w:val="center"/>
          </w:tcPr>
          <w:p w14:paraId="53629A70">
            <w:pPr>
              <w:widowControl/>
              <w:adjustRightInd w:val="0"/>
              <w:snapToGrid w:val="0"/>
              <w:spacing w:line="360" w:lineRule="auto"/>
              <w:jc w:val="center"/>
              <w:rPr>
                <w:rFonts w:ascii="宋体" w:cs="宋体"/>
                <w:color w:val="auto"/>
                <w:kern w:val="0"/>
                <w:sz w:val="24"/>
              </w:rPr>
            </w:pPr>
            <w:r>
              <w:rPr>
                <w:rFonts w:hint="eastAsia" w:ascii="宋体" w:hAnsi="宋体" w:cs="宋体"/>
                <w:color w:val="auto"/>
                <w:kern w:val="0"/>
                <w:sz w:val="24"/>
              </w:rPr>
              <w:t>形式</w:t>
            </w:r>
          </w:p>
          <w:p w14:paraId="1822ED7E">
            <w:pPr>
              <w:widowControl/>
              <w:adjustRightInd w:val="0"/>
              <w:snapToGrid w:val="0"/>
              <w:spacing w:line="360" w:lineRule="auto"/>
              <w:jc w:val="center"/>
              <w:rPr>
                <w:rFonts w:ascii="宋体" w:cs="宋体"/>
                <w:color w:val="auto"/>
                <w:kern w:val="0"/>
                <w:sz w:val="24"/>
              </w:rPr>
            </w:pPr>
            <w:r>
              <w:rPr>
                <w:rFonts w:hint="eastAsia" w:ascii="宋体" w:hAnsi="宋体" w:cs="宋体"/>
                <w:color w:val="auto"/>
                <w:kern w:val="0"/>
                <w:sz w:val="24"/>
              </w:rPr>
              <w:t>评审</w:t>
            </w:r>
          </w:p>
        </w:tc>
        <w:tc>
          <w:tcPr>
            <w:tcW w:w="819" w:type="pct"/>
            <w:vAlign w:val="center"/>
          </w:tcPr>
          <w:p w14:paraId="2334B075">
            <w:pPr>
              <w:widowControl/>
              <w:adjustRightInd w:val="0"/>
              <w:snapToGrid w:val="0"/>
              <w:spacing w:line="400" w:lineRule="exact"/>
              <w:jc w:val="center"/>
              <w:rPr>
                <w:rFonts w:ascii="宋体" w:cs="宋体"/>
                <w:color w:val="auto"/>
                <w:kern w:val="0"/>
                <w:sz w:val="24"/>
              </w:rPr>
            </w:pPr>
            <w:r>
              <w:rPr>
                <w:rFonts w:hint="eastAsia" w:ascii="宋体" w:hAnsi="宋体" w:cs="宋体"/>
                <w:color w:val="auto"/>
                <w:kern w:val="0"/>
                <w:sz w:val="24"/>
              </w:rPr>
              <w:t>投标文件签署、盖章</w:t>
            </w:r>
          </w:p>
        </w:tc>
        <w:tc>
          <w:tcPr>
            <w:tcW w:w="3076" w:type="pct"/>
            <w:vAlign w:val="center"/>
          </w:tcPr>
          <w:p w14:paraId="51DC9D81">
            <w:pPr>
              <w:widowControl/>
              <w:adjustRightInd w:val="0"/>
              <w:snapToGrid w:val="0"/>
              <w:spacing w:line="400" w:lineRule="exact"/>
              <w:jc w:val="center"/>
              <w:rPr>
                <w:rFonts w:ascii="宋体" w:cs="宋体"/>
                <w:color w:val="auto"/>
                <w:kern w:val="0"/>
                <w:sz w:val="24"/>
              </w:rPr>
            </w:pPr>
            <w:r>
              <w:rPr>
                <w:rFonts w:hint="eastAsia" w:ascii="宋体" w:hAnsi="宋体" w:cs="宋体"/>
                <w:color w:val="auto"/>
                <w:sz w:val="24"/>
              </w:rPr>
              <w:t>投标文件按招标文件要求签署、盖章</w:t>
            </w:r>
          </w:p>
        </w:tc>
      </w:tr>
      <w:tr w14:paraId="6208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exact"/>
          <w:jc w:val="center"/>
        </w:trPr>
        <w:tc>
          <w:tcPr>
            <w:tcW w:w="554" w:type="pct"/>
            <w:gridSpan w:val="2"/>
            <w:vMerge w:val="continue"/>
            <w:vAlign w:val="center"/>
          </w:tcPr>
          <w:p w14:paraId="5119C48E">
            <w:pPr>
              <w:widowControl/>
              <w:adjustRightInd w:val="0"/>
              <w:snapToGrid w:val="0"/>
              <w:spacing w:line="360" w:lineRule="auto"/>
              <w:jc w:val="center"/>
              <w:rPr>
                <w:rFonts w:ascii="宋体" w:cs="宋体"/>
                <w:color w:val="auto"/>
                <w:kern w:val="0"/>
                <w:sz w:val="24"/>
              </w:rPr>
            </w:pPr>
          </w:p>
        </w:tc>
        <w:tc>
          <w:tcPr>
            <w:tcW w:w="549" w:type="pct"/>
            <w:vMerge w:val="continue"/>
            <w:vAlign w:val="center"/>
          </w:tcPr>
          <w:p w14:paraId="73C4E86D">
            <w:pPr>
              <w:widowControl/>
              <w:adjustRightInd w:val="0"/>
              <w:snapToGrid w:val="0"/>
              <w:spacing w:line="360" w:lineRule="auto"/>
              <w:jc w:val="center"/>
              <w:rPr>
                <w:rFonts w:ascii="宋体" w:cs="宋体"/>
                <w:color w:val="auto"/>
                <w:kern w:val="0"/>
                <w:sz w:val="24"/>
              </w:rPr>
            </w:pPr>
          </w:p>
        </w:tc>
        <w:tc>
          <w:tcPr>
            <w:tcW w:w="819" w:type="pct"/>
            <w:vAlign w:val="center"/>
          </w:tcPr>
          <w:p w14:paraId="53A0D249">
            <w:pPr>
              <w:widowControl/>
              <w:adjustRightInd w:val="0"/>
              <w:snapToGrid w:val="0"/>
              <w:spacing w:line="400" w:lineRule="exact"/>
              <w:jc w:val="center"/>
              <w:rPr>
                <w:rFonts w:ascii="宋体" w:cs="宋体"/>
                <w:color w:val="auto"/>
                <w:kern w:val="0"/>
                <w:sz w:val="24"/>
              </w:rPr>
            </w:pPr>
            <w:r>
              <w:rPr>
                <w:rFonts w:hint="eastAsia" w:ascii="宋体" w:hAnsi="宋体" w:cs="宋体"/>
                <w:color w:val="auto"/>
                <w:kern w:val="0"/>
                <w:sz w:val="24"/>
              </w:rPr>
              <w:t>投标文件格式</w:t>
            </w:r>
          </w:p>
        </w:tc>
        <w:tc>
          <w:tcPr>
            <w:tcW w:w="3076" w:type="pct"/>
            <w:vAlign w:val="center"/>
          </w:tcPr>
          <w:p w14:paraId="5B7DF13C">
            <w:pPr>
              <w:widowControl/>
              <w:adjustRightInd w:val="0"/>
              <w:snapToGrid w:val="0"/>
              <w:spacing w:line="400" w:lineRule="exact"/>
              <w:jc w:val="center"/>
              <w:rPr>
                <w:rFonts w:ascii="宋体" w:cs="宋体"/>
                <w:color w:val="auto"/>
                <w:kern w:val="0"/>
                <w:sz w:val="24"/>
              </w:rPr>
            </w:pPr>
            <w:r>
              <w:rPr>
                <w:rFonts w:hint="eastAsia" w:ascii="宋体" w:hAnsi="宋体" w:cs="宋体"/>
                <w:color w:val="auto"/>
                <w:kern w:val="0"/>
                <w:sz w:val="24"/>
              </w:rPr>
              <w:t>符合招标文件中提供的投标文件格式</w:t>
            </w:r>
          </w:p>
        </w:tc>
      </w:tr>
      <w:tr w14:paraId="1AB1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554" w:type="pct"/>
            <w:gridSpan w:val="2"/>
            <w:vMerge w:val="continue"/>
            <w:vAlign w:val="center"/>
          </w:tcPr>
          <w:p w14:paraId="2486235A">
            <w:pPr>
              <w:widowControl/>
              <w:adjustRightInd w:val="0"/>
              <w:snapToGrid w:val="0"/>
              <w:spacing w:line="360" w:lineRule="auto"/>
              <w:jc w:val="center"/>
              <w:rPr>
                <w:rFonts w:ascii="宋体" w:cs="宋体"/>
                <w:color w:val="auto"/>
                <w:kern w:val="0"/>
                <w:sz w:val="24"/>
              </w:rPr>
            </w:pPr>
          </w:p>
        </w:tc>
        <w:tc>
          <w:tcPr>
            <w:tcW w:w="549" w:type="pct"/>
            <w:vMerge w:val="continue"/>
            <w:vAlign w:val="center"/>
          </w:tcPr>
          <w:p w14:paraId="3B4954D7">
            <w:pPr>
              <w:widowControl/>
              <w:adjustRightInd w:val="0"/>
              <w:snapToGrid w:val="0"/>
              <w:spacing w:line="360" w:lineRule="auto"/>
              <w:jc w:val="center"/>
              <w:rPr>
                <w:rFonts w:ascii="宋体" w:cs="宋体"/>
                <w:color w:val="auto"/>
                <w:kern w:val="0"/>
                <w:sz w:val="24"/>
              </w:rPr>
            </w:pPr>
          </w:p>
        </w:tc>
        <w:tc>
          <w:tcPr>
            <w:tcW w:w="819" w:type="pct"/>
            <w:vAlign w:val="center"/>
          </w:tcPr>
          <w:p w14:paraId="5D15D2EE">
            <w:pPr>
              <w:widowControl/>
              <w:adjustRightInd w:val="0"/>
              <w:snapToGrid w:val="0"/>
              <w:spacing w:line="400" w:lineRule="exact"/>
              <w:jc w:val="center"/>
              <w:rPr>
                <w:rFonts w:ascii="宋体" w:cs="宋体"/>
                <w:color w:val="auto"/>
                <w:kern w:val="0"/>
                <w:sz w:val="24"/>
              </w:rPr>
            </w:pPr>
            <w:r>
              <w:rPr>
                <w:rFonts w:hint="eastAsia" w:ascii="宋体" w:hAnsi="宋体" w:cs="宋体"/>
                <w:color w:val="auto"/>
                <w:kern w:val="0"/>
                <w:sz w:val="24"/>
              </w:rPr>
              <w:t>总报价唯一</w:t>
            </w:r>
          </w:p>
        </w:tc>
        <w:tc>
          <w:tcPr>
            <w:tcW w:w="3076" w:type="pct"/>
            <w:vAlign w:val="center"/>
          </w:tcPr>
          <w:p w14:paraId="2BF6F4D8">
            <w:pPr>
              <w:widowControl/>
              <w:adjustRightInd w:val="0"/>
              <w:snapToGrid w:val="0"/>
              <w:spacing w:line="400" w:lineRule="exact"/>
              <w:jc w:val="center"/>
              <w:rPr>
                <w:rFonts w:ascii="宋体" w:cs="宋体"/>
                <w:color w:val="auto"/>
                <w:kern w:val="0"/>
                <w:sz w:val="24"/>
              </w:rPr>
            </w:pPr>
            <w:r>
              <w:rPr>
                <w:rFonts w:hint="eastAsia" w:ascii="宋体" w:hAnsi="宋体" w:cs="宋体"/>
                <w:color w:val="auto"/>
                <w:kern w:val="0"/>
                <w:sz w:val="24"/>
              </w:rPr>
              <w:t>只能有一个有效报价</w:t>
            </w:r>
          </w:p>
        </w:tc>
      </w:tr>
      <w:tr w14:paraId="624D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exact"/>
          <w:jc w:val="center"/>
        </w:trPr>
        <w:tc>
          <w:tcPr>
            <w:tcW w:w="554" w:type="pct"/>
            <w:gridSpan w:val="2"/>
            <w:vMerge w:val="continue"/>
            <w:vAlign w:val="center"/>
          </w:tcPr>
          <w:p w14:paraId="613CD771">
            <w:pPr>
              <w:widowControl/>
              <w:adjustRightInd w:val="0"/>
              <w:snapToGrid w:val="0"/>
              <w:spacing w:line="360" w:lineRule="auto"/>
              <w:jc w:val="center"/>
              <w:rPr>
                <w:rFonts w:ascii="宋体" w:cs="宋体"/>
                <w:color w:val="auto"/>
                <w:kern w:val="0"/>
                <w:sz w:val="24"/>
              </w:rPr>
            </w:pPr>
          </w:p>
        </w:tc>
        <w:tc>
          <w:tcPr>
            <w:tcW w:w="549" w:type="pct"/>
            <w:vMerge w:val="continue"/>
            <w:vAlign w:val="center"/>
          </w:tcPr>
          <w:p w14:paraId="26456373">
            <w:pPr>
              <w:widowControl/>
              <w:adjustRightInd w:val="0"/>
              <w:snapToGrid w:val="0"/>
              <w:spacing w:line="360" w:lineRule="auto"/>
              <w:jc w:val="center"/>
              <w:rPr>
                <w:rFonts w:ascii="宋体" w:cs="宋体"/>
                <w:color w:val="auto"/>
                <w:kern w:val="0"/>
                <w:sz w:val="24"/>
              </w:rPr>
            </w:pPr>
          </w:p>
        </w:tc>
        <w:tc>
          <w:tcPr>
            <w:tcW w:w="819" w:type="pct"/>
            <w:vAlign w:val="center"/>
          </w:tcPr>
          <w:p w14:paraId="593274AF">
            <w:pPr>
              <w:widowControl/>
              <w:adjustRightInd w:val="0"/>
              <w:snapToGrid w:val="0"/>
              <w:spacing w:line="400" w:lineRule="exact"/>
              <w:jc w:val="center"/>
              <w:rPr>
                <w:rFonts w:ascii="宋体" w:cs="宋体"/>
                <w:color w:val="auto"/>
                <w:kern w:val="0"/>
                <w:sz w:val="24"/>
              </w:rPr>
            </w:pPr>
            <w:r>
              <w:rPr>
                <w:rFonts w:hint="eastAsia" w:ascii="宋体" w:hAnsi="宋体" w:cs="宋体"/>
                <w:color w:val="auto"/>
                <w:kern w:val="0"/>
                <w:sz w:val="24"/>
              </w:rPr>
              <w:t>投标报价</w:t>
            </w:r>
          </w:p>
        </w:tc>
        <w:tc>
          <w:tcPr>
            <w:tcW w:w="3076" w:type="pct"/>
            <w:vAlign w:val="center"/>
          </w:tcPr>
          <w:p w14:paraId="6B922933">
            <w:pPr>
              <w:widowControl/>
              <w:adjustRightInd w:val="0"/>
              <w:snapToGrid w:val="0"/>
              <w:spacing w:line="400" w:lineRule="exact"/>
              <w:jc w:val="center"/>
              <w:rPr>
                <w:rFonts w:ascii="宋体" w:cs="宋体"/>
                <w:color w:val="auto"/>
                <w:kern w:val="0"/>
                <w:sz w:val="24"/>
              </w:rPr>
            </w:pPr>
            <w:r>
              <w:rPr>
                <w:rFonts w:hint="eastAsia" w:ascii="宋体" w:hAnsi="宋体" w:cs="宋体"/>
                <w:color w:val="auto"/>
                <w:kern w:val="0"/>
                <w:sz w:val="24"/>
                <w:lang w:eastAsia="zh-CN"/>
              </w:rPr>
              <w:t>供应商</w:t>
            </w:r>
            <w:r>
              <w:rPr>
                <w:rFonts w:hint="eastAsia" w:ascii="宋体" w:hAnsi="宋体" w:cs="宋体"/>
                <w:color w:val="auto"/>
                <w:kern w:val="0"/>
                <w:sz w:val="24"/>
              </w:rPr>
              <w:t>所投标包投标总报价不可超过所投标包最高限价，且该标包中各单品报价不得超过单品最高限价</w:t>
            </w:r>
          </w:p>
        </w:tc>
      </w:tr>
      <w:tr w14:paraId="38DF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exact"/>
          <w:jc w:val="center"/>
        </w:trPr>
        <w:tc>
          <w:tcPr>
            <w:tcW w:w="554" w:type="pct"/>
            <w:gridSpan w:val="2"/>
            <w:vMerge w:val="restart"/>
            <w:vAlign w:val="center"/>
          </w:tcPr>
          <w:p w14:paraId="1A172C0E">
            <w:pPr>
              <w:widowControl/>
              <w:adjustRightInd w:val="0"/>
              <w:snapToGrid w:val="0"/>
              <w:spacing w:line="360" w:lineRule="auto"/>
              <w:jc w:val="center"/>
              <w:rPr>
                <w:rFonts w:ascii="宋体" w:cs="宋体"/>
                <w:color w:val="auto"/>
                <w:kern w:val="0"/>
                <w:sz w:val="24"/>
              </w:rPr>
            </w:pPr>
            <w:r>
              <w:rPr>
                <w:rFonts w:ascii="宋体" w:hAnsi="宋体" w:cs="宋体"/>
                <w:color w:val="auto"/>
                <w:kern w:val="0"/>
                <w:sz w:val="24"/>
              </w:rPr>
              <w:t>2.1.2</w:t>
            </w:r>
          </w:p>
        </w:tc>
        <w:tc>
          <w:tcPr>
            <w:tcW w:w="549" w:type="pct"/>
            <w:vMerge w:val="restart"/>
            <w:vAlign w:val="center"/>
          </w:tcPr>
          <w:p w14:paraId="63DC54C1">
            <w:pPr>
              <w:widowControl/>
              <w:adjustRightInd w:val="0"/>
              <w:snapToGrid w:val="0"/>
              <w:spacing w:line="360" w:lineRule="auto"/>
              <w:jc w:val="center"/>
              <w:rPr>
                <w:rFonts w:ascii="宋体" w:cs="宋体"/>
                <w:color w:val="auto"/>
                <w:kern w:val="0"/>
                <w:sz w:val="24"/>
              </w:rPr>
            </w:pPr>
            <w:r>
              <w:rPr>
                <w:rFonts w:hint="eastAsia" w:ascii="宋体" w:hAnsi="宋体" w:cs="宋体"/>
                <w:color w:val="auto"/>
                <w:sz w:val="24"/>
              </w:rPr>
              <w:t>符合性审查</w:t>
            </w:r>
            <w:r>
              <w:rPr>
                <w:rFonts w:hint="eastAsia" w:ascii="宋体" w:hAnsi="宋体" w:cs="宋体"/>
                <w:color w:val="auto"/>
                <w:kern w:val="0"/>
                <w:sz w:val="24"/>
              </w:rPr>
              <w:t>标准</w:t>
            </w:r>
          </w:p>
        </w:tc>
        <w:tc>
          <w:tcPr>
            <w:tcW w:w="819" w:type="pct"/>
            <w:vAlign w:val="center"/>
          </w:tcPr>
          <w:p w14:paraId="785C6B57">
            <w:pPr>
              <w:widowControl/>
              <w:adjustRightInd w:val="0"/>
              <w:snapToGrid w:val="0"/>
              <w:spacing w:line="400" w:lineRule="exact"/>
              <w:jc w:val="center"/>
              <w:rPr>
                <w:rFonts w:ascii="宋体" w:cs="宋体"/>
                <w:color w:val="auto"/>
                <w:kern w:val="0"/>
                <w:sz w:val="24"/>
              </w:rPr>
            </w:pPr>
            <w:r>
              <w:rPr>
                <w:rFonts w:hint="eastAsia" w:ascii="宋体" w:hAnsi="宋体" w:cs="宋体"/>
                <w:color w:val="auto"/>
                <w:kern w:val="0"/>
                <w:sz w:val="24"/>
              </w:rPr>
              <w:t>交货期</w:t>
            </w:r>
          </w:p>
        </w:tc>
        <w:tc>
          <w:tcPr>
            <w:tcW w:w="3076" w:type="pct"/>
            <w:vAlign w:val="center"/>
          </w:tcPr>
          <w:p w14:paraId="74CFFBC4">
            <w:pPr>
              <w:widowControl/>
              <w:adjustRightInd w:val="0"/>
              <w:snapToGrid w:val="0"/>
              <w:spacing w:line="400" w:lineRule="exact"/>
              <w:jc w:val="center"/>
              <w:rPr>
                <w:rFonts w:ascii="宋体" w:cs="宋体"/>
                <w:color w:val="auto"/>
                <w:kern w:val="0"/>
                <w:sz w:val="24"/>
              </w:rPr>
            </w:pPr>
            <w:r>
              <w:rPr>
                <w:rFonts w:hint="eastAsia" w:ascii="宋体" w:hAnsi="宋体" w:cs="宋体"/>
                <w:color w:val="auto"/>
                <w:kern w:val="0"/>
                <w:sz w:val="24"/>
              </w:rPr>
              <w:t>符合第二章“</w:t>
            </w:r>
            <w:r>
              <w:rPr>
                <w:rFonts w:hint="eastAsia" w:ascii="宋体" w:hAnsi="宋体" w:cs="宋体"/>
                <w:color w:val="auto"/>
                <w:kern w:val="0"/>
                <w:sz w:val="24"/>
                <w:lang w:eastAsia="zh-CN"/>
              </w:rPr>
              <w:t>供应商</w:t>
            </w:r>
            <w:r>
              <w:rPr>
                <w:rFonts w:hint="eastAsia" w:ascii="宋体" w:hAnsi="宋体" w:cs="宋体"/>
                <w:color w:val="auto"/>
                <w:kern w:val="0"/>
                <w:sz w:val="24"/>
              </w:rPr>
              <w:t>须知前附表”第</w:t>
            </w:r>
            <w:r>
              <w:rPr>
                <w:rFonts w:hint="eastAsia" w:ascii="宋体" w:hAnsi="宋体" w:cs="宋体"/>
                <w:color w:val="auto"/>
                <w:kern w:val="0"/>
                <w:sz w:val="24"/>
                <w:lang w:val="en-US" w:eastAsia="zh-CN"/>
              </w:rPr>
              <w:t>8</w:t>
            </w:r>
            <w:r>
              <w:rPr>
                <w:rFonts w:hint="eastAsia" w:ascii="宋体" w:hAnsi="宋体" w:cs="宋体"/>
                <w:color w:val="auto"/>
                <w:kern w:val="0"/>
                <w:sz w:val="24"/>
              </w:rPr>
              <w:t>项规定</w:t>
            </w:r>
          </w:p>
        </w:tc>
      </w:tr>
      <w:tr w14:paraId="5812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exact"/>
          <w:jc w:val="center"/>
        </w:trPr>
        <w:tc>
          <w:tcPr>
            <w:tcW w:w="554" w:type="pct"/>
            <w:gridSpan w:val="2"/>
            <w:vMerge w:val="continue"/>
            <w:vAlign w:val="center"/>
          </w:tcPr>
          <w:p w14:paraId="20527BAE">
            <w:pPr>
              <w:widowControl/>
              <w:adjustRightInd w:val="0"/>
              <w:snapToGrid w:val="0"/>
              <w:spacing w:line="360" w:lineRule="auto"/>
              <w:jc w:val="center"/>
              <w:rPr>
                <w:rFonts w:ascii="宋体" w:cs="宋体"/>
                <w:color w:val="auto"/>
                <w:kern w:val="0"/>
                <w:sz w:val="24"/>
              </w:rPr>
            </w:pPr>
          </w:p>
        </w:tc>
        <w:tc>
          <w:tcPr>
            <w:tcW w:w="549" w:type="pct"/>
            <w:vMerge w:val="continue"/>
            <w:vAlign w:val="center"/>
          </w:tcPr>
          <w:p w14:paraId="3DE8AC80">
            <w:pPr>
              <w:widowControl/>
              <w:adjustRightInd w:val="0"/>
              <w:snapToGrid w:val="0"/>
              <w:spacing w:line="360" w:lineRule="auto"/>
              <w:jc w:val="center"/>
              <w:rPr>
                <w:rFonts w:ascii="宋体" w:cs="宋体"/>
                <w:color w:val="auto"/>
                <w:kern w:val="0"/>
                <w:sz w:val="24"/>
              </w:rPr>
            </w:pPr>
          </w:p>
        </w:tc>
        <w:tc>
          <w:tcPr>
            <w:tcW w:w="819" w:type="pct"/>
            <w:vAlign w:val="center"/>
          </w:tcPr>
          <w:p w14:paraId="399334F0">
            <w:pPr>
              <w:widowControl/>
              <w:adjustRightInd w:val="0"/>
              <w:snapToGrid w:val="0"/>
              <w:spacing w:line="400" w:lineRule="exact"/>
              <w:jc w:val="center"/>
              <w:rPr>
                <w:rFonts w:hint="default" w:ascii="宋体" w:eastAsia="宋体" w:cs="宋体"/>
                <w:color w:val="auto"/>
                <w:kern w:val="0"/>
                <w:sz w:val="24"/>
                <w:lang w:val="en-US" w:eastAsia="zh-CN"/>
              </w:rPr>
            </w:pPr>
            <w:r>
              <w:rPr>
                <w:rFonts w:hint="eastAsia" w:ascii="宋体" w:hAnsi="宋体" w:cs="宋体"/>
                <w:color w:val="auto"/>
                <w:kern w:val="0"/>
                <w:sz w:val="24"/>
                <w:lang w:val="en-US" w:eastAsia="zh-CN"/>
              </w:rPr>
              <w:t>作业范围</w:t>
            </w:r>
          </w:p>
        </w:tc>
        <w:tc>
          <w:tcPr>
            <w:tcW w:w="3076" w:type="pct"/>
            <w:vAlign w:val="center"/>
          </w:tcPr>
          <w:p w14:paraId="49D47D9A">
            <w:pPr>
              <w:widowControl/>
              <w:adjustRightInd w:val="0"/>
              <w:snapToGrid w:val="0"/>
              <w:spacing w:line="400" w:lineRule="exact"/>
              <w:jc w:val="center"/>
              <w:rPr>
                <w:rFonts w:ascii="宋体" w:cs="宋体"/>
                <w:color w:val="auto"/>
                <w:kern w:val="0"/>
                <w:sz w:val="24"/>
              </w:rPr>
            </w:pPr>
            <w:r>
              <w:rPr>
                <w:rFonts w:hint="eastAsia" w:ascii="宋体" w:hAnsi="宋体" w:cs="宋体"/>
                <w:color w:val="auto"/>
                <w:kern w:val="0"/>
                <w:sz w:val="24"/>
              </w:rPr>
              <w:t>符合第二章“</w:t>
            </w:r>
            <w:r>
              <w:rPr>
                <w:rFonts w:hint="eastAsia" w:ascii="宋体" w:hAnsi="宋体" w:cs="宋体"/>
                <w:color w:val="auto"/>
                <w:kern w:val="0"/>
                <w:sz w:val="24"/>
                <w:lang w:eastAsia="zh-CN"/>
              </w:rPr>
              <w:t>供应商</w:t>
            </w:r>
            <w:r>
              <w:rPr>
                <w:rFonts w:hint="eastAsia" w:ascii="宋体" w:hAnsi="宋体" w:cs="宋体"/>
                <w:color w:val="auto"/>
                <w:kern w:val="0"/>
                <w:sz w:val="24"/>
              </w:rPr>
              <w:t>须知前附表”第</w:t>
            </w:r>
            <w:r>
              <w:rPr>
                <w:rFonts w:hint="eastAsia" w:ascii="宋体" w:hAnsi="宋体" w:cs="宋体"/>
                <w:color w:val="auto"/>
                <w:kern w:val="0"/>
                <w:sz w:val="24"/>
                <w:lang w:val="en-US" w:eastAsia="zh-CN"/>
              </w:rPr>
              <w:t>8</w:t>
            </w:r>
            <w:r>
              <w:rPr>
                <w:rFonts w:hint="eastAsia" w:ascii="宋体" w:hAnsi="宋体" w:cs="宋体"/>
                <w:color w:val="auto"/>
                <w:kern w:val="0"/>
                <w:sz w:val="24"/>
              </w:rPr>
              <w:t>项规定</w:t>
            </w:r>
          </w:p>
        </w:tc>
      </w:tr>
      <w:tr w14:paraId="06B4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54" w:type="pct"/>
            <w:gridSpan w:val="2"/>
            <w:vMerge w:val="continue"/>
            <w:vAlign w:val="center"/>
          </w:tcPr>
          <w:p w14:paraId="0699D30A">
            <w:pPr>
              <w:widowControl/>
              <w:adjustRightInd w:val="0"/>
              <w:snapToGrid w:val="0"/>
              <w:spacing w:line="360" w:lineRule="auto"/>
              <w:jc w:val="center"/>
              <w:rPr>
                <w:rFonts w:ascii="宋体" w:cs="宋体"/>
                <w:color w:val="auto"/>
                <w:kern w:val="0"/>
                <w:sz w:val="24"/>
              </w:rPr>
            </w:pPr>
          </w:p>
        </w:tc>
        <w:tc>
          <w:tcPr>
            <w:tcW w:w="549" w:type="pct"/>
            <w:vMerge w:val="continue"/>
            <w:vAlign w:val="center"/>
          </w:tcPr>
          <w:p w14:paraId="52A51485">
            <w:pPr>
              <w:widowControl/>
              <w:adjustRightInd w:val="0"/>
              <w:snapToGrid w:val="0"/>
              <w:spacing w:line="360" w:lineRule="auto"/>
              <w:jc w:val="center"/>
              <w:rPr>
                <w:rFonts w:ascii="宋体" w:cs="宋体"/>
                <w:color w:val="auto"/>
                <w:kern w:val="0"/>
                <w:sz w:val="24"/>
              </w:rPr>
            </w:pPr>
          </w:p>
        </w:tc>
        <w:tc>
          <w:tcPr>
            <w:tcW w:w="819" w:type="pct"/>
            <w:vAlign w:val="center"/>
          </w:tcPr>
          <w:p w14:paraId="2D767ABC">
            <w:pPr>
              <w:widowControl/>
              <w:adjustRightInd w:val="0"/>
              <w:snapToGrid w:val="0"/>
              <w:spacing w:line="400" w:lineRule="exact"/>
              <w:jc w:val="center"/>
              <w:rPr>
                <w:rFonts w:ascii="宋体" w:cs="宋体"/>
                <w:color w:val="auto"/>
                <w:sz w:val="24"/>
              </w:rPr>
            </w:pPr>
            <w:r>
              <w:rPr>
                <w:rFonts w:hint="eastAsia" w:ascii="宋体" w:hAnsi="宋体" w:cs="宋体"/>
                <w:color w:val="auto"/>
                <w:sz w:val="24"/>
              </w:rPr>
              <w:t>质保期</w:t>
            </w:r>
          </w:p>
        </w:tc>
        <w:tc>
          <w:tcPr>
            <w:tcW w:w="3076" w:type="pct"/>
            <w:vAlign w:val="center"/>
          </w:tcPr>
          <w:p w14:paraId="03633166">
            <w:pPr>
              <w:widowControl/>
              <w:adjustRightInd w:val="0"/>
              <w:snapToGrid w:val="0"/>
              <w:spacing w:line="400" w:lineRule="exact"/>
              <w:jc w:val="center"/>
              <w:rPr>
                <w:rFonts w:hint="eastAsia" w:ascii="宋体" w:eastAsia="宋体" w:cs="宋体"/>
                <w:color w:val="auto"/>
                <w:sz w:val="24"/>
                <w:lang w:eastAsia="zh-CN"/>
              </w:rPr>
            </w:pPr>
            <w:r>
              <w:rPr>
                <w:rFonts w:hint="eastAsia" w:ascii="宋体" w:hAnsi="宋体" w:cs="宋体"/>
                <w:color w:val="auto"/>
                <w:sz w:val="24"/>
                <w:lang w:val="en-US" w:eastAsia="zh-CN"/>
              </w:rPr>
              <w:t>新增、更换设备质保期三年</w:t>
            </w:r>
          </w:p>
        </w:tc>
      </w:tr>
      <w:tr w14:paraId="12B2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554" w:type="pct"/>
            <w:gridSpan w:val="2"/>
            <w:vMerge w:val="continue"/>
            <w:vAlign w:val="center"/>
          </w:tcPr>
          <w:p w14:paraId="7D5CD115">
            <w:pPr>
              <w:widowControl/>
              <w:adjustRightInd w:val="0"/>
              <w:snapToGrid w:val="0"/>
              <w:spacing w:line="360" w:lineRule="auto"/>
              <w:jc w:val="center"/>
              <w:rPr>
                <w:rFonts w:ascii="宋体" w:cs="宋体"/>
                <w:color w:val="auto"/>
                <w:kern w:val="0"/>
                <w:sz w:val="24"/>
              </w:rPr>
            </w:pPr>
          </w:p>
        </w:tc>
        <w:tc>
          <w:tcPr>
            <w:tcW w:w="549" w:type="pct"/>
            <w:vMerge w:val="continue"/>
            <w:vAlign w:val="center"/>
          </w:tcPr>
          <w:p w14:paraId="33EE3CDB">
            <w:pPr>
              <w:widowControl/>
              <w:adjustRightInd w:val="0"/>
              <w:snapToGrid w:val="0"/>
              <w:spacing w:line="360" w:lineRule="auto"/>
              <w:jc w:val="center"/>
              <w:rPr>
                <w:rFonts w:ascii="宋体" w:cs="宋体"/>
                <w:color w:val="auto"/>
                <w:kern w:val="0"/>
                <w:sz w:val="24"/>
              </w:rPr>
            </w:pPr>
          </w:p>
        </w:tc>
        <w:tc>
          <w:tcPr>
            <w:tcW w:w="819" w:type="pct"/>
            <w:vAlign w:val="center"/>
          </w:tcPr>
          <w:p w14:paraId="680A34DB">
            <w:pPr>
              <w:widowControl/>
              <w:adjustRightInd w:val="0"/>
              <w:snapToGrid w:val="0"/>
              <w:spacing w:line="400" w:lineRule="exact"/>
              <w:jc w:val="center"/>
              <w:rPr>
                <w:rFonts w:ascii="宋体" w:cs="宋体"/>
                <w:color w:val="auto"/>
                <w:sz w:val="24"/>
              </w:rPr>
            </w:pPr>
            <w:r>
              <w:rPr>
                <w:rFonts w:hint="eastAsia" w:ascii="宋体" w:hAnsi="宋体" w:cs="宋体"/>
                <w:color w:val="auto"/>
                <w:sz w:val="24"/>
              </w:rPr>
              <w:t>质量要求</w:t>
            </w:r>
          </w:p>
        </w:tc>
        <w:tc>
          <w:tcPr>
            <w:tcW w:w="3076" w:type="pct"/>
            <w:vAlign w:val="center"/>
          </w:tcPr>
          <w:p w14:paraId="3C78A917">
            <w:pPr>
              <w:widowControl/>
              <w:adjustRightInd w:val="0"/>
              <w:snapToGrid w:val="0"/>
              <w:spacing w:line="400" w:lineRule="exact"/>
              <w:jc w:val="center"/>
              <w:rPr>
                <w:rFonts w:ascii="宋体" w:cs="宋体"/>
                <w:color w:val="auto"/>
                <w:sz w:val="24"/>
              </w:rPr>
            </w:pPr>
            <w:r>
              <w:rPr>
                <w:rFonts w:hint="eastAsia" w:ascii="宋体" w:hAnsi="宋体" w:cs="宋体"/>
                <w:color w:val="auto"/>
                <w:sz w:val="24"/>
              </w:rPr>
              <w:t>符合第二章“</w:t>
            </w:r>
            <w:r>
              <w:rPr>
                <w:rFonts w:hint="eastAsia" w:ascii="宋体" w:hAnsi="宋体" w:cs="宋体"/>
                <w:color w:val="auto"/>
                <w:sz w:val="24"/>
                <w:lang w:eastAsia="zh-CN"/>
              </w:rPr>
              <w:t>供应商</w:t>
            </w:r>
            <w:r>
              <w:rPr>
                <w:rFonts w:hint="eastAsia" w:ascii="宋体" w:hAnsi="宋体" w:cs="宋体"/>
                <w:color w:val="auto"/>
                <w:sz w:val="24"/>
              </w:rPr>
              <w:t>须知前附表”第</w:t>
            </w:r>
            <w:r>
              <w:rPr>
                <w:rFonts w:hint="eastAsia" w:ascii="宋体" w:hAnsi="宋体" w:cs="宋体"/>
                <w:color w:val="auto"/>
                <w:sz w:val="24"/>
                <w:lang w:val="en-US" w:eastAsia="zh-CN"/>
              </w:rPr>
              <w:t>9</w:t>
            </w:r>
            <w:r>
              <w:rPr>
                <w:rFonts w:hint="eastAsia" w:ascii="宋体" w:hAnsi="宋体" w:cs="宋体"/>
                <w:color w:val="auto"/>
                <w:sz w:val="24"/>
              </w:rPr>
              <w:t>项规定</w:t>
            </w:r>
          </w:p>
        </w:tc>
      </w:tr>
      <w:tr w14:paraId="3EEF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54" w:type="pct"/>
            <w:gridSpan w:val="2"/>
            <w:vMerge w:val="continue"/>
            <w:vAlign w:val="center"/>
          </w:tcPr>
          <w:p w14:paraId="7482F53C">
            <w:pPr>
              <w:widowControl/>
              <w:adjustRightInd w:val="0"/>
              <w:snapToGrid w:val="0"/>
              <w:spacing w:line="360" w:lineRule="auto"/>
              <w:jc w:val="center"/>
              <w:rPr>
                <w:rFonts w:ascii="宋体" w:cs="宋体"/>
                <w:color w:val="auto"/>
                <w:kern w:val="0"/>
                <w:sz w:val="24"/>
              </w:rPr>
            </w:pPr>
          </w:p>
        </w:tc>
        <w:tc>
          <w:tcPr>
            <w:tcW w:w="549" w:type="pct"/>
            <w:vMerge w:val="continue"/>
            <w:vAlign w:val="center"/>
          </w:tcPr>
          <w:p w14:paraId="21DB9EE1">
            <w:pPr>
              <w:widowControl/>
              <w:adjustRightInd w:val="0"/>
              <w:snapToGrid w:val="0"/>
              <w:spacing w:line="360" w:lineRule="auto"/>
              <w:jc w:val="center"/>
              <w:rPr>
                <w:rFonts w:ascii="宋体" w:cs="宋体"/>
                <w:color w:val="auto"/>
                <w:kern w:val="0"/>
                <w:sz w:val="24"/>
              </w:rPr>
            </w:pPr>
          </w:p>
        </w:tc>
        <w:tc>
          <w:tcPr>
            <w:tcW w:w="819" w:type="pct"/>
            <w:vAlign w:val="center"/>
          </w:tcPr>
          <w:p w14:paraId="34065CA7">
            <w:pPr>
              <w:widowControl/>
              <w:adjustRightInd w:val="0"/>
              <w:snapToGrid w:val="0"/>
              <w:spacing w:line="400" w:lineRule="exact"/>
              <w:jc w:val="center"/>
              <w:rPr>
                <w:rFonts w:ascii="宋体" w:cs="宋体"/>
                <w:color w:val="auto"/>
                <w:sz w:val="24"/>
              </w:rPr>
            </w:pPr>
            <w:r>
              <w:rPr>
                <w:rFonts w:hint="eastAsia" w:ascii="宋体" w:hAnsi="宋体" w:cs="宋体"/>
                <w:color w:val="auto"/>
                <w:sz w:val="24"/>
              </w:rPr>
              <w:t>投标有效期</w:t>
            </w:r>
          </w:p>
        </w:tc>
        <w:tc>
          <w:tcPr>
            <w:tcW w:w="3076" w:type="pct"/>
            <w:vAlign w:val="center"/>
          </w:tcPr>
          <w:p w14:paraId="74A02C19">
            <w:pPr>
              <w:widowControl/>
              <w:adjustRightInd w:val="0"/>
              <w:snapToGrid w:val="0"/>
              <w:spacing w:line="400" w:lineRule="exact"/>
              <w:jc w:val="center"/>
              <w:rPr>
                <w:rFonts w:ascii="宋体" w:cs="宋体"/>
                <w:color w:val="auto"/>
                <w:sz w:val="24"/>
              </w:rPr>
            </w:pPr>
            <w:r>
              <w:rPr>
                <w:rFonts w:hint="eastAsia" w:ascii="宋体" w:hAnsi="宋体" w:cs="宋体"/>
                <w:color w:val="auto"/>
                <w:sz w:val="24"/>
              </w:rPr>
              <w:t>符合第二章“</w:t>
            </w:r>
            <w:r>
              <w:rPr>
                <w:rFonts w:hint="eastAsia" w:ascii="宋体" w:hAnsi="宋体" w:cs="宋体"/>
                <w:color w:val="auto"/>
                <w:sz w:val="24"/>
                <w:lang w:eastAsia="zh-CN"/>
              </w:rPr>
              <w:t>供应商</w:t>
            </w:r>
            <w:r>
              <w:rPr>
                <w:rFonts w:hint="eastAsia" w:ascii="宋体" w:hAnsi="宋体" w:cs="宋体"/>
                <w:color w:val="auto"/>
                <w:sz w:val="24"/>
              </w:rPr>
              <w:t>须知前附表”第</w:t>
            </w:r>
            <w:r>
              <w:rPr>
                <w:rFonts w:hint="eastAsia" w:ascii="宋体" w:hAnsi="宋体" w:cs="宋体"/>
                <w:color w:val="auto"/>
                <w:sz w:val="24"/>
                <w:lang w:val="en-US" w:eastAsia="zh-CN"/>
              </w:rPr>
              <w:t>14</w:t>
            </w:r>
            <w:r>
              <w:rPr>
                <w:rFonts w:hint="eastAsia" w:ascii="宋体" w:hAnsi="宋体" w:cs="宋体"/>
                <w:color w:val="auto"/>
                <w:sz w:val="24"/>
              </w:rPr>
              <w:t>项规定</w:t>
            </w:r>
          </w:p>
        </w:tc>
      </w:tr>
      <w:tr w14:paraId="3CFF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54" w:type="pct"/>
            <w:gridSpan w:val="2"/>
            <w:vMerge w:val="continue"/>
            <w:vAlign w:val="center"/>
          </w:tcPr>
          <w:p w14:paraId="46949276">
            <w:pPr>
              <w:widowControl/>
              <w:adjustRightInd w:val="0"/>
              <w:snapToGrid w:val="0"/>
              <w:spacing w:line="360" w:lineRule="auto"/>
              <w:jc w:val="center"/>
              <w:rPr>
                <w:rFonts w:ascii="宋体" w:cs="宋体"/>
                <w:color w:val="auto"/>
                <w:kern w:val="0"/>
                <w:sz w:val="24"/>
              </w:rPr>
            </w:pPr>
          </w:p>
        </w:tc>
        <w:tc>
          <w:tcPr>
            <w:tcW w:w="549" w:type="pct"/>
            <w:vMerge w:val="continue"/>
            <w:vAlign w:val="center"/>
          </w:tcPr>
          <w:p w14:paraId="02AA0454">
            <w:pPr>
              <w:widowControl/>
              <w:adjustRightInd w:val="0"/>
              <w:snapToGrid w:val="0"/>
              <w:spacing w:line="360" w:lineRule="auto"/>
              <w:jc w:val="center"/>
              <w:rPr>
                <w:rFonts w:ascii="宋体" w:cs="宋体"/>
                <w:color w:val="auto"/>
                <w:kern w:val="0"/>
                <w:sz w:val="24"/>
              </w:rPr>
            </w:pPr>
          </w:p>
        </w:tc>
        <w:tc>
          <w:tcPr>
            <w:tcW w:w="819" w:type="pct"/>
            <w:vAlign w:val="center"/>
          </w:tcPr>
          <w:p w14:paraId="4607897D">
            <w:pPr>
              <w:widowControl/>
              <w:adjustRightInd w:val="0"/>
              <w:snapToGrid w:val="0"/>
              <w:spacing w:line="400" w:lineRule="exact"/>
              <w:jc w:val="center"/>
              <w:rPr>
                <w:rFonts w:ascii="宋体" w:cs="宋体"/>
                <w:color w:val="auto"/>
                <w:sz w:val="24"/>
              </w:rPr>
            </w:pPr>
            <w:r>
              <w:rPr>
                <w:rFonts w:hint="eastAsia"/>
                <w:color w:val="auto"/>
                <w:sz w:val="24"/>
              </w:rPr>
              <w:t>投标文件制作机器码</w:t>
            </w:r>
          </w:p>
        </w:tc>
        <w:tc>
          <w:tcPr>
            <w:tcW w:w="3076" w:type="pct"/>
            <w:vAlign w:val="center"/>
          </w:tcPr>
          <w:p w14:paraId="0CB97A9C">
            <w:pPr>
              <w:widowControl/>
              <w:adjustRightInd w:val="0"/>
              <w:snapToGrid w:val="0"/>
              <w:spacing w:line="400" w:lineRule="exact"/>
              <w:jc w:val="center"/>
              <w:rPr>
                <w:rFonts w:ascii="宋体" w:cs="宋体"/>
                <w:color w:val="auto"/>
                <w:sz w:val="24"/>
              </w:rPr>
            </w:pPr>
            <w:r>
              <w:rPr>
                <w:rFonts w:hint="eastAsia"/>
                <w:color w:val="auto"/>
                <w:sz w:val="24"/>
              </w:rPr>
              <w:t>投标文件制作机器码一致的视为无效投标</w:t>
            </w:r>
          </w:p>
        </w:tc>
      </w:tr>
      <w:tr w14:paraId="1A0C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54" w:type="pct"/>
            <w:gridSpan w:val="2"/>
            <w:vMerge w:val="continue"/>
            <w:vAlign w:val="center"/>
          </w:tcPr>
          <w:p w14:paraId="2847D863">
            <w:pPr>
              <w:widowControl/>
              <w:adjustRightInd w:val="0"/>
              <w:snapToGrid w:val="0"/>
              <w:spacing w:line="360" w:lineRule="auto"/>
              <w:jc w:val="center"/>
              <w:rPr>
                <w:rFonts w:ascii="宋体" w:cs="宋体"/>
                <w:color w:val="auto"/>
                <w:kern w:val="0"/>
                <w:sz w:val="24"/>
              </w:rPr>
            </w:pPr>
          </w:p>
        </w:tc>
        <w:tc>
          <w:tcPr>
            <w:tcW w:w="549" w:type="pct"/>
            <w:vMerge w:val="continue"/>
            <w:vAlign w:val="center"/>
          </w:tcPr>
          <w:p w14:paraId="30C42B69">
            <w:pPr>
              <w:widowControl/>
              <w:adjustRightInd w:val="0"/>
              <w:snapToGrid w:val="0"/>
              <w:spacing w:line="360" w:lineRule="auto"/>
              <w:jc w:val="center"/>
              <w:rPr>
                <w:rFonts w:ascii="宋体" w:cs="宋体"/>
                <w:color w:val="auto"/>
                <w:kern w:val="0"/>
                <w:sz w:val="24"/>
              </w:rPr>
            </w:pPr>
          </w:p>
        </w:tc>
        <w:tc>
          <w:tcPr>
            <w:tcW w:w="819" w:type="pct"/>
            <w:vAlign w:val="center"/>
          </w:tcPr>
          <w:p w14:paraId="47057A80">
            <w:pPr>
              <w:widowControl/>
              <w:adjustRightInd w:val="0"/>
              <w:snapToGrid w:val="0"/>
              <w:spacing w:line="400" w:lineRule="exact"/>
              <w:jc w:val="center"/>
              <w:rPr>
                <w:color w:val="auto"/>
                <w:sz w:val="24"/>
              </w:rPr>
            </w:pPr>
            <w:r>
              <w:rPr>
                <w:rFonts w:hint="eastAsia"/>
                <w:color w:val="auto"/>
                <w:sz w:val="24"/>
              </w:rPr>
              <w:t>其他</w:t>
            </w:r>
          </w:p>
        </w:tc>
        <w:tc>
          <w:tcPr>
            <w:tcW w:w="3076" w:type="pct"/>
            <w:vAlign w:val="center"/>
          </w:tcPr>
          <w:p w14:paraId="76190F80">
            <w:pPr>
              <w:widowControl/>
              <w:adjustRightInd w:val="0"/>
              <w:snapToGrid w:val="0"/>
              <w:spacing w:line="400" w:lineRule="exact"/>
              <w:jc w:val="center"/>
              <w:rPr>
                <w:color w:val="auto"/>
                <w:sz w:val="24"/>
              </w:rPr>
            </w:pPr>
            <w:r>
              <w:rPr>
                <w:rFonts w:hint="eastAsia"/>
                <w:color w:val="auto"/>
                <w:sz w:val="24"/>
              </w:rPr>
              <w:t>响应招标文件规定的其他实质性内容</w:t>
            </w:r>
          </w:p>
        </w:tc>
      </w:tr>
      <w:tr w14:paraId="2B23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exact"/>
          <w:jc w:val="center"/>
        </w:trPr>
        <w:tc>
          <w:tcPr>
            <w:tcW w:w="1104" w:type="pct"/>
            <w:gridSpan w:val="3"/>
            <w:vAlign w:val="center"/>
          </w:tcPr>
          <w:p w14:paraId="0271C065">
            <w:pPr>
              <w:autoSpaceDE w:val="0"/>
              <w:autoSpaceDN w:val="0"/>
              <w:adjustRightInd w:val="0"/>
              <w:snapToGrid w:val="0"/>
              <w:spacing w:line="360" w:lineRule="auto"/>
              <w:ind w:left="38" w:leftChars="18"/>
              <w:jc w:val="center"/>
              <w:rPr>
                <w:rFonts w:ascii="宋体" w:cs="宋体"/>
                <w:color w:val="auto"/>
                <w:kern w:val="0"/>
                <w:sz w:val="24"/>
              </w:rPr>
            </w:pPr>
            <w:r>
              <w:rPr>
                <w:rFonts w:hint="eastAsia" w:ascii="宋体" w:hAnsi="宋体" w:cs="宋体"/>
                <w:color w:val="auto"/>
                <w:kern w:val="0"/>
                <w:sz w:val="24"/>
              </w:rPr>
              <w:t>条款号</w:t>
            </w:r>
          </w:p>
        </w:tc>
        <w:tc>
          <w:tcPr>
            <w:tcW w:w="819" w:type="pct"/>
            <w:vAlign w:val="center"/>
          </w:tcPr>
          <w:p w14:paraId="2506B0AE">
            <w:pPr>
              <w:autoSpaceDE w:val="0"/>
              <w:autoSpaceDN w:val="0"/>
              <w:adjustRightInd w:val="0"/>
              <w:snapToGrid w:val="0"/>
              <w:spacing w:line="360" w:lineRule="auto"/>
              <w:ind w:left="38" w:leftChars="18"/>
              <w:jc w:val="center"/>
              <w:rPr>
                <w:rFonts w:ascii="宋体" w:cs="宋体"/>
                <w:color w:val="auto"/>
                <w:kern w:val="0"/>
                <w:sz w:val="24"/>
              </w:rPr>
            </w:pPr>
            <w:r>
              <w:rPr>
                <w:rFonts w:hint="eastAsia"/>
                <w:b/>
                <w:color w:val="auto"/>
                <w:spacing w:val="1"/>
                <w:sz w:val="24"/>
              </w:rPr>
              <w:t>评审因素</w:t>
            </w:r>
          </w:p>
        </w:tc>
        <w:tc>
          <w:tcPr>
            <w:tcW w:w="3076" w:type="pct"/>
            <w:vAlign w:val="center"/>
          </w:tcPr>
          <w:p w14:paraId="1FF1D791">
            <w:pPr>
              <w:autoSpaceDE w:val="0"/>
              <w:autoSpaceDN w:val="0"/>
              <w:adjustRightInd w:val="0"/>
              <w:snapToGrid w:val="0"/>
              <w:spacing w:line="360" w:lineRule="auto"/>
              <w:ind w:left="38" w:leftChars="18"/>
              <w:jc w:val="center"/>
              <w:rPr>
                <w:rFonts w:ascii="宋体" w:cs="宋体"/>
                <w:color w:val="auto"/>
                <w:kern w:val="0"/>
                <w:sz w:val="24"/>
              </w:rPr>
            </w:pPr>
            <w:r>
              <w:rPr>
                <w:rFonts w:hint="eastAsia"/>
                <w:b/>
                <w:color w:val="auto"/>
                <w:spacing w:val="1"/>
                <w:sz w:val="24"/>
              </w:rPr>
              <w:t>评审内容</w:t>
            </w:r>
          </w:p>
        </w:tc>
      </w:tr>
      <w:tr w14:paraId="682D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4" w:type="pct"/>
            <w:gridSpan w:val="3"/>
            <w:vAlign w:val="center"/>
          </w:tcPr>
          <w:p w14:paraId="38C01F4C">
            <w:pPr>
              <w:autoSpaceDE w:val="0"/>
              <w:autoSpaceDN w:val="0"/>
              <w:adjustRightInd w:val="0"/>
              <w:snapToGrid w:val="0"/>
              <w:spacing w:line="360" w:lineRule="auto"/>
              <w:ind w:left="38" w:leftChars="18"/>
              <w:jc w:val="center"/>
              <w:rPr>
                <w:rFonts w:ascii="宋体" w:cs="宋体"/>
                <w:color w:val="auto"/>
                <w:kern w:val="0"/>
                <w:sz w:val="24"/>
              </w:rPr>
            </w:pPr>
            <w:r>
              <w:rPr>
                <w:rFonts w:ascii="宋体" w:hAnsi="宋体" w:cs="宋体"/>
                <w:color w:val="auto"/>
                <w:kern w:val="0"/>
                <w:sz w:val="24"/>
              </w:rPr>
              <w:t>2.2.1</w:t>
            </w:r>
          </w:p>
        </w:tc>
        <w:tc>
          <w:tcPr>
            <w:tcW w:w="819" w:type="pct"/>
            <w:vAlign w:val="center"/>
          </w:tcPr>
          <w:p w14:paraId="5F70B197">
            <w:pPr>
              <w:autoSpaceDE w:val="0"/>
              <w:autoSpaceDN w:val="0"/>
              <w:adjustRightInd w:val="0"/>
              <w:snapToGrid w:val="0"/>
              <w:spacing w:line="360" w:lineRule="auto"/>
              <w:ind w:left="38" w:leftChars="18"/>
              <w:jc w:val="center"/>
              <w:rPr>
                <w:rFonts w:ascii="宋体" w:cs="宋体"/>
                <w:color w:val="auto"/>
                <w:kern w:val="0"/>
                <w:sz w:val="24"/>
              </w:rPr>
            </w:pPr>
            <w:r>
              <w:rPr>
                <w:rFonts w:hint="eastAsia" w:ascii="宋体" w:hAnsi="宋体" w:cs="宋体"/>
                <w:color w:val="auto"/>
                <w:kern w:val="0"/>
                <w:sz w:val="24"/>
              </w:rPr>
              <w:t>分值构成</w:t>
            </w:r>
          </w:p>
          <w:p w14:paraId="58DB1EC2">
            <w:pPr>
              <w:autoSpaceDE w:val="0"/>
              <w:autoSpaceDN w:val="0"/>
              <w:adjustRightInd w:val="0"/>
              <w:snapToGrid w:val="0"/>
              <w:spacing w:line="360" w:lineRule="auto"/>
              <w:ind w:left="38" w:leftChars="18"/>
              <w:jc w:val="center"/>
              <w:rPr>
                <w:rFonts w:ascii="宋体" w:cs="宋体"/>
                <w:color w:val="auto"/>
                <w:kern w:val="0"/>
                <w:sz w:val="24"/>
              </w:rPr>
            </w:pPr>
            <w:r>
              <w:rPr>
                <w:rFonts w:ascii="宋体" w:hAnsi="宋体" w:cs="宋体"/>
                <w:color w:val="auto"/>
                <w:kern w:val="0"/>
                <w:sz w:val="24"/>
              </w:rPr>
              <w:t>(</w:t>
            </w:r>
            <w:r>
              <w:rPr>
                <w:rFonts w:hint="eastAsia" w:ascii="宋体" w:hAnsi="宋体" w:cs="宋体"/>
                <w:color w:val="auto"/>
                <w:kern w:val="0"/>
                <w:sz w:val="24"/>
              </w:rPr>
              <w:t>总分</w:t>
            </w:r>
            <w:r>
              <w:rPr>
                <w:rFonts w:ascii="宋体" w:hAnsi="宋体" w:cs="宋体"/>
                <w:color w:val="auto"/>
                <w:kern w:val="0"/>
                <w:sz w:val="24"/>
              </w:rPr>
              <w:t>100</w:t>
            </w:r>
            <w:r>
              <w:rPr>
                <w:rFonts w:hint="eastAsia" w:ascii="宋体" w:hAnsi="宋体" w:cs="宋体"/>
                <w:color w:val="auto"/>
                <w:kern w:val="0"/>
                <w:sz w:val="24"/>
              </w:rPr>
              <w:t>分</w:t>
            </w:r>
            <w:r>
              <w:rPr>
                <w:rFonts w:ascii="宋体" w:hAnsi="宋体" w:cs="宋体"/>
                <w:color w:val="auto"/>
                <w:kern w:val="0"/>
                <w:sz w:val="24"/>
              </w:rPr>
              <w:t>)</w:t>
            </w:r>
          </w:p>
        </w:tc>
        <w:tc>
          <w:tcPr>
            <w:tcW w:w="3076" w:type="pct"/>
            <w:vAlign w:val="center"/>
          </w:tcPr>
          <w:p w14:paraId="3C62BA34">
            <w:pPr>
              <w:autoSpaceDE w:val="0"/>
              <w:autoSpaceDN w:val="0"/>
              <w:adjustRightInd w:val="0"/>
              <w:snapToGrid w:val="0"/>
              <w:spacing w:line="360" w:lineRule="auto"/>
              <w:ind w:left="38" w:leftChars="18"/>
              <w:jc w:val="left"/>
              <w:rPr>
                <w:rFonts w:ascii="宋体" w:cs="宋体"/>
                <w:b/>
                <w:bCs/>
                <w:color w:val="auto"/>
                <w:kern w:val="0"/>
                <w:sz w:val="24"/>
                <w:highlight w:val="none"/>
              </w:rPr>
            </w:pPr>
            <w:r>
              <w:rPr>
                <w:rFonts w:hint="eastAsia" w:ascii="宋体" w:hAnsi="宋体" w:cs="宋体"/>
                <w:b/>
                <w:bCs/>
                <w:color w:val="auto"/>
                <w:kern w:val="0"/>
                <w:sz w:val="24"/>
                <w:highlight w:val="none"/>
              </w:rPr>
              <w:t>报价得分：</w:t>
            </w:r>
            <w:r>
              <w:rPr>
                <w:rFonts w:ascii="宋体" w:hAnsi="宋体" w:cs="宋体"/>
                <w:b/>
                <w:bCs/>
                <w:color w:val="auto"/>
                <w:kern w:val="0"/>
                <w:sz w:val="24"/>
                <w:highlight w:val="none"/>
              </w:rPr>
              <w:t>3</w:t>
            </w:r>
            <w:r>
              <w:rPr>
                <w:rFonts w:hint="eastAsia" w:ascii="宋体" w:hAnsi="宋体" w:cs="宋体"/>
                <w:b/>
                <w:bCs/>
                <w:color w:val="auto"/>
                <w:kern w:val="0"/>
                <w:sz w:val="24"/>
                <w:highlight w:val="none"/>
              </w:rPr>
              <w:t>0分</w:t>
            </w:r>
            <w:r>
              <w:rPr>
                <w:rFonts w:ascii="宋体" w:hAnsi="宋体" w:cs="宋体"/>
                <w:b/>
                <w:bCs/>
                <w:color w:val="auto"/>
                <w:kern w:val="0"/>
                <w:sz w:val="24"/>
                <w:highlight w:val="none"/>
              </w:rPr>
              <w:t xml:space="preserve">  </w:t>
            </w:r>
          </w:p>
          <w:p w14:paraId="368A3EE8">
            <w:pPr>
              <w:autoSpaceDE w:val="0"/>
              <w:autoSpaceDN w:val="0"/>
              <w:adjustRightInd w:val="0"/>
              <w:snapToGrid w:val="0"/>
              <w:spacing w:line="360" w:lineRule="auto"/>
              <w:ind w:left="38" w:leftChars="18"/>
              <w:jc w:val="left"/>
              <w:rPr>
                <w:rFonts w:ascii="宋体" w:cs="宋体"/>
                <w:b/>
                <w:color w:val="auto"/>
                <w:sz w:val="24"/>
                <w:highlight w:val="none"/>
              </w:rPr>
            </w:pPr>
            <w:r>
              <w:rPr>
                <w:rFonts w:hint="eastAsia" w:ascii="宋体" w:hAnsi="宋体" w:cs="宋体"/>
                <w:b/>
                <w:color w:val="auto"/>
                <w:sz w:val="24"/>
                <w:highlight w:val="none"/>
              </w:rPr>
              <w:t>技术部分：</w:t>
            </w:r>
            <w:r>
              <w:rPr>
                <w:rFonts w:hint="eastAsia" w:ascii="宋体" w:hAnsi="宋体" w:cs="宋体"/>
                <w:b/>
                <w:color w:val="auto"/>
                <w:sz w:val="24"/>
                <w:highlight w:val="none"/>
                <w:lang w:val="en-US" w:eastAsia="zh-CN"/>
              </w:rPr>
              <w:t>30</w:t>
            </w:r>
            <w:r>
              <w:rPr>
                <w:rFonts w:hint="eastAsia" w:ascii="宋体" w:hAnsi="宋体" w:cs="宋体"/>
                <w:b/>
                <w:color w:val="auto"/>
                <w:sz w:val="24"/>
                <w:highlight w:val="none"/>
              </w:rPr>
              <w:t>分</w:t>
            </w:r>
            <w:r>
              <w:rPr>
                <w:rFonts w:ascii="宋体" w:hAnsi="宋体" w:cs="宋体"/>
                <w:b/>
                <w:color w:val="auto"/>
                <w:sz w:val="24"/>
                <w:highlight w:val="none"/>
              </w:rPr>
              <w:t xml:space="preserve">   </w:t>
            </w:r>
          </w:p>
          <w:p w14:paraId="7EFAF51B">
            <w:pPr>
              <w:autoSpaceDE w:val="0"/>
              <w:autoSpaceDN w:val="0"/>
              <w:adjustRightInd w:val="0"/>
              <w:snapToGrid w:val="0"/>
              <w:spacing w:line="360" w:lineRule="auto"/>
              <w:ind w:left="38" w:leftChars="18"/>
              <w:jc w:val="left"/>
              <w:rPr>
                <w:rFonts w:ascii="宋体" w:cs="宋体"/>
                <w:b/>
                <w:color w:val="auto"/>
                <w:sz w:val="24"/>
              </w:rPr>
            </w:pPr>
            <w:r>
              <w:rPr>
                <w:rFonts w:hint="eastAsia" w:ascii="宋体" w:hAnsi="宋体" w:cs="宋体"/>
                <w:b/>
                <w:color w:val="auto"/>
                <w:sz w:val="24"/>
                <w:highlight w:val="none"/>
              </w:rPr>
              <w:t>商务部分：</w:t>
            </w:r>
            <w:r>
              <w:rPr>
                <w:rFonts w:hint="eastAsia" w:ascii="宋体" w:hAnsi="宋体" w:cs="宋体"/>
                <w:b/>
                <w:color w:val="auto"/>
                <w:sz w:val="24"/>
                <w:highlight w:val="none"/>
                <w:lang w:val="en-US" w:eastAsia="zh-CN"/>
              </w:rPr>
              <w:t>40</w:t>
            </w:r>
            <w:r>
              <w:rPr>
                <w:rFonts w:hint="eastAsia" w:ascii="宋体" w:hAnsi="宋体" w:cs="宋体"/>
                <w:b/>
                <w:color w:val="auto"/>
                <w:sz w:val="24"/>
                <w:highlight w:val="none"/>
              </w:rPr>
              <w:t>分</w:t>
            </w:r>
          </w:p>
        </w:tc>
      </w:tr>
      <w:tr w14:paraId="507A7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104" w:type="pct"/>
            <w:gridSpan w:val="3"/>
            <w:vAlign w:val="center"/>
          </w:tcPr>
          <w:p w14:paraId="4A61E926">
            <w:pPr>
              <w:autoSpaceDE w:val="0"/>
              <w:autoSpaceDN w:val="0"/>
              <w:adjustRightInd w:val="0"/>
              <w:snapToGrid w:val="0"/>
              <w:spacing w:line="360" w:lineRule="auto"/>
              <w:ind w:left="38" w:leftChars="18"/>
              <w:jc w:val="center"/>
              <w:rPr>
                <w:rFonts w:ascii="宋体" w:hAnsi="宋体" w:cs="宋体"/>
                <w:color w:val="auto"/>
                <w:kern w:val="0"/>
                <w:szCs w:val="21"/>
              </w:rPr>
            </w:pPr>
            <w:r>
              <w:rPr>
                <w:rFonts w:hint="eastAsia" w:ascii="宋体" w:hAnsi="宋体" w:cs="宋体"/>
                <w:color w:val="auto"/>
                <w:kern w:val="0"/>
                <w:szCs w:val="21"/>
              </w:rPr>
              <w:t>条款号</w:t>
            </w:r>
          </w:p>
        </w:tc>
        <w:tc>
          <w:tcPr>
            <w:tcW w:w="819" w:type="pct"/>
            <w:vAlign w:val="center"/>
          </w:tcPr>
          <w:p w14:paraId="7B3DCFE9">
            <w:pPr>
              <w:autoSpaceDE w:val="0"/>
              <w:autoSpaceDN w:val="0"/>
              <w:adjustRightInd w:val="0"/>
              <w:snapToGrid w:val="0"/>
              <w:spacing w:line="360" w:lineRule="auto"/>
              <w:ind w:left="38" w:leftChars="18"/>
              <w:jc w:val="center"/>
              <w:rPr>
                <w:rFonts w:ascii="宋体" w:hAnsi="宋体" w:cs="宋体"/>
                <w:color w:val="auto"/>
                <w:kern w:val="0"/>
                <w:szCs w:val="21"/>
              </w:rPr>
            </w:pPr>
            <w:r>
              <w:rPr>
                <w:rFonts w:hint="eastAsia" w:ascii="宋体" w:hAnsi="宋体" w:cs="宋体"/>
                <w:b/>
                <w:color w:val="auto"/>
                <w:spacing w:val="1"/>
                <w:szCs w:val="21"/>
              </w:rPr>
              <w:t>评审因素</w:t>
            </w:r>
          </w:p>
        </w:tc>
        <w:tc>
          <w:tcPr>
            <w:tcW w:w="3076" w:type="pct"/>
            <w:vAlign w:val="center"/>
          </w:tcPr>
          <w:p w14:paraId="4EB09269">
            <w:pPr>
              <w:autoSpaceDE w:val="0"/>
              <w:autoSpaceDN w:val="0"/>
              <w:adjustRightInd w:val="0"/>
              <w:snapToGrid w:val="0"/>
              <w:spacing w:line="360" w:lineRule="auto"/>
              <w:ind w:left="38" w:leftChars="18"/>
              <w:jc w:val="center"/>
              <w:rPr>
                <w:rFonts w:ascii="宋体" w:hAnsi="宋体" w:cs="宋体"/>
                <w:b/>
                <w:color w:val="auto"/>
                <w:szCs w:val="21"/>
              </w:rPr>
            </w:pPr>
            <w:r>
              <w:rPr>
                <w:rFonts w:hint="eastAsia" w:ascii="宋体" w:hAnsi="宋体" w:cs="宋体"/>
                <w:b/>
                <w:color w:val="auto"/>
                <w:spacing w:val="1"/>
                <w:szCs w:val="21"/>
              </w:rPr>
              <w:t>评审内容</w:t>
            </w:r>
          </w:p>
        </w:tc>
      </w:tr>
      <w:tr w14:paraId="75D3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84" w:type="pct"/>
            <w:vAlign w:val="center"/>
          </w:tcPr>
          <w:p w14:paraId="76C4F99D">
            <w:pPr>
              <w:widowControl/>
              <w:adjustRightInd w:val="0"/>
              <w:snapToGrid w:val="0"/>
              <w:spacing w:line="360" w:lineRule="auto"/>
              <w:jc w:val="center"/>
              <w:rPr>
                <w:rFonts w:hint="eastAsia" w:ascii="宋体" w:hAnsi="宋体" w:cs="宋体"/>
                <w:color w:val="auto"/>
                <w:kern w:val="0"/>
                <w:szCs w:val="21"/>
              </w:rPr>
            </w:pPr>
          </w:p>
          <w:p w14:paraId="14658340">
            <w:pPr>
              <w:widowControl/>
              <w:adjustRightInd w:val="0"/>
              <w:snapToGrid w:val="0"/>
              <w:spacing w:line="360" w:lineRule="auto"/>
              <w:jc w:val="center"/>
              <w:rPr>
                <w:rFonts w:hint="eastAsia" w:ascii="宋体" w:hAnsi="宋体" w:cs="宋体"/>
                <w:color w:val="auto"/>
                <w:kern w:val="0"/>
                <w:szCs w:val="21"/>
              </w:rPr>
            </w:pPr>
          </w:p>
          <w:p w14:paraId="0E47E583">
            <w:pPr>
              <w:widowControl/>
              <w:adjustRightInd w:val="0"/>
              <w:snapToGrid w:val="0"/>
              <w:spacing w:line="360" w:lineRule="auto"/>
              <w:jc w:val="center"/>
              <w:rPr>
                <w:rFonts w:hint="eastAsia" w:ascii="宋体" w:hAnsi="宋体" w:cs="宋体"/>
                <w:color w:val="auto"/>
                <w:kern w:val="0"/>
                <w:szCs w:val="21"/>
              </w:rPr>
            </w:pPr>
          </w:p>
          <w:p w14:paraId="019EDF3C">
            <w:pPr>
              <w:widowControl/>
              <w:adjustRightInd w:val="0"/>
              <w:snapToGrid w:val="0"/>
              <w:spacing w:line="360" w:lineRule="auto"/>
              <w:jc w:val="center"/>
              <w:rPr>
                <w:rFonts w:hint="eastAsia" w:ascii="宋体" w:hAnsi="宋体" w:cs="宋体"/>
                <w:color w:val="auto"/>
                <w:kern w:val="0"/>
                <w:szCs w:val="21"/>
              </w:rPr>
            </w:pPr>
          </w:p>
          <w:p w14:paraId="20CECA68">
            <w:pPr>
              <w:widowControl/>
              <w:adjustRightInd w:val="0"/>
              <w:snapToGrid w:val="0"/>
              <w:spacing w:line="360" w:lineRule="auto"/>
              <w:jc w:val="center"/>
              <w:rPr>
                <w:rFonts w:hint="eastAsia" w:ascii="宋体" w:hAnsi="宋体" w:cs="宋体"/>
                <w:color w:val="auto"/>
                <w:kern w:val="0"/>
                <w:szCs w:val="21"/>
              </w:rPr>
            </w:pPr>
          </w:p>
          <w:p w14:paraId="60F46F09">
            <w:pPr>
              <w:pStyle w:val="2"/>
              <w:rPr>
                <w:rFonts w:hint="eastAsia" w:ascii="宋体" w:hAnsi="宋体" w:cs="宋体"/>
                <w:color w:val="auto"/>
                <w:kern w:val="0"/>
                <w:szCs w:val="21"/>
              </w:rPr>
            </w:pPr>
          </w:p>
          <w:p w14:paraId="0EE199AA">
            <w:pPr>
              <w:rPr>
                <w:rFonts w:hint="eastAsia"/>
              </w:rPr>
            </w:pPr>
          </w:p>
          <w:p w14:paraId="243328C8">
            <w:pPr>
              <w:widowControl/>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2.2.2（1）</w:t>
            </w:r>
          </w:p>
        </w:tc>
        <w:tc>
          <w:tcPr>
            <w:tcW w:w="619" w:type="pct"/>
            <w:gridSpan w:val="2"/>
            <w:vAlign w:val="center"/>
          </w:tcPr>
          <w:p w14:paraId="08F773A1">
            <w:pPr>
              <w:widowControl/>
              <w:adjustRightInd w:val="0"/>
              <w:snapToGrid w:val="0"/>
              <w:spacing w:line="360" w:lineRule="auto"/>
              <w:jc w:val="center"/>
              <w:rPr>
                <w:rFonts w:hint="eastAsia" w:ascii="宋体" w:hAnsi="宋体" w:cs="宋体"/>
                <w:b/>
                <w:color w:val="auto"/>
                <w:szCs w:val="21"/>
              </w:rPr>
            </w:pPr>
          </w:p>
          <w:p w14:paraId="73A77D3E">
            <w:pPr>
              <w:widowControl/>
              <w:adjustRightInd w:val="0"/>
              <w:snapToGrid w:val="0"/>
              <w:spacing w:line="360" w:lineRule="auto"/>
              <w:jc w:val="center"/>
              <w:rPr>
                <w:rFonts w:hint="eastAsia" w:ascii="宋体" w:hAnsi="宋体" w:cs="宋体"/>
                <w:b/>
                <w:color w:val="auto"/>
                <w:szCs w:val="21"/>
              </w:rPr>
            </w:pPr>
          </w:p>
          <w:p w14:paraId="1A58B947">
            <w:pPr>
              <w:widowControl/>
              <w:adjustRightInd w:val="0"/>
              <w:snapToGrid w:val="0"/>
              <w:spacing w:line="360" w:lineRule="auto"/>
              <w:jc w:val="center"/>
              <w:rPr>
                <w:rFonts w:hint="eastAsia" w:ascii="宋体" w:hAnsi="宋体" w:cs="宋体"/>
                <w:b/>
                <w:color w:val="auto"/>
                <w:szCs w:val="21"/>
              </w:rPr>
            </w:pPr>
          </w:p>
          <w:p w14:paraId="4D80436A">
            <w:pPr>
              <w:widowControl/>
              <w:adjustRightInd w:val="0"/>
              <w:snapToGrid w:val="0"/>
              <w:spacing w:line="360" w:lineRule="auto"/>
              <w:jc w:val="center"/>
              <w:rPr>
                <w:rFonts w:hint="eastAsia" w:ascii="宋体" w:hAnsi="宋体" w:cs="宋体"/>
                <w:b/>
                <w:color w:val="auto"/>
                <w:szCs w:val="21"/>
              </w:rPr>
            </w:pPr>
          </w:p>
          <w:p w14:paraId="2ADE6E94">
            <w:pPr>
              <w:widowControl/>
              <w:adjustRightInd w:val="0"/>
              <w:snapToGrid w:val="0"/>
              <w:spacing w:line="360" w:lineRule="auto"/>
              <w:jc w:val="center"/>
              <w:rPr>
                <w:rFonts w:hint="eastAsia" w:ascii="宋体" w:hAnsi="宋体" w:cs="宋体"/>
                <w:b/>
                <w:color w:val="auto"/>
                <w:szCs w:val="21"/>
              </w:rPr>
            </w:pPr>
          </w:p>
          <w:p w14:paraId="5C4B80BE">
            <w:pPr>
              <w:pStyle w:val="2"/>
              <w:rPr>
                <w:rFonts w:hint="eastAsia"/>
              </w:rPr>
            </w:pPr>
          </w:p>
          <w:p w14:paraId="7051BFA7">
            <w:pPr>
              <w:widowControl/>
              <w:adjustRightInd w:val="0"/>
              <w:snapToGrid w:val="0"/>
              <w:spacing w:line="360" w:lineRule="auto"/>
              <w:jc w:val="center"/>
              <w:rPr>
                <w:rFonts w:hint="eastAsia" w:ascii="宋体" w:hAnsi="宋体" w:cs="宋体"/>
                <w:b/>
                <w:color w:val="auto"/>
                <w:szCs w:val="21"/>
              </w:rPr>
            </w:pPr>
          </w:p>
          <w:p w14:paraId="5B133DFE">
            <w:pPr>
              <w:widowControl/>
              <w:adjustRightInd w:val="0"/>
              <w:snapToGrid w:val="0"/>
              <w:spacing w:line="360" w:lineRule="auto"/>
              <w:jc w:val="center"/>
              <w:rPr>
                <w:rFonts w:ascii="宋体" w:hAnsi="宋体" w:cs="宋体"/>
                <w:b/>
                <w:color w:val="auto"/>
                <w:szCs w:val="21"/>
              </w:rPr>
            </w:pPr>
            <w:r>
              <w:rPr>
                <w:rFonts w:hint="eastAsia" w:ascii="宋体" w:hAnsi="宋体" w:cs="宋体"/>
                <w:b/>
                <w:color w:val="auto"/>
                <w:szCs w:val="21"/>
              </w:rPr>
              <w:t>报价</w:t>
            </w:r>
          </w:p>
          <w:p w14:paraId="23AAFFBE">
            <w:pPr>
              <w:widowControl/>
              <w:adjustRightInd w:val="0"/>
              <w:snapToGrid w:val="0"/>
              <w:spacing w:line="360" w:lineRule="auto"/>
              <w:jc w:val="center"/>
              <w:rPr>
                <w:rFonts w:ascii="宋体" w:hAnsi="宋体" w:cs="宋体"/>
                <w:b/>
                <w:color w:val="auto"/>
                <w:szCs w:val="21"/>
              </w:rPr>
            </w:pPr>
            <w:r>
              <w:rPr>
                <w:rFonts w:hint="eastAsia" w:ascii="宋体" w:hAnsi="宋体" w:cs="宋体"/>
                <w:b/>
                <w:color w:val="auto"/>
                <w:szCs w:val="21"/>
              </w:rPr>
              <w:t>得分</w:t>
            </w:r>
          </w:p>
          <w:p w14:paraId="03772FD6">
            <w:pPr>
              <w:widowControl/>
              <w:adjustRightInd w:val="0"/>
              <w:snapToGrid w:val="0"/>
              <w:spacing w:line="360" w:lineRule="auto"/>
              <w:jc w:val="center"/>
              <w:rPr>
                <w:rFonts w:ascii="宋体" w:hAnsi="宋体" w:cs="宋体"/>
                <w:b/>
                <w:color w:val="auto"/>
                <w:szCs w:val="21"/>
              </w:rPr>
            </w:pPr>
            <w:r>
              <w:rPr>
                <w:rFonts w:hint="eastAsia" w:ascii="宋体" w:hAnsi="宋体" w:cs="宋体"/>
                <w:b/>
                <w:color w:val="auto"/>
                <w:szCs w:val="21"/>
              </w:rPr>
              <w:t>（30分）</w:t>
            </w:r>
          </w:p>
        </w:tc>
        <w:tc>
          <w:tcPr>
            <w:tcW w:w="819" w:type="pct"/>
            <w:vAlign w:val="center"/>
          </w:tcPr>
          <w:p w14:paraId="1116696F">
            <w:pPr>
              <w:adjustRightInd w:val="0"/>
              <w:snapToGrid w:val="0"/>
              <w:spacing w:line="360" w:lineRule="auto"/>
              <w:jc w:val="center"/>
              <w:rPr>
                <w:rFonts w:ascii="宋体" w:hAnsi="宋体" w:cs="宋体"/>
                <w:color w:val="auto"/>
                <w:kern w:val="0"/>
                <w:szCs w:val="21"/>
              </w:rPr>
            </w:pPr>
            <w:r>
              <w:rPr>
                <w:rFonts w:hint="eastAsia" w:ascii="宋体" w:hAnsi="宋体" w:cs="宋体"/>
                <w:b/>
                <w:bCs/>
                <w:color w:val="auto"/>
                <w:kern w:val="0"/>
                <w:szCs w:val="21"/>
              </w:rPr>
              <w:t>投标报价标准</w:t>
            </w:r>
          </w:p>
        </w:tc>
        <w:tc>
          <w:tcPr>
            <w:tcW w:w="3076" w:type="pct"/>
            <w:vAlign w:val="center"/>
          </w:tcPr>
          <w:p w14:paraId="28498F18">
            <w:pPr>
              <w:adjustRightInd w:val="0"/>
              <w:snapToGrid w:val="0"/>
              <w:spacing w:line="360" w:lineRule="auto"/>
              <w:jc w:val="left"/>
              <w:rPr>
                <w:rFonts w:ascii="宋体" w:hAnsi="宋体" w:cs="宋体"/>
                <w:color w:val="auto"/>
                <w:kern w:val="0"/>
                <w:szCs w:val="21"/>
              </w:rPr>
            </w:pPr>
            <w:r>
              <w:rPr>
                <w:rFonts w:hint="eastAsia" w:ascii="宋体" w:hAnsi="宋体" w:cs="宋体"/>
                <w:color w:val="auto"/>
                <w:kern w:val="0"/>
                <w:szCs w:val="21"/>
              </w:rPr>
              <w:t>计算方法如下：</w:t>
            </w:r>
          </w:p>
          <w:p w14:paraId="3A683109">
            <w:pPr>
              <w:adjustRightInd w:val="0"/>
              <w:snapToGrid w:val="0"/>
              <w:spacing w:line="360" w:lineRule="auto"/>
              <w:jc w:val="left"/>
              <w:rPr>
                <w:rFonts w:ascii="宋体" w:hAnsi="宋体" w:cs="宋体"/>
                <w:color w:val="auto"/>
                <w:kern w:val="0"/>
                <w:szCs w:val="21"/>
              </w:rPr>
            </w:pPr>
            <w:r>
              <w:rPr>
                <w:rFonts w:hint="eastAsia" w:ascii="宋体" w:hAnsi="宋体" w:cs="宋体"/>
                <w:color w:val="auto"/>
                <w:kern w:val="0"/>
                <w:szCs w:val="21"/>
              </w:rPr>
              <w:t>评标基准值=有效</w:t>
            </w:r>
            <w:r>
              <w:rPr>
                <w:rFonts w:hint="eastAsia" w:ascii="宋体" w:hAnsi="宋体" w:cs="宋体"/>
                <w:color w:val="auto"/>
                <w:kern w:val="0"/>
                <w:szCs w:val="21"/>
                <w:lang w:eastAsia="zh-CN"/>
              </w:rPr>
              <w:t>供应商</w:t>
            </w:r>
            <w:r>
              <w:rPr>
                <w:rFonts w:hint="eastAsia" w:ascii="宋体" w:hAnsi="宋体" w:cs="宋体"/>
                <w:color w:val="auto"/>
                <w:kern w:val="0"/>
                <w:szCs w:val="21"/>
              </w:rPr>
              <w:t>的最低评标报价</w:t>
            </w:r>
          </w:p>
          <w:p w14:paraId="45C9C45A">
            <w:pPr>
              <w:adjustRightInd w:val="0"/>
              <w:snapToGrid w:val="0"/>
              <w:spacing w:line="360" w:lineRule="auto"/>
              <w:jc w:val="left"/>
              <w:rPr>
                <w:rFonts w:ascii="宋体" w:hAnsi="宋体" w:cs="宋体"/>
                <w:color w:val="auto"/>
                <w:kern w:val="0"/>
                <w:szCs w:val="21"/>
              </w:rPr>
            </w:pPr>
            <w:r>
              <w:rPr>
                <w:rFonts w:hint="eastAsia" w:ascii="宋体" w:hAnsi="宋体" w:cs="宋体"/>
                <w:color w:val="auto"/>
                <w:kern w:val="0"/>
                <w:szCs w:val="21"/>
              </w:rPr>
              <w:t>投标报价得分=评标基准值/评标报价×30</w:t>
            </w:r>
          </w:p>
          <w:p w14:paraId="293B02B3">
            <w:pPr>
              <w:adjustRightInd w:val="0"/>
              <w:snapToGrid w:val="0"/>
              <w:spacing w:line="360" w:lineRule="auto"/>
              <w:jc w:val="left"/>
              <w:rPr>
                <w:rFonts w:ascii="宋体" w:hAnsi="宋体" w:cs="宋体"/>
                <w:color w:val="auto"/>
                <w:kern w:val="0"/>
                <w:szCs w:val="21"/>
              </w:rPr>
            </w:pPr>
            <w:r>
              <w:rPr>
                <w:rFonts w:hint="eastAsia" w:ascii="宋体" w:hAnsi="宋体" w:cs="宋体"/>
                <w:color w:val="auto"/>
                <w:kern w:val="0"/>
                <w:szCs w:val="21"/>
              </w:rPr>
              <w:t>（1）为贯彻落实《政府采购促进中小企业发展管理办法》（财库[2020]46号）、财库〔2022〕19号《财政部关于进一步加大政府采购支持中小企业力度的通知》、《关于促进残疾人就业政府采购政策的通知》（财库[2017]141号）、《关于政府采购支持监狱企业发展有关问题的通知》（财库[2014]68号）等规定，促进中小型企业的发展，评审时给予小型或微型企业、监狱企业、残疾人福利性单位</w:t>
            </w:r>
            <w:r>
              <w:rPr>
                <w:rFonts w:hint="eastAsia" w:ascii="宋体" w:hAnsi="宋体" w:cs="宋体"/>
                <w:color w:val="auto"/>
                <w:kern w:val="0"/>
                <w:szCs w:val="21"/>
                <w:lang w:val="en-US" w:eastAsia="zh-CN"/>
              </w:rPr>
              <w:t>2</w:t>
            </w:r>
            <w:r>
              <w:rPr>
                <w:rFonts w:hint="eastAsia" w:ascii="宋体" w:hAnsi="宋体" w:cs="宋体"/>
                <w:color w:val="auto"/>
                <w:kern w:val="0"/>
                <w:szCs w:val="21"/>
              </w:rPr>
              <w:t>0%的价格扣除，用扣除后的价格参与评审。同一</w:t>
            </w:r>
            <w:r>
              <w:rPr>
                <w:rFonts w:hint="eastAsia" w:ascii="宋体" w:hAnsi="宋体" w:cs="宋体"/>
                <w:color w:val="auto"/>
                <w:kern w:val="0"/>
                <w:szCs w:val="21"/>
                <w:lang w:eastAsia="zh-CN"/>
              </w:rPr>
              <w:t>供应商</w:t>
            </w:r>
            <w:r>
              <w:rPr>
                <w:rFonts w:hint="eastAsia" w:ascii="宋体" w:hAnsi="宋体" w:cs="宋体"/>
                <w:color w:val="auto"/>
                <w:kern w:val="0"/>
                <w:szCs w:val="21"/>
              </w:rPr>
              <w:t>，小微企业、监狱企业、残疾人福利性单位价格扣除优惠只享受一次，不得重复享受。应提供《中小企业声明函》、《残疾人福利性单位声明函》、《监狱企业的证明文件》，格式见投标文件格式，未提供声明函者不予认定。</w:t>
            </w:r>
          </w:p>
          <w:p w14:paraId="00F13DAF">
            <w:pPr>
              <w:adjustRightInd w:val="0"/>
              <w:snapToGrid w:val="0"/>
              <w:spacing w:line="360" w:lineRule="auto"/>
              <w:jc w:val="left"/>
              <w:rPr>
                <w:rFonts w:ascii="宋体" w:hAnsi="宋体" w:cs="宋体"/>
                <w:b/>
                <w:bCs/>
                <w:color w:val="auto"/>
                <w:kern w:val="0"/>
                <w:szCs w:val="21"/>
                <w:highlight w:val="none"/>
              </w:rPr>
            </w:pPr>
            <w:r>
              <w:rPr>
                <w:rFonts w:hint="eastAsia" w:ascii="宋体" w:hAnsi="宋体" w:cs="宋体"/>
                <w:color w:val="auto"/>
                <w:kern w:val="0"/>
                <w:szCs w:val="21"/>
              </w:rPr>
              <w:t>（2）评标委员会认定某</w:t>
            </w:r>
            <w:r>
              <w:rPr>
                <w:rFonts w:hint="eastAsia" w:ascii="宋体" w:hAnsi="宋体" w:cs="宋体"/>
                <w:color w:val="auto"/>
                <w:kern w:val="0"/>
                <w:szCs w:val="21"/>
                <w:lang w:eastAsia="zh-CN"/>
              </w:rPr>
              <w:t>供应商</w:t>
            </w:r>
            <w:r>
              <w:rPr>
                <w:rFonts w:hint="eastAsia" w:ascii="宋体" w:hAnsi="宋体" w:cs="宋体"/>
                <w:color w:val="auto"/>
                <w:kern w:val="0"/>
                <w:szCs w:val="21"/>
              </w:rPr>
              <w:t>的投标报价明显低于其他有效</w:t>
            </w:r>
            <w:r>
              <w:rPr>
                <w:rFonts w:hint="eastAsia" w:ascii="宋体" w:hAnsi="宋体" w:cs="宋体"/>
                <w:color w:val="auto"/>
                <w:kern w:val="0"/>
                <w:szCs w:val="21"/>
                <w:lang w:eastAsia="zh-CN"/>
              </w:rPr>
              <w:t>供应商</w:t>
            </w:r>
            <w:r>
              <w:rPr>
                <w:rFonts w:hint="eastAsia" w:ascii="宋体" w:hAnsi="宋体" w:cs="宋体"/>
                <w:color w:val="auto"/>
                <w:kern w:val="0"/>
                <w:szCs w:val="21"/>
              </w:rPr>
              <w:t>投标报价，有可能影响产品质量或者不能诚信履约的，评标委员会有权要求该</w:t>
            </w:r>
            <w:r>
              <w:rPr>
                <w:rFonts w:hint="eastAsia" w:ascii="宋体" w:hAnsi="宋体" w:cs="宋体"/>
                <w:color w:val="auto"/>
                <w:kern w:val="0"/>
                <w:szCs w:val="21"/>
                <w:lang w:eastAsia="zh-CN"/>
              </w:rPr>
              <w:t>供应商</w:t>
            </w:r>
            <w:r>
              <w:rPr>
                <w:rFonts w:hint="eastAsia" w:ascii="宋体" w:hAnsi="宋体" w:cs="宋体"/>
                <w:color w:val="auto"/>
                <w:kern w:val="0"/>
                <w:szCs w:val="21"/>
              </w:rPr>
              <w:t>对其报价的合理性作出书面说明，并提供相关证明材料，否则作为无效投标处理。</w:t>
            </w:r>
          </w:p>
          <w:p w14:paraId="62AD2BC5">
            <w:pPr>
              <w:adjustRightInd w:val="0"/>
              <w:snapToGrid w:val="0"/>
              <w:spacing w:line="360" w:lineRule="auto"/>
              <w:jc w:val="left"/>
              <w:rPr>
                <w:rFonts w:ascii="宋体" w:hAnsi="宋体" w:cs="宋体"/>
                <w:b/>
                <w:bCs/>
                <w:color w:val="auto"/>
                <w:kern w:val="0"/>
                <w:szCs w:val="21"/>
                <w:highlight w:val="none"/>
              </w:rPr>
            </w:pPr>
            <w:r>
              <w:rPr>
                <w:rFonts w:hint="eastAsia" w:ascii="宋体" w:hAnsi="宋体" w:cs="宋体"/>
                <w:b/>
                <w:bCs/>
                <w:color w:val="auto"/>
                <w:kern w:val="0"/>
                <w:szCs w:val="21"/>
                <w:highlight w:val="none"/>
              </w:rPr>
              <w:t>注：</w:t>
            </w:r>
          </w:p>
          <w:p w14:paraId="07C7D339">
            <w:pPr>
              <w:adjustRightInd w:val="0"/>
              <w:snapToGrid w:val="0"/>
              <w:spacing w:line="360" w:lineRule="auto"/>
              <w:jc w:val="left"/>
              <w:rPr>
                <w:rFonts w:ascii="宋体" w:hAnsi="宋体" w:cs="宋体"/>
                <w:color w:val="auto"/>
                <w:kern w:val="0"/>
                <w:szCs w:val="21"/>
              </w:rPr>
            </w:pPr>
            <w:r>
              <w:rPr>
                <w:rFonts w:hint="eastAsia" w:ascii="宋体" w:hAnsi="宋体" w:cs="宋体"/>
                <w:b/>
                <w:bCs/>
                <w:color w:val="auto"/>
                <w:kern w:val="0"/>
                <w:szCs w:val="21"/>
                <w:highlight w:val="none"/>
              </w:rPr>
              <w:t>1、有效</w:t>
            </w:r>
            <w:r>
              <w:rPr>
                <w:rFonts w:hint="eastAsia" w:ascii="宋体" w:hAnsi="宋体" w:cs="宋体"/>
                <w:b/>
                <w:bCs/>
                <w:color w:val="auto"/>
                <w:kern w:val="0"/>
                <w:szCs w:val="21"/>
                <w:highlight w:val="none"/>
                <w:lang w:eastAsia="zh-CN"/>
              </w:rPr>
              <w:t>供应商</w:t>
            </w:r>
            <w:r>
              <w:rPr>
                <w:rFonts w:hint="eastAsia" w:ascii="宋体" w:hAnsi="宋体" w:cs="宋体"/>
                <w:b/>
                <w:bCs/>
                <w:color w:val="auto"/>
                <w:kern w:val="0"/>
                <w:szCs w:val="21"/>
                <w:highlight w:val="none"/>
              </w:rPr>
              <w:t>是指响应招标文件要求并通过资格审查、形式评审、符合性审查未被判定为无效投标的所有</w:t>
            </w:r>
            <w:r>
              <w:rPr>
                <w:rFonts w:hint="eastAsia" w:ascii="宋体" w:hAnsi="宋体" w:cs="宋体"/>
                <w:b/>
                <w:bCs/>
                <w:color w:val="auto"/>
                <w:kern w:val="0"/>
                <w:szCs w:val="21"/>
                <w:highlight w:val="none"/>
                <w:lang w:eastAsia="zh-CN"/>
              </w:rPr>
              <w:t>供应商</w:t>
            </w:r>
            <w:r>
              <w:rPr>
                <w:rFonts w:hint="eastAsia" w:ascii="宋体" w:hAnsi="宋体" w:cs="宋体"/>
                <w:b/>
                <w:bCs/>
                <w:color w:val="auto"/>
                <w:kern w:val="0"/>
                <w:szCs w:val="21"/>
                <w:highlight w:val="none"/>
              </w:rPr>
              <w:t>。</w:t>
            </w:r>
          </w:p>
        </w:tc>
      </w:tr>
      <w:tr w14:paraId="3B30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84" w:type="pct"/>
            <w:vMerge w:val="restart"/>
            <w:vAlign w:val="center"/>
          </w:tcPr>
          <w:p w14:paraId="4DB28DC5">
            <w:pPr>
              <w:widowControl/>
              <w:adjustRightInd w:val="0"/>
              <w:snapToGrid w:val="0"/>
              <w:spacing w:line="360" w:lineRule="auto"/>
              <w:jc w:val="both"/>
              <w:rPr>
                <w:rFonts w:ascii="宋体" w:hAnsi="宋体" w:cs="宋体"/>
                <w:color w:val="auto"/>
                <w:kern w:val="0"/>
                <w:szCs w:val="21"/>
              </w:rPr>
            </w:pPr>
          </w:p>
          <w:p w14:paraId="53C72D90">
            <w:pPr>
              <w:widowControl/>
              <w:adjustRightInd w:val="0"/>
              <w:snapToGrid w:val="0"/>
              <w:spacing w:line="360" w:lineRule="auto"/>
              <w:jc w:val="center"/>
              <w:rPr>
                <w:rFonts w:ascii="宋体" w:hAnsi="宋体" w:cs="宋体"/>
                <w:color w:val="auto"/>
                <w:kern w:val="0"/>
                <w:szCs w:val="21"/>
              </w:rPr>
            </w:pPr>
          </w:p>
          <w:p w14:paraId="179A5328">
            <w:pPr>
              <w:widowControl/>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2.2.2（2）</w:t>
            </w:r>
          </w:p>
          <w:p w14:paraId="329558B6">
            <w:pPr>
              <w:widowControl/>
              <w:adjustRightInd w:val="0"/>
              <w:snapToGrid w:val="0"/>
              <w:spacing w:line="360" w:lineRule="auto"/>
              <w:jc w:val="center"/>
              <w:rPr>
                <w:rFonts w:ascii="宋体" w:hAnsi="宋体" w:cs="宋体"/>
                <w:color w:val="auto"/>
                <w:szCs w:val="21"/>
              </w:rPr>
            </w:pPr>
          </w:p>
          <w:p w14:paraId="499C79C1">
            <w:pPr>
              <w:spacing w:after="120" w:line="360" w:lineRule="auto"/>
              <w:ind w:left="1470" w:leftChars="700" w:right="1470" w:rightChars="700"/>
              <w:rPr>
                <w:rFonts w:ascii="宋体" w:hAnsi="宋体" w:cs="宋体"/>
                <w:color w:val="auto"/>
                <w:szCs w:val="21"/>
              </w:rPr>
            </w:pPr>
          </w:p>
        </w:tc>
        <w:tc>
          <w:tcPr>
            <w:tcW w:w="619" w:type="pct"/>
            <w:gridSpan w:val="2"/>
            <w:vMerge w:val="restart"/>
            <w:vAlign w:val="center"/>
          </w:tcPr>
          <w:p w14:paraId="7D694497">
            <w:pPr>
              <w:widowControl/>
              <w:adjustRightInd w:val="0"/>
              <w:snapToGrid w:val="0"/>
              <w:spacing w:line="360" w:lineRule="auto"/>
              <w:jc w:val="both"/>
              <w:rPr>
                <w:rFonts w:ascii="宋体" w:hAnsi="宋体" w:cs="宋体"/>
                <w:b/>
                <w:color w:val="auto"/>
                <w:szCs w:val="21"/>
                <w:highlight w:val="none"/>
              </w:rPr>
            </w:pPr>
          </w:p>
          <w:p w14:paraId="7FB71955">
            <w:pPr>
              <w:widowControl/>
              <w:adjustRightInd w:val="0"/>
              <w:snapToGrid w:val="0"/>
              <w:spacing w:line="360" w:lineRule="auto"/>
              <w:jc w:val="center"/>
              <w:rPr>
                <w:rFonts w:ascii="宋体" w:hAnsi="宋体" w:cs="宋体"/>
                <w:b/>
                <w:color w:val="auto"/>
                <w:szCs w:val="21"/>
                <w:highlight w:val="none"/>
              </w:rPr>
            </w:pPr>
          </w:p>
          <w:p w14:paraId="3282D6EF">
            <w:pPr>
              <w:widowControl/>
              <w:adjustRightInd w:val="0"/>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技术</w:t>
            </w:r>
          </w:p>
          <w:p w14:paraId="59CB6AC4">
            <w:pPr>
              <w:widowControl/>
              <w:adjustRightInd w:val="0"/>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部分</w:t>
            </w:r>
          </w:p>
          <w:p w14:paraId="0494078A">
            <w:pPr>
              <w:widowControl/>
              <w:adjustRightInd w:val="0"/>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30</w:t>
            </w:r>
            <w:r>
              <w:rPr>
                <w:rFonts w:hint="eastAsia" w:ascii="宋体" w:hAnsi="宋体" w:cs="宋体"/>
                <w:b/>
                <w:color w:val="auto"/>
                <w:szCs w:val="21"/>
                <w:highlight w:val="none"/>
              </w:rPr>
              <w:t>分）</w:t>
            </w:r>
          </w:p>
        </w:tc>
        <w:tc>
          <w:tcPr>
            <w:tcW w:w="819" w:type="pct"/>
            <w:vAlign w:val="center"/>
          </w:tcPr>
          <w:p w14:paraId="1E878AE7">
            <w:pPr>
              <w:widowControl/>
              <w:spacing w:after="0" w:line="400" w:lineRule="exact"/>
              <w:jc w:val="center"/>
              <w:rPr>
                <w:rFonts w:ascii="宋体" w:hAnsi="宋体" w:cs="宋体"/>
                <w:kern w:val="0"/>
                <w:szCs w:val="21"/>
              </w:rPr>
            </w:pPr>
            <w:r>
              <w:rPr>
                <w:rFonts w:hint="eastAsia" w:ascii="宋体" w:hAnsi="宋体" w:cs="宋体"/>
                <w:kern w:val="0"/>
                <w:szCs w:val="21"/>
              </w:rPr>
              <w:t>技术参数</w:t>
            </w:r>
          </w:p>
          <w:p w14:paraId="49995583">
            <w:pPr>
              <w:adjustRightInd w:val="0"/>
              <w:snapToGrid w:val="0"/>
              <w:spacing w:line="360" w:lineRule="auto"/>
              <w:jc w:val="left"/>
              <w:rPr>
                <w:rFonts w:ascii="宋体" w:hAnsi="宋体" w:cs="宋体"/>
                <w:color w:val="auto"/>
                <w:kern w:val="0"/>
                <w:szCs w:val="21"/>
                <w:highlight w:val="none"/>
              </w:rPr>
            </w:pPr>
            <w:r>
              <w:rPr>
                <w:rFonts w:hint="eastAsia" w:ascii="宋体" w:hAnsi="宋体" w:cs="宋体"/>
                <w:kern w:val="0"/>
                <w:szCs w:val="21"/>
              </w:rPr>
              <w:t>(2</w:t>
            </w:r>
            <w:r>
              <w:rPr>
                <w:rFonts w:hint="eastAsia" w:ascii="宋体" w:hAnsi="宋体" w:eastAsia="宋体" w:cs="宋体"/>
                <w:kern w:val="0"/>
                <w:szCs w:val="21"/>
                <w:lang w:val="en-US" w:eastAsia="zh-CN"/>
              </w:rPr>
              <w:t>5</w:t>
            </w:r>
            <w:r>
              <w:rPr>
                <w:rFonts w:hint="eastAsia" w:ascii="宋体" w:hAnsi="宋体" w:cs="宋体"/>
                <w:kern w:val="0"/>
                <w:szCs w:val="21"/>
              </w:rPr>
              <w:t>分)</w:t>
            </w:r>
          </w:p>
        </w:tc>
        <w:tc>
          <w:tcPr>
            <w:tcW w:w="3076" w:type="pct"/>
            <w:shd w:val="clear" w:color="auto" w:fill="auto"/>
            <w:vAlign w:val="center"/>
          </w:tcPr>
          <w:p w14:paraId="6C63B40F">
            <w:pPr>
              <w:widowControl/>
              <w:spacing w:after="0" w:line="400" w:lineRule="exact"/>
              <w:rPr>
                <w:rFonts w:ascii="宋体" w:hAnsi="宋体" w:cs="宋体"/>
                <w:kern w:val="0"/>
                <w:szCs w:val="21"/>
              </w:rPr>
            </w:pPr>
            <w:r>
              <w:rPr>
                <w:rFonts w:hint="eastAsia" w:ascii="宋体" w:hAnsi="宋体" w:cs="宋体"/>
                <w:kern w:val="0"/>
                <w:szCs w:val="21"/>
              </w:rPr>
              <w:t>1.</w:t>
            </w:r>
            <w:r>
              <w:rPr>
                <w:rFonts w:hint="eastAsia" w:ascii="宋体" w:hAnsi="宋体" w:eastAsia="宋体" w:cs="宋体"/>
                <w:kern w:val="0"/>
                <w:szCs w:val="21"/>
                <w:lang w:eastAsia="zh-CN"/>
              </w:rPr>
              <w:t>供应商</w:t>
            </w:r>
            <w:r>
              <w:rPr>
                <w:rFonts w:hint="eastAsia" w:ascii="宋体" w:hAnsi="宋体" w:cs="宋体"/>
                <w:kern w:val="0"/>
                <w:szCs w:val="21"/>
              </w:rPr>
              <w:t>所投产品</w:t>
            </w:r>
            <w:r>
              <w:rPr>
                <w:rFonts w:ascii="宋体" w:hAnsi="宋体" w:cs="宋体"/>
                <w:kern w:val="0"/>
                <w:szCs w:val="21"/>
              </w:rPr>
              <w:t>加</w:t>
            </w:r>
            <w:r>
              <w:rPr>
                <w:rFonts w:hint="eastAsia" w:ascii="宋体" w:hAnsi="宋体" w:cs="宋体"/>
                <w:kern w:val="0"/>
                <w:szCs w:val="21"/>
              </w:rPr>
              <w:t>★</w:t>
            </w:r>
            <w:r>
              <w:rPr>
                <w:rFonts w:ascii="宋体" w:hAnsi="宋体" w:cs="宋体"/>
                <w:kern w:val="0"/>
                <w:szCs w:val="21"/>
              </w:rPr>
              <w:t>项</w:t>
            </w:r>
            <w:r>
              <w:rPr>
                <w:rFonts w:hint="eastAsia" w:ascii="宋体" w:hAnsi="宋体" w:cs="宋体"/>
                <w:kern w:val="0"/>
                <w:szCs w:val="21"/>
              </w:rPr>
              <w:t>全部满足招标文件技术参数要求的得20分；</w:t>
            </w:r>
            <w:r>
              <w:rPr>
                <w:rFonts w:ascii="宋体" w:hAnsi="宋体" w:cs="宋体"/>
                <w:kern w:val="0"/>
                <w:szCs w:val="21"/>
              </w:rPr>
              <w:t>加</w:t>
            </w:r>
            <w:r>
              <w:rPr>
                <w:rFonts w:hint="eastAsia" w:ascii="宋体" w:hAnsi="宋体" w:cs="宋体"/>
                <w:kern w:val="0"/>
                <w:szCs w:val="21"/>
              </w:rPr>
              <w:t>★</w:t>
            </w:r>
            <w:r>
              <w:rPr>
                <w:rFonts w:ascii="宋体" w:hAnsi="宋体" w:cs="宋体"/>
                <w:kern w:val="0"/>
                <w:szCs w:val="21"/>
              </w:rPr>
              <w:t>项</w:t>
            </w:r>
            <w:r>
              <w:rPr>
                <w:rFonts w:hint="eastAsia" w:ascii="宋体" w:hAnsi="宋体" w:cs="宋体"/>
                <w:kern w:val="0"/>
                <w:szCs w:val="21"/>
              </w:rPr>
              <w:t>每有一项不满足在20分的基础上扣</w:t>
            </w:r>
            <w:r>
              <w:rPr>
                <w:rFonts w:ascii="宋体" w:hAnsi="宋体" w:cs="宋体"/>
                <w:kern w:val="0"/>
                <w:szCs w:val="21"/>
              </w:rPr>
              <w:t>2</w:t>
            </w:r>
            <w:r>
              <w:rPr>
                <w:rFonts w:hint="eastAsia" w:ascii="宋体" w:hAnsi="宋体" w:cs="宋体"/>
                <w:kern w:val="0"/>
                <w:szCs w:val="21"/>
              </w:rPr>
              <w:t>分，扣完为止；</w:t>
            </w:r>
          </w:p>
          <w:p w14:paraId="213A56D3">
            <w:pPr>
              <w:widowControl/>
              <w:spacing w:after="0" w:line="400" w:lineRule="exact"/>
              <w:rPr>
                <w:rFonts w:ascii="宋体" w:hAnsi="宋体" w:cs="宋体"/>
                <w:kern w:val="0"/>
                <w:szCs w:val="21"/>
              </w:rPr>
            </w:pPr>
            <w:r>
              <w:rPr>
                <w:rFonts w:hint="eastAsia" w:ascii="宋体" w:hAnsi="宋体" w:cs="宋体"/>
                <w:kern w:val="0"/>
                <w:szCs w:val="21"/>
              </w:rPr>
              <w:t>2.</w:t>
            </w:r>
            <w:r>
              <w:rPr>
                <w:rFonts w:hint="eastAsia" w:ascii="宋体" w:hAnsi="宋体" w:eastAsia="宋体" w:cs="宋体"/>
                <w:kern w:val="0"/>
                <w:szCs w:val="21"/>
                <w:lang w:eastAsia="zh-CN"/>
              </w:rPr>
              <w:t>供应商</w:t>
            </w:r>
            <w:r>
              <w:rPr>
                <w:rFonts w:hint="eastAsia" w:ascii="宋体" w:hAnsi="宋体" w:cs="宋体"/>
                <w:kern w:val="0"/>
                <w:szCs w:val="21"/>
              </w:rPr>
              <w:t>所投产品优于招标文件技术参数要求的，每优于一项加1分，最多加7分；</w:t>
            </w:r>
          </w:p>
          <w:p w14:paraId="09775A12">
            <w:pPr>
              <w:adjustRightInd w:val="0"/>
              <w:snapToGrid w:val="0"/>
              <w:spacing w:line="360" w:lineRule="auto"/>
              <w:jc w:val="left"/>
              <w:rPr>
                <w:rFonts w:hint="eastAsia" w:ascii="宋体" w:hAnsi="宋体" w:eastAsia="宋体" w:cs="宋体"/>
                <w:color w:val="auto"/>
                <w:kern w:val="0"/>
                <w:szCs w:val="21"/>
                <w:highlight w:val="none"/>
                <w:lang w:eastAsia="zh-CN"/>
              </w:rPr>
            </w:pPr>
            <w:r>
              <w:rPr>
                <w:rFonts w:hint="eastAsia" w:ascii="宋体" w:hAnsi="宋体" w:cs="宋体"/>
                <w:kern w:val="0"/>
                <w:szCs w:val="21"/>
              </w:rPr>
              <w:t>注：须提供公安部检验报告复印件并加盖制造厂商公章。</w:t>
            </w:r>
          </w:p>
        </w:tc>
      </w:tr>
      <w:tr w14:paraId="057D9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84" w:type="pct"/>
            <w:vMerge w:val="continue"/>
            <w:vAlign w:val="center"/>
          </w:tcPr>
          <w:p w14:paraId="34A6B33E">
            <w:pPr>
              <w:widowControl/>
              <w:adjustRightInd w:val="0"/>
              <w:snapToGrid w:val="0"/>
              <w:spacing w:line="360" w:lineRule="auto"/>
              <w:jc w:val="center"/>
              <w:rPr>
                <w:rFonts w:ascii="宋体" w:hAnsi="宋体" w:cs="宋体"/>
                <w:color w:val="auto"/>
                <w:kern w:val="0"/>
                <w:szCs w:val="21"/>
              </w:rPr>
            </w:pPr>
          </w:p>
        </w:tc>
        <w:tc>
          <w:tcPr>
            <w:tcW w:w="619" w:type="pct"/>
            <w:gridSpan w:val="2"/>
            <w:vMerge w:val="continue"/>
            <w:vAlign w:val="center"/>
          </w:tcPr>
          <w:p w14:paraId="0A4EC219">
            <w:pPr>
              <w:widowControl/>
              <w:adjustRightInd w:val="0"/>
              <w:snapToGrid w:val="0"/>
              <w:spacing w:line="360" w:lineRule="auto"/>
              <w:jc w:val="center"/>
              <w:rPr>
                <w:rFonts w:ascii="宋体" w:hAnsi="宋体" w:cs="宋体"/>
                <w:b/>
                <w:color w:val="auto"/>
                <w:szCs w:val="21"/>
                <w:highlight w:val="none"/>
              </w:rPr>
            </w:pPr>
          </w:p>
        </w:tc>
        <w:tc>
          <w:tcPr>
            <w:tcW w:w="819" w:type="pct"/>
            <w:vAlign w:val="center"/>
          </w:tcPr>
          <w:p w14:paraId="2D842501">
            <w:pPr>
              <w:adjustRightInd w:val="0"/>
              <w:snapToGrid w:val="0"/>
              <w:spacing w:line="360" w:lineRule="auto"/>
              <w:jc w:val="left"/>
              <w:rPr>
                <w:rFonts w:ascii="宋体" w:hAnsi="宋体" w:cs="宋体"/>
                <w:color w:val="auto"/>
                <w:kern w:val="0"/>
                <w:szCs w:val="21"/>
                <w:highlight w:val="none"/>
              </w:rPr>
            </w:pPr>
          </w:p>
          <w:p w14:paraId="5CBE83B9">
            <w:pPr>
              <w:adjustRightInd w:val="0"/>
              <w:snapToGrid w:val="0"/>
              <w:spacing w:line="360" w:lineRule="auto"/>
              <w:jc w:val="left"/>
              <w:rPr>
                <w:rFonts w:ascii="宋体" w:hAnsi="宋体" w:cs="宋体"/>
                <w:color w:val="auto"/>
                <w:kern w:val="0"/>
                <w:szCs w:val="21"/>
                <w:highlight w:val="none"/>
              </w:rPr>
            </w:pPr>
          </w:p>
          <w:p w14:paraId="04D00366">
            <w:pPr>
              <w:adjustRightInd w:val="0"/>
              <w:snapToGrid w:val="0"/>
              <w:spacing w:line="360" w:lineRule="auto"/>
              <w:jc w:val="left"/>
              <w:rPr>
                <w:rFonts w:ascii="宋体" w:hAnsi="宋体" w:cs="宋体"/>
                <w:color w:val="auto"/>
                <w:kern w:val="0"/>
                <w:szCs w:val="21"/>
                <w:highlight w:val="none"/>
              </w:rPr>
            </w:pPr>
          </w:p>
          <w:p w14:paraId="53C4AC75">
            <w:pPr>
              <w:adjustRightInd w:val="0"/>
              <w:snapToGrid w:val="0"/>
              <w:spacing w:line="360" w:lineRule="auto"/>
              <w:ind w:left="308" w:leftChars="0" w:hanging="308" w:hangingChars="147"/>
              <w:jc w:val="center"/>
              <w:rPr>
                <w:rFonts w:ascii="宋体" w:hAnsi="宋体" w:cs="宋体"/>
                <w:color w:val="auto"/>
                <w:kern w:val="0"/>
                <w:szCs w:val="21"/>
                <w:highlight w:val="none"/>
              </w:rPr>
            </w:pPr>
            <w:r>
              <w:rPr>
                <w:rFonts w:hint="eastAsia" w:ascii="宋体" w:hAnsi="宋体" w:cs="宋体"/>
                <w:color w:val="000000" w:themeColor="text1"/>
                <w:kern w:val="0"/>
                <w:szCs w:val="21"/>
                <w14:textFill>
                  <w14:solidFill>
                    <w14:schemeClr w14:val="tx1"/>
                  </w14:solidFill>
                </w14:textFill>
              </w:rPr>
              <w:t>维保服务方案（</w:t>
            </w:r>
            <w:r>
              <w:rPr>
                <w:rFonts w:hint="eastAsia" w:ascii="宋体" w:hAnsi="宋体" w:eastAsia="宋体" w:cs="宋体"/>
                <w:color w:val="000000" w:themeColor="text1"/>
                <w:kern w:val="0"/>
                <w:szCs w:val="21"/>
                <w:lang w:val="en-US" w:eastAsia="zh-CN"/>
                <w14:textFill>
                  <w14:solidFill>
                    <w14:schemeClr w14:val="tx1"/>
                  </w14:solidFill>
                </w14:textFill>
              </w:rPr>
              <w:t>5</w:t>
            </w:r>
            <w:r>
              <w:rPr>
                <w:rFonts w:hint="eastAsia" w:ascii="宋体" w:hAnsi="宋体" w:cs="宋体"/>
                <w:color w:val="000000" w:themeColor="text1"/>
                <w:kern w:val="0"/>
                <w:szCs w:val="21"/>
                <w14:textFill>
                  <w14:solidFill>
                    <w14:schemeClr w14:val="tx1"/>
                  </w14:solidFill>
                </w14:textFill>
              </w:rPr>
              <w:t>分）</w:t>
            </w:r>
          </w:p>
        </w:tc>
        <w:tc>
          <w:tcPr>
            <w:tcW w:w="3076" w:type="pct"/>
            <w:shd w:val="clear" w:color="auto" w:fill="auto"/>
            <w:vAlign w:val="center"/>
          </w:tcPr>
          <w:p w14:paraId="7E869D4F">
            <w:pPr>
              <w:adjustRightInd w:val="0"/>
              <w:snapToGrid w:val="0"/>
              <w:spacing w:line="360" w:lineRule="auto"/>
              <w:jc w:val="left"/>
              <w:rPr>
                <w:rFonts w:ascii="宋体" w:hAnsi="宋体" w:cs="宋体"/>
                <w:color w:val="auto"/>
                <w:kern w:val="0"/>
                <w:szCs w:val="21"/>
                <w:highlight w:val="none"/>
              </w:rPr>
            </w:pPr>
            <w:r>
              <w:rPr>
                <w:rFonts w:hint="eastAsia"/>
                <w:color w:val="000000" w:themeColor="text1"/>
                <w:szCs w:val="21"/>
                <w14:textFill>
                  <w14:solidFill>
                    <w14:schemeClr w14:val="tx1"/>
                  </w14:solidFill>
                </w14:textFill>
              </w:rPr>
              <w:t>根</w:t>
            </w:r>
            <w:r>
              <w:rPr>
                <w:rFonts w:hint="eastAsia" w:ascii="宋体" w:hAnsi="宋体" w:cs="宋体"/>
                <w:color w:val="auto"/>
                <w:kern w:val="0"/>
                <w:szCs w:val="21"/>
              </w:rPr>
              <w:t>据</w:t>
            </w:r>
            <w:r>
              <w:rPr>
                <w:rFonts w:hint="eastAsia" w:ascii="宋体" w:hAnsi="宋体" w:cs="宋体"/>
                <w:color w:val="auto"/>
                <w:kern w:val="0"/>
                <w:szCs w:val="21"/>
                <w:lang w:eastAsia="zh-CN"/>
              </w:rPr>
              <w:t>供应商</w:t>
            </w:r>
            <w:r>
              <w:rPr>
                <w:rFonts w:hint="eastAsia" w:ascii="宋体" w:hAnsi="宋体" w:cs="宋体"/>
                <w:color w:val="auto"/>
                <w:kern w:val="0"/>
                <w:szCs w:val="21"/>
              </w:rPr>
              <w:t>的维保服务方案，评标委员会通过综合评价比较，</w:t>
            </w:r>
            <w:r>
              <w:rPr>
                <w:rFonts w:hint="eastAsia" w:ascii="宋体" w:hAnsi="宋体" w:cs="宋体"/>
                <w:color w:val="auto"/>
                <w:kern w:val="0"/>
                <w:szCs w:val="21"/>
                <w:lang w:val="en-US" w:eastAsia="zh-CN"/>
              </w:rPr>
              <w:t>A：</w:t>
            </w:r>
            <w:r>
              <w:rPr>
                <w:rFonts w:hint="eastAsia" w:ascii="宋体" w:hAnsi="宋体" w:cs="宋体"/>
                <w:color w:val="auto"/>
                <w:kern w:val="0"/>
                <w:szCs w:val="21"/>
                <w:lang w:eastAsia="zh-CN"/>
              </w:rPr>
              <w:t>全面、科学合理、切合实际、可行性强，得</w:t>
            </w:r>
            <w:r>
              <w:rPr>
                <w:rFonts w:hint="eastAsia" w:ascii="宋体" w:hAnsi="宋体" w:cs="宋体"/>
                <w:color w:val="auto"/>
                <w:kern w:val="0"/>
                <w:szCs w:val="21"/>
                <w:lang w:val="en-US" w:eastAsia="zh-CN"/>
              </w:rPr>
              <w:t>5</w:t>
            </w:r>
            <w:r>
              <w:rPr>
                <w:rFonts w:hint="eastAsia" w:ascii="宋体" w:hAnsi="宋体" w:cs="宋体"/>
                <w:color w:val="auto"/>
                <w:kern w:val="0"/>
                <w:szCs w:val="21"/>
                <w:lang w:eastAsia="zh-CN"/>
              </w:rPr>
              <w:t>分、</w:t>
            </w:r>
            <w:r>
              <w:rPr>
                <w:rFonts w:hint="eastAsia" w:ascii="宋体" w:hAnsi="宋体" w:cs="宋体"/>
                <w:color w:val="auto"/>
                <w:kern w:val="0"/>
                <w:szCs w:val="21"/>
                <w:lang w:val="en-US" w:eastAsia="zh-CN"/>
              </w:rPr>
              <w:t>B:</w:t>
            </w:r>
            <w:r>
              <w:rPr>
                <w:rFonts w:hint="eastAsia" w:ascii="宋体" w:hAnsi="宋体" w:cs="宋体"/>
                <w:color w:val="auto"/>
                <w:kern w:val="0"/>
                <w:szCs w:val="21"/>
                <w:lang w:eastAsia="zh-CN"/>
              </w:rPr>
              <w:t>基本合理、满足需求，得</w:t>
            </w:r>
            <w:r>
              <w:rPr>
                <w:rFonts w:hint="eastAsia" w:ascii="宋体" w:hAnsi="宋体" w:cs="宋体"/>
                <w:color w:val="auto"/>
                <w:kern w:val="0"/>
                <w:szCs w:val="21"/>
                <w:lang w:val="en-US" w:eastAsia="zh-CN"/>
              </w:rPr>
              <w:t>3</w:t>
            </w:r>
            <w:r>
              <w:rPr>
                <w:rFonts w:hint="eastAsia" w:ascii="宋体" w:hAnsi="宋体" w:cs="宋体"/>
                <w:color w:val="auto"/>
                <w:kern w:val="0"/>
                <w:szCs w:val="21"/>
                <w:lang w:eastAsia="zh-CN"/>
              </w:rPr>
              <w:t>分、</w:t>
            </w:r>
            <w:r>
              <w:rPr>
                <w:rFonts w:hint="eastAsia" w:ascii="宋体" w:hAnsi="宋体" w:cs="宋体"/>
                <w:color w:val="auto"/>
                <w:kern w:val="0"/>
                <w:szCs w:val="21"/>
                <w:lang w:val="en-US" w:eastAsia="zh-CN"/>
              </w:rPr>
              <w:t>C</w:t>
            </w:r>
            <w:r>
              <w:rPr>
                <w:rFonts w:hint="eastAsia" w:ascii="宋体" w:hAnsi="宋体" w:cs="宋体"/>
                <w:color w:val="auto"/>
                <w:kern w:val="0"/>
                <w:szCs w:val="21"/>
                <w:lang w:eastAsia="zh-CN"/>
              </w:rPr>
              <w:t>：不完整的得1分</w:t>
            </w:r>
            <w:r>
              <w:rPr>
                <w:rFonts w:hint="eastAsia" w:ascii="宋体" w:hAnsi="宋体" w:cs="宋体"/>
                <w:color w:val="auto"/>
                <w:kern w:val="0"/>
                <w:szCs w:val="21"/>
              </w:rPr>
              <w:t>。</w:t>
            </w:r>
          </w:p>
        </w:tc>
      </w:tr>
      <w:tr w14:paraId="1C39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84" w:type="pct"/>
            <w:vMerge w:val="restart"/>
            <w:vAlign w:val="center"/>
          </w:tcPr>
          <w:p w14:paraId="3C9382C2">
            <w:pPr>
              <w:widowControl/>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2.2.2（3）</w:t>
            </w:r>
          </w:p>
        </w:tc>
        <w:tc>
          <w:tcPr>
            <w:tcW w:w="619" w:type="pct"/>
            <w:gridSpan w:val="2"/>
            <w:vMerge w:val="restart"/>
            <w:vAlign w:val="center"/>
          </w:tcPr>
          <w:p w14:paraId="7BAA83A7">
            <w:pPr>
              <w:widowControl/>
              <w:adjustRightInd w:val="0"/>
              <w:snapToGrid w:val="0"/>
              <w:spacing w:line="360" w:lineRule="auto"/>
              <w:jc w:val="center"/>
              <w:rPr>
                <w:rFonts w:ascii="宋体" w:hAnsi="宋体" w:cs="宋体"/>
                <w:b/>
                <w:color w:val="auto"/>
                <w:szCs w:val="21"/>
              </w:rPr>
            </w:pPr>
          </w:p>
          <w:p w14:paraId="1633C5D4">
            <w:pPr>
              <w:widowControl/>
              <w:adjustRightInd w:val="0"/>
              <w:snapToGrid w:val="0"/>
              <w:spacing w:line="360" w:lineRule="auto"/>
              <w:jc w:val="center"/>
              <w:rPr>
                <w:rFonts w:ascii="宋体" w:hAnsi="宋体" w:cs="宋体"/>
                <w:b/>
                <w:color w:val="auto"/>
                <w:szCs w:val="21"/>
              </w:rPr>
            </w:pPr>
          </w:p>
          <w:p w14:paraId="07C8B6B4">
            <w:pPr>
              <w:widowControl/>
              <w:adjustRightInd w:val="0"/>
              <w:snapToGrid w:val="0"/>
              <w:spacing w:line="360" w:lineRule="auto"/>
              <w:jc w:val="center"/>
              <w:rPr>
                <w:rFonts w:ascii="宋体" w:hAnsi="宋体" w:cs="宋体"/>
                <w:b/>
                <w:color w:val="auto"/>
                <w:szCs w:val="21"/>
              </w:rPr>
            </w:pPr>
          </w:p>
          <w:p w14:paraId="22B97A6D">
            <w:pPr>
              <w:widowControl/>
              <w:adjustRightInd w:val="0"/>
              <w:snapToGrid w:val="0"/>
              <w:spacing w:line="360" w:lineRule="auto"/>
              <w:jc w:val="center"/>
              <w:rPr>
                <w:rFonts w:ascii="宋体" w:hAnsi="宋体" w:cs="宋体"/>
                <w:b/>
                <w:color w:val="auto"/>
                <w:szCs w:val="21"/>
              </w:rPr>
            </w:pPr>
          </w:p>
          <w:p w14:paraId="4DB0D625">
            <w:pPr>
              <w:widowControl/>
              <w:adjustRightInd w:val="0"/>
              <w:snapToGrid w:val="0"/>
              <w:spacing w:line="360" w:lineRule="auto"/>
              <w:jc w:val="center"/>
              <w:rPr>
                <w:rFonts w:ascii="宋体" w:hAnsi="宋体" w:cs="宋体"/>
                <w:b/>
                <w:color w:val="auto"/>
                <w:szCs w:val="21"/>
              </w:rPr>
            </w:pPr>
            <w:r>
              <w:rPr>
                <w:rFonts w:hint="eastAsia" w:ascii="宋体" w:hAnsi="宋体" w:cs="宋体"/>
                <w:b/>
                <w:color w:val="auto"/>
                <w:szCs w:val="21"/>
              </w:rPr>
              <w:t>商务</w:t>
            </w:r>
          </w:p>
          <w:p w14:paraId="5A60FEAA">
            <w:pPr>
              <w:widowControl/>
              <w:adjustRightInd w:val="0"/>
              <w:snapToGrid w:val="0"/>
              <w:spacing w:line="360" w:lineRule="auto"/>
              <w:jc w:val="center"/>
              <w:rPr>
                <w:rFonts w:ascii="宋体" w:hAnsi="宋体" w:cs="宋体"/>
                <w:b/>
                <w:color w:val="auto"/>
                <w:szCs w:val="21"/>
              </w:rPr>
            </w:pPr>
            <w:r>
              <w:rPr>
                <w:rFonts w:hint="eastAsia" w:ascii="宋体" w:hAnsi="宋体" w:cs="宋体"/>
                <w:b/>
                <w:color w:val="auto"/>
                <w:szCs w:val="21"/>
              </w:rPr>
              <w:t>部分</w:t>
            </w:r>
          </w:p>
          <w:p w14:paraId="5701A8BD">
            <w:pPr>
              <w:widowControl/>
              <w:adjustRightInd w:val="0"/>
              <w:snapToGrid w:val="0"/>
              <w:spacing w:line="360" w:lineRule="auto"/>
              <w:jc w:val="center"/>
              <w:rPr>
                <w:rFonts w:ascii="宋体" w:hAnsi="宋体" w:cs="宋体"/>
                <w:b/>
                <w:color w:val="auto"/>
                <w:szCs w:val="21"/>
              </w:rPr>
            </w:pPr>
            <w:r>
              <w:rPr>
                <w:rFonts w:hint="eastAsia" w:ascii="宋体" w:hAnsi="宋体" w:cs="宋体"/>
                <w:b/>
                <w:color w:val="auto"/>
                <w:szCs w:val="21"/>
              </w:rPr>
              <w:t>（</w:t>
            </w:r>
            <w:r>
              <w:rPr>
                <w:rFonts w:hint="eastAsia" w:ascii="宋体" w:hAnsi="宋体" w:cs="宋体"/>
                <w:b/>
                <w:color w:val="auto"/>
                <w:szCs w:val="21"/>
                <w:lang w:val="en-US" w:eastAsia="zh-CN"/>
              </w:rPr>
              <w:t>40</w:t>
            </w:r>
            <w:r>
              <w:rPr>
                <w:rFonts w:hint="eastAsia" w:ascii="宋体" w:hAnsi="宋体" w:cs="宋体"/>
                <w:b/>
                <w:color w:val="auto"/>
                <w:szCs w:val="21"/>
              </w:rPr>
              <w:t>分）</w:t>
            </w:r>
          </w:p>
          <w:p w14:paraId="1E76E6D8">
            <w:pPr>
              <w:widowControl/>
              <w:adjustRightInd w:val="0"/>
              <w:snapToGrid w:val="0"/>
              <w:spacing w:line="360" w:lineRule="auto"/>
              <w:jc w:val="center"/>
              <w:rPr>
                <w:rFonts w:ascii="宋体" w:hAnsi="宋体" w:cs="宋体"/>
                <w:b/>
                <w:color w:val="auto"/>
                <w:szCs w:val="21"/>
              </w:rPr>
            </w:pPr>
          </w:p>
        </w:tc>
        <w:tc>
          <w:tcPr>
            <w:tcW w:w="819" w:type="pct"/>
            <w:vAlign w:val="center"/>
          </w:tcPr>
          <w:p w14:paraId="2E8D7EF6">
            <w:pPr>
              <w:widowControl/>
              <w:adjustRightInd w:val="0"/>
              <w:snapToGrid w:val="0"/>
              <w:spacing w:line="360" w:lineRule="auto"/>
              <w:jc w:val="center"/>
              <w:rPr>
                <w:rFonts w:ascii="宋体" w:hAnsi="宋体" w:cs="宋体"/>
                <w:b/>
                <w:color w:val="auto"/>
                <w:kern w:val="0"/>
                <w:szCs w:val="21"/>
              </w:rPr>
            </w:pPr>
            <w:r>
              <w:rPr>
                <w:rFonts w:hint="eastAsia" w:ascii="宋体" w:hAnsi="宋体" w:cs="宋体"/>
                <w:b/>
                <w:color w:val="auto"/>
                <w:kern w:val="0"/>
                <w:szCs w:val="21"/>
              </w:rPr>
              <w:t>企业认证</w:t>
            </w:r>
          </w:p>
          <w:p w14:paraId="43DD86A5">
            <w:pPr>
              <w:widowControl/>
              <w:adjustRightInd w:val="0"/>
              <w:snapToGrid w:val="0"/>
              <w:spacing w:line="360" w:lineRule="auto"/>
              <w:jc w:val="center"/>
              <w:rPr>
                <w:rFonts w:ascii="宋体" w:hAnsi="宋体" w:cs="宋体"/>
                <w:b/>
                <w:color w:val="auto"/>
                <w:kern w:val="0"/>
                <w:szCs w:val="21"/>
              </w:rPr>
            </w:pPr>
            <w:r>
              <w:rPr>
                <w:rFonts w:hint="eastAsia" w:ascii="宋体" w:hAnsi="宋体" w:cs="宋体"/>
                <w:b/>
                <w:color w:val="auto"/>
                <w:kern w:val="0"/>
                <w:szCs w:val="21"/>
              </w:rPr>
              <w:t>（</w:t>
            </w:r>
            <w:r>
              <w:rPr>
                <w:rFonts w:hint="eastAsia" w:ascii="宋体" w:hAnsi="宋体" w:cs="宋体"/>
                <w:b/>
                <w:color w:val="auto"/>
                <w:kern w:val="0"/>
                <w:szCs w:val="21"/>
                <w:lang w:val="en-US" w:eastAsia="zh-CN"/>
              </w:rPr>
              <w:t>3</w:t>
            </w:r>
            <w:r>
              <w:rPr>
                <w:rFonts w:hint="eastAsia" w:ascii="宋体" w:hAnsi="宋体" w:cs="宋体"/>
                <w:b/>
                <w:color w:val="auto"/>
                <w:kern w:val="0"/>
                <w:szCs w:val="21"/>
              </w:rPr>
              <w:t>分）</w:t>
            </w:r>
          </w:p>
        </w:tc>
        <w:tc>
          <w:tcPr>
            <w:tcW w:w="3076" w:type="pct"/>
            <w:vAlign w:val="center"/>
          </w:tcPr>
          <w:p w14:paraId="003CD76D">
            <w:pPr>
              <w:adjustRightInd w:val="0"/>
              <w:snapToGrid w:val="0"/>
              <w:spacing w:line="360" w:lineRule="auto"/>
              <w:jc w:val="left"/>
              <w:rPr>
                <w:rFonts w:hint="default" w:ascii="宋体" w:hAnsi="宋体" w:eastAsia="宋体" w:cs="宋体"/>
                <w:color w:val="auto"/>
                <w:kern w:val="0"/>
                <w:szCs w:val="21"/>
                <w:lang w:val="en-US" w:eastAsia="zh-CN"/>
              </w:rPr>
            </w:pPr>
            <w:r>
              <w:rPr>
                <w:rFonts w:hint="eastAsia" w:ascii="宋体" w:hAnsi="宋体" w:cs="宋体"/>
                <w:color w:val="auto"/>
                <w:kern w:val="0"/>
                <w:szCs w:val="21"/>
                <w:lang w:eastAsia="zh-CN"/>
              </w:rPr>
              <w:t>供应商</w:t>
            </w:r>
            <w:r>
              <w:rPr>
                <w:rFonts w:hint="eastAsia" w:ascii="宋体" w:hAnsi="宋体" w:cs="宋体"/>
                <w:color w:val="auto"/>
                <w:kern w:val="0"/>
                <w:szCs w:val="21"/>
              </w:rPr>
              <w:t>具备质量管理体系认证、职业健康安全管理体系认证、环境管理体系认证，提供</w:t>
            </w:r>
            <w:r>
              <w:rPr>
                <w:rFonts w:hint="eastAsia" w:ascii="宋体" w:hAnsi="宋体" w:cs="宋体"/>
                <w:color w:val="auto"/>
                <w:kern w:val="0"/>
                <w:szCs w:val="21"/>
                <w:lang w:val="en-US" w:eastAsia="zh-CN"/>
              </w:rPr>
              <w:t>有效期内的</w:t>
            </w:r>
            <w:r>
              <w:rPr>
                <w:rFonts w:hint="eastAsia" w:ascii="宋体" w:hAnsi="宋体" w:cs="宋体"/>
                <w:color w:val="auto"/>
                <w:kern w:val="0"/>
                <w:szCs w:val="21"/>
              </w:rPr>
              <w:t>证书扫描件。</w:t>
            </w:r>
            <w:r>
              <w:rPr>
                <w:rFonts w:hint="eastAsia" w:ascii="宋体" w:hAnsi="宋体" w:cs="宋体"/>
                <w:color w:val="auto"/>
                <w:kern w:val="0"/>
                <w:szCs w:val="21"/>
                <w:lang w:val="en-US" w:eastAsia="zh-CN"/>
              </w:rPr>
              <w:t>证书齐全得3分，缺项不得分</w:t>
            </w:r>
          </w:p>
          <w:p w14:paraId="52B2D319">
            <w:pPr>
              <w:adjustRightInd w:val="0"/>
              <w:snapToGrid w:val="0"/>
              <w:spacing w:line="360" w:lineRule="auto"/>
              <w:jc w:val="left"/>
              <w:rPr>
                <w:rFonts w:ascii="宋体" w:hAnsi="宋体" w:cs="宋体"/>
                <w:color w:val="auto"/>
                <w:szCs w:val="21"/>
              </w:rPr>
            </w:pPr>
            <w:r>
              <w:rPr>
                <w:rFonts w:hint="eastAsia" w:ascii="宋体" w:hAnsi="宋体" w:cs="宋体"/>
                <w:color w:val="auto"/>
                <w:kern w:val="0"/>
                <w:szCs w:val="21"/>
              </w:rPr>
              <w:t>注：投标文件中须附证书扫描件，清晰可辨。</w:t>
            </w:r>
          </w:p>
        </w:tc>
      </w:tr>
      <w:tr w14:paraId="2B95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84" w:type="pct"/>
            <w:vMerge w:val="continue"/>
            <w:vAlign w:val="center"/>
          </w:tcPr>
          <w:p w14:paraId="190093F2">
            <w:pPr>
              <w:widowControl/>
              <w:adjustRightInd w:val="0"/>
              <w:snapToGrid w:val="0"/>
              <w:spacing w:line="360" w:lineRule="auto"/>
              <w:jc w:val="center"/>
              <w:rPr>
                <w:rFonts w:ascii="宋体" w:hAnsi="宋体" w:cs="宋体"/>
                <w:color w:val="auto"/>
                <w:kern w:val="0"/>
                <w:szCs w:val="21"/>
              </w:rPr>
            </w:pPr>
          </w:p>
        </w:tc>
        <w:tc>
          <w:tcPr>
            <w:tcW w:w="619" w:type="pct"/>
            <w:gridSpan w:val="2"/>
            <w:vMerge w:val="continue"/>
            <w:vAlign w:val="center"/>
          </w:tcPr>
          <w:p w14:paraId="37EC2243">
            <w:pPr>
              <w:widowControl/>
              <w:adjustRightInd w:val="0"/>
              <w:snapToGrid w:val="0"/>
              <w:spacing w:line="360" w:lineRule="auto"/>
              <w:jc w:val="center"/>
              <w:rPr>
                <w:rFonts w:ascii="宋体" w:hAnsi="宋体" w:cs="宋体"/>
                <w:b/>
                <w:color w:val="auto"/>
                <w:szCs w:val="21"/>
              </w:rPr>
            </w:pPr>
          </w:p>
        </w:tc>
        <w:tc>
          <w:tcPr>
            <w:tcW w:w="819" w:type="pct"/>
            <w:vAlign w:val="center"/>
          </w:tcPr>
          <w:p w14:paraId="0EF72950">
            <w:pPr>
              <w:widowControl/>
              <w:adjustRightInd w:val="0"/>
              <w:snapToGrid w:val="0"/>
              <w:spacing w:line="360" w:lineRule="auto"/>
              <w:jc w:val="center"/>
              <w:rPr>
                <w:rFonts w:ascii="宋体" w:hAnsi="宋体" w:cs="宋体"/>
                <w:b/>
                <w:color w:val="auto"/>
                <w:kern w:val="0"/>
                <w:szCs w:val="21"/>
              </w:rPr>
            </w:pPr>
            <w:r>
              <w:rPr>
                <w:rFonts w:hint="eastAsia" w:ascii="宋体" w:hAnsi="宋体" w:cs="宋体"/>
                <w:b/>
                <w:color w:val="auto"/>
                <w:kern w:val="0"/>
                <w:szCs w:val="21"/>
              </w:rPr>
              <w:t>产品业绩</w:t>
            </w:r>
          </w:p>
          <w:p w14:paraId="11D0B571">
            <w:pPr>
              <w:widowControl/>
              <w:adjustRightInd w:val="0"/>
              <w:snapToGrid w:val="0"/>
              <w:spacing w:line="360" w:lineRule="auto"/>
              <w:jc w:val="center"/>
              <w:rPr>
                <w:rFonts w:ascii="宋体" w:hAnsi="宋体" w:cs="宋体"/>
                <w:b/>
                <w:color w:val="auto"/>
                <w:kern w:val="0"/>
                <w:szCs w:val="21"/>
              </w:rPr>
            </w:pPr>
            <w:r>
              <w:rPr>
                <w:rFonts w:hint="eastAsia" w:ascii="宋体" w:hAnsi="宋体" w:cs="宋体"/>
                <w:b/>
                <w:color w:val="auto"/>
                <w:kern w:val="0"/>
                <w:szCs w:val="21"/>
              </w:rPr>
              <w:t>（</w:t>
            </w:r>
            <w:r>
              <w:rPr>
                <w:rFonts w:hint="eastAsia" w:ascii="宋体" w:hAnsi="宋体" w:cs="宋体"/>
                <w:b/>
                <w:color w:val="auto"/>
                <w:kern w:val="0"/>
                <w:szCs w:val="21"/>
                <w:lang w:val="en-US" w:eastAsia="zh-CN"/>
              </w:rPr>
              <w:t>11</w:t>
            </w:r>
            <w:r>
              <w:rPr>
                <w:rFonts w:hint="eastAsia" w:ascii="宋体" w:hAnsi="宋体" w:cs="宋体"/>
                <w:b/>
                <w:color w:val="auto"/>
                <w:kern w:val="0"/>
                <w:szCs w:val="21"/>
              </w:rPr>
              <w:t>分）</w:t>
            </w:r>
          </w:p>
        </w:tc>
        <w:tc>
          <w:tcPr>
            <w:tcW w:w="3076" w:type="pct"/>
            <w:vAlign w:val="center"/>
          </w:tcPr>
          <w:p w14:paraId="5CF58119">
            <w:pPr>
              <w:widowControl/>
              <w:spacing w:after="0" w:line="400" w:lineRule="exact"/>
              <w:rPr>
                <w:rFonts w:cs="宋体" w:asciiTheme="minorEastAsia" w:hAnsiTheme="minorEastAsia"/>
                <w:kern w:val="0"/>
                <w:szCs w:val="21"/>
              </w:rPr>
            </w:pPr>
            <w:r>
              <w:rPr>
                <w:rFonts w:hint="eastAsia" w:cs="宋体" w:asciiTheme="minorEastAsia" w:hAnsiTheme="minorEastAsia"/>
                <w:szCs w:val="21"/>
              </w:rPr>
              <w:t>1.</w:t>
            </w:r>
            <w:r>
              <w:rPr>
                <w:rFonts w:hint="eastAsia" w:eastAsia="宋体" w:cs="宋体" w:asciiTheme="minorEastAsia" w:hAnsiTheme="minorEastAsia"/>
                <w:szCs w:val="21"/>
                <w:lang w:eastAsia="zh-CN"/>
              </w:rPr>
              <w:t>供应商</w:t>
            </w:r>
            <w:r>
              <w:rPr>
                <w:rFonts w:cs="宋体" w:asciiTheme="minorEastAsia" w:hAnsiTheme="minorEastAsia"/>
                <w:szCs w:val="21"/>
              </w:rPr>
              <w:t>提供正在履约的</w:t>
            </w:r>
            <w:r>
              <w:rPr>
                <w:rFonts w:hint="eastAsia" w:hAnsi="宋体" w:cs="宋体"/>
                <w:szCs w:val="21"/>
                <w:lang w:val="en-US" w:eastAsia="zh-CN"/>
              </w:rPr>
              <w:t>类似项目</w:t>
            </w:r>
            <w:r>
              <w:rPr>
                <w:rFonts w:hAnsi="宋体" w:cs="宋体"/>
                <w:szCs w:val="21"/>
              </w:rPr>
              <w:t>的</w:t>
            </w:r>
            <w:r>
              <w:rPr>
                <w:rFonts w:cs="宋体" w:asciiTheme="minorEastAsia" w:hAnsiTheme="minorEastAsia"/>
                <w:szCs w:val="21"/>
              </w:rPr>
              <w:t>电子警察维护政府采购招标业绩</w:t>
            </w:r>
            <w:r>
              <w:rPr>
                <w:rFonts w:hint="eastAsia" w:cs="宋体" w:asciiTheme="minorEastAsia" w:hAnsiTheme="minorEastAsia"/>
                <w:kern w:val="0"/>
                <w:szCs w:val="21"/>
              </w:rPr>
              <w:t>，每提供一份得</w:t>
            </w:r>
            <w:r>
              <w:rPr>
                <w:rFonts w:hint="eastAsia" w:cs="宋体" w:asciiTheme="minorEastAsia" w:hAnsiTheme="minorEastAsia"/>
                <w:kern w:val="0"/>
                <w:szCs w:val="21"/>
                <w:lang w:val="en-US" w:eastAsia="zh-CN"/>
              </w:rPr>
              <w:t>2</w:t>
            </w:r>
            <w:r>
              <w:rPr>
                <w:rFonts w:hint="eastAsia" w:cs="宋体" w:asciiTheme="minorEastAsia" w:hAnsiTheme="minorEastAsia"/>
                <w:kern w:val="0"/>
                <w:szCs w:val="21"/>
              </w:rPr>
              <w:t>分，最高得</w:t>
            </w:r>
            <w:r>
              <w:rPr>
                <w:rFonts w:hint="eastAsia" w:cs="宋体" w:asciiTheme="minorEastAsia" w:hAnsiTheme="minorEastAsia"/>
                <w:kern w:val="0"/>
                <w:szCs w:val="21"/>
                <w:lang w:val="en-US" w:eastAsia="zh-CN"/>
              </w:rPr>
              <w:t>8</w:t>
            </w:r>
            <w:r>
              <w:rPr>
                <w:rFonts w:hint="eastAsia" w:cs="宋体" w:asciiTheme="minorEastAsia" w:hAnsiTheme="minorEastAsia"/>
                <w:kern w:val="0"/>
                <w:szCs w:val="21"/>
              </w:rPr>
              <w:t>分。</w:t>
            </w:r>
          </w:p>
          <w:p w14:paraId="36ADB930">
            <w:pPr>
              <w:widowControl/>
              <w:spacing w:after="0" w:line="400" w:lineRule="exact"/>
              <w:rPr>
                <w:rFonts w:ascii="宋体" w:hAnsi="宋体" w:cs="宋体"/>
                <w:kern w:val="0"/>
                <w:szCs w:val="21"/>
              </w:rPr>
            </w:pPr>
            <w:r>
              <w:rPr>
                <w:rFonts w:hint="eastAsia" w:cs="宋体" w:asciiTheme="minorEastAsia" w:hAnsiTheme="minorEastAsia"/>
                <w:kern w:val="0"/>
                <w:szCs w:val="21"/>
              </w:rPr>
              <w:t>2.</w:t>
            </w:r>
            <w:r>
              <w:rPr>
                <w:rFonts w:hint="eastAsia" w:ascii="宋体" w:hAnsi="宋体" w:cs="宋体"/>
                <w:kern w:val="0"/>
                <w:szCs w:val="21"/>
              </w:rPr>
              <w:t xml:space="preserve"> </w:t>
            </w:r>
            <w:r>
              <w:rPr>
                <w:rFonts w:hint="eastAsia" w:ascii="宋体" w:hAnsi="宋体" w:eastAsia="宋体" w:cs="宋体"/>
                <w:kern w:val="0"/>
                <w:szCs w:val="21"/>
                <w:lang w:eastAsia="zh-CN"/>
              </w:rPr>
              <w:t>供应商</w:t>
            </w:r>
            <w:r>
              <w:rPr>
                <w:rFonts w:ascii="宋体" w:hAnsi="宋体" w:cs="宋体"/>
                <w:kern w:val="0"/>
                <w:szCs w:val="21"/>
              </w:rPr>
              <w:t>提供近三年</w:t>
            </w:r>
            <w:r>
              <w:rPr>
                <w:rFonts w:hint="eastAsia" w:ascii="宋体" w:hAnsi="宋体" w:cs="宋体"/>
                <w:kern w:val="0"/>
                <w:szCs w:val="21"/>
              </w:rPr>
              <w:t>来</w:t>
            </w:r>
            <w:r>
              <w:rPr>
                <w:rFonts w:hint="eastAsia" w:hAnsi="宋体" w:cs="宋体"/>
                <w:szCs w:val="21"/>
                <w:lang w:val="en-US" w:eastAsia="zh-CN"/>
              </w:rPr>
              <w:t>类似项目</w:t>
            </w:r>
            <w:r>
              <w:rPr>
                <w:rFonts w:ascii="宋体" w:hAnsi="宋体" w:cs="宋体"/>
                <w:kern w:val="0"/>
                <w:szCs w:val="21"/>
              </w:rPr>
              <w:t>道路交通技术监控项目</w:t>
            </w:r>
            <w:r>
              <w:rPr>
                <w:rFonts w:hint="eastAsia" w:ascii="宋体" w:hAnsi="宋体" w:cs="宋体"/>
                <w:kern w:val="0"/>
                <w:szCs w:val="21"/>
              </w:rPr>
              <w:t>政府采购招标业绩的，</w:t>
            </w:r>
            <w:r>
              <w:rPr>
                <w:rFonts w:ascii="宋体" w:hAnsi="宋体" w:cs="宋体"/>
                <w:kern w:val="0"/>
                <w:szCs w:val="21"/>
              </w:rPr>
              <w:t>每提供1</w:t>
            </w:r>
            <w:r>
              <w:rPr>
                <w:rFonts w:hint="eastAsia" w:ascii="宋体" w:hAnsi="宋体" w:cs="宋体"/>
                <w:kern w:val="0"/>
                <w:szCs w:val="21"/>
              </w:rPr>
              <w:t>份</w:t>
            </w:r>
            <w:r>
              <w:rPr>
                <w:rFonts w:ascii="宋体" w:hAnsi="宋体" w:cs="宋体"/>
                <w:kern w:val="0"/>
                <w:szCs w:val="21"/>
              </w:rPr>
              <w:t>得</w:t>
            </w:r>
            <w:r>
              <w:rPr>
                <w:rFonts w:hint="eastAsia" w:ascii="宋体" w:hAnsi="宋体" w:cs="宋体"/>
                <w:kern w:val="0"/>
                <w:szCs w:val="21"/>
                <w:lang w:val="en-US" w:eastAsia="zh-CN"/>
              </w:rPr>
              <w:t>1</w:t>
            </w:r>
            <w:r>
              <w:rPr>
                <w:rFonts w:hint="eastAsia" w:ascii="宋体" w:hAnsi="宋体" w:cs="宋体"/>
                <w:kern w:val="0"/>
                <w:szCs w:val="21"/>
              </w:rPr>
              <w:t>分</w:t>
            </w:r>
            <w:r>
              <w:rPr>
                <w:rFonts w:ascii="宋体" w:hAnsi="宋体" w:cs="宋体"/>
                <w:kern w:val="0"/>
                <w:szCs w:val="21"/>
              </w:rPr>
              <w:t>，</w:t>
            </w:r>
            <w:r>
              <w:rPr>
                <w:rFonts w:hint="eastAsia" w:ascii="宋体" w:hAnsi="宋体" w:cs="宋体"/>
                <w:kern w:val="0"/>
                <w:szCs w:val="21"/>
              </w:rPr>
              <w:t>最高得</w:t>
            </w:r>
            <w:r>
              <w:rPr>
                <w:rFonts w:hint="eastAsia" w:ascii="宋体" w:hAnsi="宋体" w:cs="宋体"/>
                <w:kern w:val="0"/>
                <w:szCs w:val="21"/>
                <w:lang w:val="en-US" w:eastAsia="zh-CN"/>
              </w:rPr>
              <w:t>3</w:t>
            </w:r>
            <w:r>
              <w:rPr>
                <w:rFonts w:hint="eastAsia" w:ascii="宋体" w:hAnsi="宋体" w:cs="宋体"/>
                <w:kern w:val="0"/>
                <w:szCs w:val="21"/>
              </w:rPr>
              <w:t>分。</w:t>
            </w:r>
          </w:p>
          <w:p w14:paraId="07C14864">
            <w:pPr>
              <w:adjustRightInd w:val="0"/>
              <w:snapToGrid w:val="0"/>
              <w:spacing w:line="360" w:lineRule="auto"/>
              <w:jc w:val="left"/>
              <w:rPr>
                <w:color w:val="auto"/>
              </w:rPr>
            </w:pPr>
            <w:r>
              <w:rPr>
                <w:rFonts w:hint="eastAsia" w:cs="宋体" w:asciiTheme="minorEastAsia" w:hAnsiTheme="minorEastAsia"/>
                <w:kern w:val="0"/>
                <w:szCs w:val="21"/>
              </w:rPr>
              <w:t>注：须提供政府采购网中标公告网页截图、中标通知书、合同书</w:t>
            </w:r>
            <w:r>
              <w:rPr>
                <w:rFonts w:cs="宋体" w:asciiTheme="minorEastAsia" w:hAnsiTheme="minorEastAsia"/>
                <w:kern w:val="0"/>
                <w:szCs w:val="21"/>
              </w:rPr>
              <w:t>复印件</w:t>
            </w:r>
            <w:r>
              <w:rPr>
                <w:rFonts w:hint="eastAsia" w:cs="宋体" w:asciiTheme="minorEastAsia" w:hAnsiTheme="minorEastAsia"/>
                <w:kern w:val="0"/>
                <w:szCs w:val="21"/>
              </w:rPr>
              <w:t>加盖</w:t>
            </w:r>
            <w:r>
              <w:rPr>
                <w:rFonts w:hint="eastAsia" w:eastAsia="宋体" w:cs="宋体" w:asciiTheme="minorEastAsia" w:hAnsiTheme="minorEastAsia"/>
                <w:kern w:val="0"/>
                <w:szCs w:val="21"/>
                <w:lang w:eastAsia="zh-CN"/>
              </w:rPr>
              <w:t>供应商</w:t>
            </w:r>
            <w:r>
              <w:rPr>
                <w:rFonts w:hint="eastAsia" w:cs="宋体" w:asciiTheme="minorEastAsia" w:hAnsiTheme="minorEastAsia"/>
                <w:kern w:val="0"/>
                <w:szCs w:val="21"/>
              </w:rPr>
              <w:t>公章。（不提供或提供不全者不得分）</w:t>
            </w:r>
          </w:p>
        </w:tc>
      </w:tr>
      <w:tr w14:paraId="4649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484" w:type="pct"/>
            <w:vMerge w:val="continue"/>
            <w:vAlign w:val="center"/>
          </w:tcPr>
          <w:p w14:paraId="7D9B8F3C">
            <w:pPr>
              <w:widowControl/>
              <w:adjustRightInd w:val="0"/>
              <w:snapToGrid w:val="0"/>
              <w:spacing w:line="360" w:lineRule="auto"/>
              <w:jc w:val="center"/>
              <w:rPr>
                <w:rFonts w:ascii="宋体" w:hAnsi="宋体" w:cs="宋体"/>
                <w:color w:val="auto"/>
                <w:kern w:val="0"/>
                <w:szCs w:val="21"/>
              </w:rPr>
            </w:pPr>
          </w:p>
        </w:tc>
        <w:tc>
          <w:tcPr>
            <w:tcW w:w="619" w:type="pct"/>
            <w:gridSpan w:val="2"/>
            <w:vMerge w:val="continue"/>
            <w:vAlign w:val="center"/>
          </w:tcPr>
          <w:p w14:paraId="5894854E">
            <w:pPr>
              <w:widowControl/>
              <w:adjustRightInd w:val="0"/>
              <w:snapToGrid w:val="0"/>
              <w:spacing w:line="360" w:lineRule="auto"/>
              <w:jc w:val="center"/>
              <w:rPr>
                <w:rFonts w:ascii="宋体" w:hAnsi="宋体" w:cs="宋体"/>
                <w:b/>
                <w:color w:val="auto"/>
                <w:szCs w:val="21"/>
              </w:rPr>
            </w:pPr>
          </w:p>
        </w:tc>
        <w:tc>
          <w:tcPr>
            <w:tcW w:w="819" w:type="pct"/>
            <w:vAlign w:val="center"/>
          </w:tcPr>
          <w:p w14:paraId="1E61EABB">
            <w:pPr>
              <w:widowControl/>
              <w:spacing w:after="0" w:line="400" w:lineRule="exact"/>
              <w:jc w:val="center"/>
              <w:rPr>
                <w:rFonts w:ascii="宋体" w:hAnsi="宋体" w:cs="宋体"/>
                <w:color w:val="auto"/>
                <w:kern w:val="0"/>
                <w:szCs w:val="21"/>
              </w:rPr>
            </w:pPr>
            <w:r>
              <w:rPr>
                <w:rFonts w:hint="eastAsia" w:ascii="宋体" w:hAnsi="宋体" w:cs="宋体"/>
                <w:color w:val="auto"/>
                <w:kern w:val="0"/>
                <w:szCs w:val="21"/>
              </w:rPr>
              <w:t>荣誉</w:t>
            </w:r>
          </w:p>
          <w:p w14:paraId="154A075A">
            <w:pPr>
              <w:widowControl/>
              <w:spacing w:after="0" w:line="400" w:lineRule="exact"/>
              <w:jc w:val="center"/>
              <w:rPr>
                <w:rFonts w:ascii="宋体" w:hAnsi="宋体" w:cs="宋体"/>
                <w:color w:val="auto"/>
                <w:kern w:val="0"/>
                <w:szCs w:val="21"/>
              </w:rPr>
            </w:pPr>
            <w:r>
              <w:rPr>
                <w:rFonts w:hint="eastAsia" w:ascii="宋体" w:hAnsi="宋体" w:cs="宋体"/>
                <w:color w:val="auto"/>
                <w:kern w:val="0"/>
                <w:szCs w:val="21"/>
              </w:rPr>
              <w:t>（</w:t>
            </w:r>
            <w:r>
              <w:rPr>
                <w:rFonts w:hint="eastAsia" w:ascii="宋体" w:hAnsi="宋体" w:eastAsia="宋体" w:cs="宋体"/>
                <w:color w:val="auto"/>
                <w:kern w:val="0"/>
                <w:szCs w:val="21"/>
                <w:lang w:val="en-US" w:eastAsia="zh-CN"/>
              </w:rPr>
              <w:t>9</w:t>
            </w:r>
            <w:r>
              <w:rPr>
                <w:rFonts w:hint="eastAsia" w:ascii="宋体" w:hAnsi="宋体" w:cs="宋体"/>
                <w:color w:val="auto"/>
                <w:kern w:val="0"/>
                <w:szCs w:val="21"/>
              </w:rPr>
              <w:t>分）</w:t>
            </w:r>
          </w:p>
        </w:tc>
        <w:tc>
          <w:tcPr>
            <w:tcW w:w="3076" w:type="pct"/>
            <w:vAlign w:val="center"/>
          </w:tcPr>
          <w:p w14:paraId="60FA76BD">
            <w:pPr>
              <w:widowControl/>
              <w:spacing w:after="0" w:line="400" w:lineRule="exact"/>
              <w:rPr>
                <w:rFonts w:hint="eastAsia" w:cs="宋体" w:asciiTheme="minorEastAsia" w:hAnsiTheme="minorEastAsia"/>
                <w:color w:val="auto"/>
                <w:szCs w:val="21"/>
              </w:rPr>
            </w:pPr>
            <w:r>
              <w:rPr>
                <w:rFonts w:hint="eastAsia" w:cs="宋体" w:asciiTheme="minorEastAsia" w:hAnsiTheme="minorEastAsia"/>
                <w:color w:val="auto"/>
                <w:szCs w:val="21"/>
              </w:rPr>
              <w:t>1.为了保证电子警察系统主要产品、技术具备较高的先进性，可达到领先水平，</w:t>
            </w:r>
            <w:r>
              <w:rPr>
                <w:rFonts w:hint="eastAsia" w:eastAsia="宋体" w:cs="宋体" w:asciiTheme="minorEastAsia" w:hAnsiTheme="minorEastAsia"/>
                <w:color w:val="auto"/>
                <w:szCs w:val="21"/>
                <w:lang w:eastAsia="zh-CN"/>
              </w:rPr>
              <w:t>供应商</w:t>
            </w:r>
            <w:r>
              <w:rPr>
                <w:rFonts w:hint="eastAsia" w:cs="宋体" w:asciiTheme="minorEastAsia" w:hAnsiTheme="minorEastAsia"/>
                <w:color w:val="auto"/>
                <w:szCs w:val="21"/>
              </w:rPr>
              <w:t>所投核心产品制造商应具备较强的新技术研发实力，可提供高水平技术支撑，具备国家科学技术部颁发的国家新一代人工智能开放创新平台的，得2分；否则不得分。</w:t>
            </w:r>
          </w:p>
          <w:p w14:paraId="2990C8AD">
            <w:pPr>
              <w:widowControl/>
              <w:spacing w:after="0" w:line="400" w:lineRule="exact"/>
              <w:rPr>
                <w:rFonts w:hint="eastAsia" w:cs="宋体" w:asciiTheme="minorEastAsia" w:hAnsiTheme="minorEastAsia"/>
                <w:color w:val="auto"/>
                <w:szCs w:val="21"/>
              </w:rPr>
            </w:pPr>
            <w:r>
              <w:rPr>
                <w:rFonts w:hint="eastAsia" w:cs="宋体" w:asciiTheme="minorEastAsia" w:hAnsiTheme="minorEastAsia"/>
                <w:color w:val="auto"/>
                <w:szCs w:val="21"/>
              </w:rPr>
              <w:t>2.核心产品制造商应具备优秀的质量管理水平，曾获得由省级（或省级以上）政府部门颁发的政府质量奖项的，得2分，不提供或提供不全者不得分。</w:t>
            </w:r>
          </w:p>
          <w:p w14:paraId="3DF34F4E">
            <w:pPr>
              <w:widowControl/>
              <w:spacing w:after="0" w:line="400" w:lineRule="exact"/>
              <w:rPr>
                <w:rFonts w:hint="eastAsia" w:cs="宋体" w:asciiTheme="minorEastAsia" w:hAnsiTheme="minorEastAsia"/>
                <w:color w:val="auto"/>
                <w:szCs w:val="21"/>
              </w:rPr>
            </w:pPr>
            <w:r>
              <w:rPr>
                <w:rFonts w:hint="eastAsia" w:cs="宋体" w:asciiTheme="minorEastAsia" w:hAnsiTheme="minorEastAsia"/>
                <w:color w:val="auto"/>
                <w:szCs w:val="21"/>
              </w:rPr>
              <w:t>3.核心产品制造商应具备较强的科技创新能力、警务效能和实战能力，获得权威部门重点实验室证明材料的，得2分，不提供或提供不全者不得分。</w:t>
            </w:r>
          </w:p>
          <w:p w14:paraId="3B119B0F">
            <w:pPr>
              <w:widowControl/>
              <w:spacing w:after="0" w:line="400" w:lineRule="exact"/>
              <w:rPr>
                <w:rFonts w:hint="eastAsia" w:cs="宋体" w:asciiTheme="minorEastAsia" w:hAnsiTheme="minorEastAsia"/>
                <w:color w:val="auto"/>
                <w:szCs w:val="21"/>
              </w:rPr>
            </w:pPr>
            <w:r>
              <w:rPr>
                <w:rFonts w:hint="eastAsia" w:cs="宋体" w:asciiTheme="minorEastAsia" w:hAnsiTheme="minorEastAsia"/>
                <w:color w:val="auto"/>
                <w:szCs w:val="21"/>
              </w:rPr>
              <w:t>4.核心产品制造商同时获得国家级科学技术进步奖和发明奖的，得2分。获得单个国家级技术进步奖或发明奖的，得1分，不提供或提供不全者不得分。</w:t>
            </w:r>
          </w:p>
          <w:p w14:paraId="0134D216">
            <w:pPr>
              <w:widowControl/>
              <w:spacing w:after="0" w:line="400" w:lineRule="exact"/>
              <w:rPr>
                <w:rFonts w:hint="eastAsia" w:cs="宋体" w:asciiTheme="minorEastAsia" w:hAnsiTheme="minorEastAsia"/>
                <w:color w:val="auto"/>
                <w:szCs w:val="21"/>
              </w:rPr>
            </w:pPr>
            <w:r>
              <w:rPr>
                <w:rFonts w:hint="eastAsia" w:eastAsia="宋体" w:cs="宋体" w:asciiTheme="minorEastAsia" w:hAnsiTheme="minorEastAsia"/>
                <w:color w:val="auto"/>
                <w:szCs w:val="21"/>
                <w:lang w:val="en-US" w:eastAsia="zh-CN"/>
              </w:rPr>
              <w:t>5</w:t>
            </w:r>
            <w:r>
              <w:rPr>
                <w:rFonts w:hint="eastAsia" w:cs="宋体" w:asciiTheme="minorEastAsia" w:hAnsiTheme="minorEastAsia"/>
                <w:color w:val="auto"/>
                <w:szCs w:val="21"/>
              </w:rPr>
              <w:t>.核心产品制造商在产品质量管理、设计、制造、风险控制等方面均处于行业较先进水平，具备3C(CCC)现场检测实验室资质的得1分，不提供或提供不全者不得分。</w:t>
            </w:r>
          </w:p>
          <w:p w14:paraId="3C12BBF0">
            <w:pPr>
              <w:widowControl/>
              <w:spacing w:after="0" w:line="400" w:lineRule="exact"/>
              <w:rPr>
                <w:rFonts w:ascii="宋体" w:hAnsi="宋体" w:cs="宋体"/>
                <w:color w:val="auto"/>
                <w:kern w:val="0"/>
                <w:szCs w:val="21"/>
              </w:rPr>
            </w:pPr>
            <w:r>
              <w:rPr>
                <w:rFonts w:hint="eastAsia" w:cs="宋体" w:asciiTheme="minorEastAsia" w:hAnsiTheme="minorEastAsia"/>
                <w:color w:val="auto"/>
                <w:szCs w:val="21"/>
              </w:rPr>
              <w:t>注：以上证明材料须提供复印件并加盖制造商公章，不提供不得分。</w:t>
            </w:r>
          </w:p>
        </w:tc>
      </w:tr>
      <w:tr w14:paraId="2A84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vMerge w:val="continue"/>
            <w:vAlign w:val="center"/>
          </w:tcPr>
          <w:p w14:paraId="62F331E5">
            <w:pPr>
              <w:widowControl/>
              <w:adjustRightInd w:val="0"/>
              <w:snapToGrid w:val="0"/>
              <w:spacing w:line="360" w:lineRule="auto"/>
              <w:jc w:val="center"/>
              <w:rPr>
                <w:rFonts w:ascii="宋体" w:hAnsi="宋体" w:cs="宋体"/>
                <w:color w:val="auto"/>
                <w:kern w:val="0"/>
                <w:szCs w:val="21"/>
              </w:rPr>
            </w:pPr>
          </w:p>
        </w:tc>
        <w:tc>
          <w:tcPr>
            <w:tcW w:w="619" w:type="pct"/>
            <w:gridSpan w:val="2"/>
            <w:vMerge w:val="continue"/>
            <w:vAlign w:val="center"/>
          </w:tcPr>
          <w:p w14:paraId="7B7A99B7">
            <w:pPr>
              <w:widowControl/>
              <w:adjustRightInd w:val="0"/>
              <w:snapToGrid w:val="0"/>
              <w:spacing w:line="360" w:lineRule="auto"/>
              <w:jc w:val="center"/>
              <w:rPr>
                <w:rFonts w:ascii="宋体" w:hAnsi="宋体" w:cs="宋体"/>
                <w:color w:val="auto"/>
                <w:kern w:val="0"/>
                <w:szCs w:val="21"/>
              </w:rPr>
            </w:pPr>
          </w:p>
        </w:tc>
        <w:tc>
          <w:tcPr>
            <w:tcW w:w="819" w:type="pct"/>
            <w:vAlign w:val="center"/>
          </w:tcPr>
          <w:p w14:paraId="7CF308BC">
            <w:pPr>
              <w:widowControl/>
              <w:spacing w:after="0" w:line="400" w:lineRule="exact"/>
              <w:rPr>
                <w:rFonts w:ascii="宋体" w:hAnsi="宋体" w:cs="宋体"/>
                <w:b/>
                <w:color w:val="auto"/>
                <w:kern w:val="0"/>
                <w:szCs w:val="21"/>
              </w:rPr>
            </w:pPr>
            <w:r>
              <w:rPr>
                <w:rFonts w:hint="eastAsia" w:ascii="宋体" w:hAnsi="宋体" w:cs="宋体"/>
                <w:color w:val="auto"/>
                <w:kern w:val="0"/>
                <w:szCs w:val="21"/>
              </w:rPr>
              <w:t>维护能力（15分）</w:t>
            </w:r>
          </w:p>
        </w:tc>
        <w:tc>
          <w:tcPr>
            <w:tcW w:w="3076" w:type="pct"/>
            <w:vAlign w:val="center"/>
          </w:tcPr>
          <w:p w14:paraId="76EF205D">
            <w:pPr>
              <w:widowControl/>
              <w:spacing w:after="0" w:line="400" w:lineRule="exact"/>
              <w:rPr>
                <w:rFonts w:hint="eastAsia" w:cs="宋体" w:asciiTheme="minorEastAsia" w:hAnsiTheme="minorEastAsia"/>
                <w:color w:val="auto"/>
                <w:szCs w:val="21"/>
              </w:rPr>
            </w:pPr>
            <w:r>
              <w:rPr>
                <w:rFonts w:hint="eastAsia" w:eastAsia="宋体" w:cs="宋体" w:asciiTheme="minorEastAsia" w:hAnsiTheme="minorEastAsia"/>
                <w:color w:val="auto"/>
                <w:szCs w:val="21"/>
                <w:lang w:val="en-US" w:eastAsia="zh-CN"/>
              </w:rPr>
              <w:t>1.</w:t>
            </w:r>
            <w:r>
              <w:rPr>
                <w:rFonts w:hint="eastAsia" w:eastAsia="宋体" w:cs="宋体" w:asciiTheme="minorEastAsia" w:hAnsiTheme="minorEastAsia"/>
                <w:color w:val="auto"/>
                <w:szCs w:val="21"/>
                <w:lang w:eastAsia="zh-CN"/>
              </w:rPr>
              <w:t>供应商</w:t>
            </w:r>
            <w:r>
              <w:rPr>
                <w:rFonts w:hint="eastAsia" w:cs="宋体" w:asciiTheme="minorEastAsia" w:hAnsiTheme="minorEastAsia"/>
                <w:color w:val="auto"/>
                <w:szCs w:val="21"/>
              </w:rPr>
              <w:t>施工期间提供3辆及以上升降作业车，且为自购车辆的得3分（须提供购买发票及应急管理厅颁发的登高作业证3个；升降作业车的发票及登高作业证原件</w:t>
            </w:r>
            <w:r>
              <w:rPr>
                <w:rFonts w:hint="eastAsia" w:cs="宋体" w:asciiTheme="minorEastAsia" w:hAnsiTheme="minorEastAsia"/>
                <w:color w:val="auto"/>
                <w:szCs w:val="21"/>
                <w:lang w:val="en-US" w:eastAsia="zh-CN"/>
              </w:rPr>
              <w:t>扫描件加盖</w:t>
            </w:r>
            <w:r>
              <w:rPr>
                <w:rFonts w:hint="eastAsia" w:eastAsia="宋体" w:cs="宋体" w:asciiTheme="minorEastAsia" w:hAnsiTheme="minorEastAsia"/>
                <w:color w:val="auto"/>
                <w:szCs w:val="21"/>
                <w:lang w:eastAsia="zh-CN"/>
              </w:rPr>
              <w:t>供应商</w:t>
            </w:r>
            <w:r>
              <w:rPr>
                <w:rFonts w:hint="eastAsia" w:cs="宋体" w:asciiTheme="minorEastAsia" w:hAnsiTheme="minorEastAsia"/>
                <w:color w:val="auto"/>
                <w:szCs w:val="21"/>
                <w:lang w:val="en-US" w:eastAsia="zh-CN"/>
              </w:rPr>
              <w:t>公章，原件</w:t>
            </w:r>
            <w:r>
              <w:rPr>
                <w:rFonts w:hint="eastAsia" w:cs="宋体" w:asciiTheme="minorEastAsia" w:hAnsiTheme="minorEastAsia"/>
                <w:color w:val="auto"/>
                <w:szCs w:val="21"/>
              </w:rPr>
              <w:t>备查），否则不得分。</w:t>
            </w:r>
          </w:p>
          <w:p w14:paraId="405341B3">
            <w:pPr>
              <w:widowControl/>
              <w:spacing w:after="0" w:line="400" w:lineRule="exact"/>
              <w:rPr>
                <w:rFonts w:hint="eastAsia" w:cs="宋体" w:asciiTheme="minorEastAsia" w:hAnsiTheme="minorEastAsia"/>
                <w:color w:val="auto"/>
                <w:szCs w:val="21"/>
              </w:rPr>
            </w:pPr>
            <w:r>
              <w:rPr>
                <w:rFonts w:hint="eastAsia" w:cs="宋体" w:asciiTheme="minorEastAsia" w:hAnsiTheme="minorEastAsia"/>
                <w:color w:val="auto"/>
                <w:szCs w:val="21"/>
              </w:rPr>
              <w:t xml:space="preserve">2. </w:t>
            </w:r>
            <w:r>
              <w:rPr>
                <w:rFonts w:hint="eastAsia" w:eastAsia="宋体" w:cs="宋体" w:asciiTheme="minorEastAsia" w:hAnsiTheme="minorEastAsia"/>
                <w:color w:val="auto"/>
                <w:szCs w:val="21"/>
                <w:lang w:eastAsia="zh-CN"/>
              </w:rPr>
              <w:t>供应商</w:t>
            </w:r>
            <w:r>
              <w:rPr>
                <w:rFonts w:hint="eastAsia" w:cs="宋体" w:asciiTheme="minorEastAsia" w:hAnsiTheme="minorEastAsia"/>
                <w:color w:val="auto"/>
                <w:szCs w:val="21"/>
              </w:rPr>
              <w:t>提供公安机关盖公章的道路交通技术监控维护项目在线率95%或以上的用户评价，每提供1个用户的评价得2分，最高得6分，须与中标通知书、合同书一致（原件备查）。</w:t>
            </w:r>
          </w:p>
          <w:p w14:paraId="79A5324D">
            <w:pPr>
              <w:widowControl/>
              <w:spacing w:after="0" w:line="400" w:lineRule="exact"/>
              <w:rPr>
                <w:rFonts w:hint="eastAsia" w:cs="宋体" w:asciiTheme="minorEastAsia" w:hAnsiTheme="minorEastAsia"/>
                <w:color w:val="auto"/>
                <w:szCs w:val="21"/>
              </w:rPr>
            </w:pPr>
            <w:r>
              <w:rPr>
                <w:rFonts w:hint="eastAsia" w:cs="宋体" w:asciiTheme="minorEastAsia" w:hAnsiTheme="minorEastAsia"/>
                <w:color w:val="auto"/>
                <w:szCs w:val="21"/>
              </w:rPr>
              <w:t>3.</w:t>
            </w:r>
            <w:r>
              <w:rPr>
                <w:rFonts w:hint="eastAsia" w:eastAsia="宋体" w:cs="宋体" w:asciiTheme="minorEastAsia" w:hAnsiTheme="minorEastAsia"/>
                <w:color w:val="auto"/>
                <w:szCs w:val="21"/>
                <w:lang w:eastAsia="zh-CN"/>
              </w:rPr>
              <w:t>供应商</w:t>
            </w:r>
            <w:r>
              <w:rPr>
                <w:rFonts w:hint="eastAsia" w:cs="宋体" w:asciiTheme="minorEastAsia" w:hAnsiTheme="minorEastAsia"/>
                <w:color w:val="auto"/>
                <w:szCs w:val="21"/>
              </w:rPr>
              <w:t>具备交通仿真技术实力，并提供仿真软件培训证书,得3分。（须提供培训证书原件</w:t>
            </w:r>
            <w:r>
              <w:rPr>
                <w:rFonts w:hint="eastAsia" w:cs="宋体" w:asciiTheme="minorEastAsia" w:hAnsiTheme="minorEastAsia"/>
                <w:color w:val="auto"/>
                <w:szCs w:val="21"/>
                <w:lang w:val="en-US" w:eastAsia="zh-CN"/>
              </w:rPr>
              <w:t>扫描件加盖</w:t>
            </w:r>
            <w:r>
              <w:rPr>
                <w:rFonts w:hint="eastAsia" w:eastAsia="宋体" w:cs="宋体" w:asciiTheme="minorEastAsia" w:hAnsiTheme="minorEastAsia"/>
                <w:color w:val="auto"/>
                <w:szCs w:val="21"/>
                <w:lang w:eastAsia="zh-CN"/>
              </w:rPr>
              <w:t>供应商</w:t>
            </w:r>
            <w:r>
              <w:rPr>
                <w:rFonts w:hint="eastAsia" w:cs="宋体" w:asciiTheme="minorEastAsia" w:hAnsiTheme="minorEastAsia"/>
                <w:color w:val="auto"/>
                <w:szCs w:val="21"/>
                <w:lang w:val="en-US" w:eastAsia="zh-CN"/>
              </w:rPr>
              <w:t>公章，原件备查</w:t>
            </w:r>
            <w:r>
              <w:rPr>
                <w:rFonts w:hint="eastAsia" w:cs="宋体" w:asciiTheme="minorEastAsia" w:hAnsiTheme="minorEastAsia"/>
                <w:color w:val="auto"/>
                <w:szCs w:val="21"/>
              </w:rPr>
              <w:t>，不提供不得分）。</w:t>
            </w:r>
          </w:p>
          <w:p w14:paraId="3856F854">
            <w:pPr>
              <w:widowControl/>
              <w:spacing w:after="0" w:line="400" w:lineRule="exact"/>
              <w:rPr>
                <w:rFonts w:ascii="宋体" w:hAnsi="宋体" w:cs="宋体"/>
                <w:color w:val="auto"/>
                <w:kern w:val="0"/>
                <w:szCs w:val="21"/>
              </w:rPr>
            </w:pPr>
            <w:r>
              <w:rPr>
                <w:rFonts w:hint="eastAsia" w:cs="宋体" w:asciiTheme="minorEastAsia" w:hAnsiTheme="minorEastAsia"/>
                <w:color w:val="auto"/>
                <w:szCs w:val="21"/>
              </w:rPr>
              <w:t>4.技术负责人从事过道路交通技术监控项目经验并能提供说明材料的，得3分。（提供政府采购网中标公告网页截图、中标通知书、合同书、社保证明复印件加盖</w:t>
            </w:r>
            <w:r>
              <w:rPr>
                <w:rFonts w:hint="eastAsia" w:eastAsia="宋体" w:cs="宋体" w:asciiTheme="minorEastAsia" w:hAnsiTheme="minorEastAsia"/>
                <w:color w:val="auto"/>
                <w:szCs w:val="21"/>
                <w:lang w:eastAsia="zh-CN"/>
              </w:rPr>
              <w:t>供应商</w:t>
            </w:r>
            <w:r>
              <w:rPr>
                <w:rFonts w:hint="eastAsia" w:cs="宋体" w:asciiTheme="minorEastAsia" w:hAnsiTheme="minorEastAsia"/>
                <w:color w:val="auto"/>
                <w:szCs w:val="21"/>
              </w:rPr>
              <w:t>公章）。</w:t>
            </w:r>
          </w:p>
        </w:tc>
      </w:tr>
      <w:tr w14:paraId="0752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vAlign w:val="center"/>
          </w:tcPr>
          <w:p w14:paraId="79D830BB">
            <w:pPr>
              <w:widowControl/>
              <w:adjustRightInd w:val="0"/>
              <w:snapToGrid w:val="0"/>
              <w:spacing w:line="360" w:lineRule="auto"/>
              <w:jc w:val="center"/>
              <w:rPr>
                <w:rFonts w:ascii="宋体" w:hAnsi="宋体" w:cs="宋体"/>
                <w:color w:val="auto"/>
                <w:kern w:val="0"/>
                <w:szCs w:val="21"/>
              </w:rPr>
            </w:pPr>
          </w:p>
        </w:tc>
        <w:tc>
          <w:tcPr>
            <w:tcW w:w="619" w:type="pct"/>
            <w:gridSpan w:val="2"/>
            <w:vAlign w:val="center"/>
          </w:tcPr>
          <w:p w14:paraId="0BFFB426">
            <w:pPr>
              <w:widowControl/>
              <w:adjustRightInd w:val="0"/>
              <w:snapToGrid w:val="0"/>
              <w:spacing w:line="360" w:lineRule="auto"/>
              <w:jc w:val="center"/>
              <w:rPr>
                <w:rFonts w:ascii="宋体" w:hAnsi="宋体" w:cs="宋体"/>
                <w:color w:val="auto"/>
                <w:kern w:val="0"/>
                <w:szCs w:val="21"/>
              </w:rPr>
            </w:pPr>
          </w:p>
        </w:tc>
        <w:tc>
          <w:tcPr>
            <w:tcW w:w="819" w:type="pct"/>
            <w:vAlign w:val="center"/>
          </w:tcPr>
          <w:p w14:paraId="539CB28F">
            <w:pPr>
              <w:widowControl/>
              <w:spacing w:after="0" w:line="400" w:lineRule="exact"/>
              <w:jc w:val="center"/>
              <w:rPr>
                <w:rFonts w:ascii="宋体" w:hAnsi="宋体" w:cs="宋体"/>
                <w:kern w:val="0"/>
                <w:szCs w:val="21"/>
              </w:rPr>
            </w:pPr>
            <w:r>
              <w:rPr>
                <w:rFonts w:ascii="宋体" w:hAnsi="宋体" w:cs="宋体"/>
                <w:kern w:val="0"/>
                <w:szCs w:val="21"/>
              </w:rPr>
              <w:t>兼容性测试</w:t>
            </w:r>
          </w:p>
          <w:p w14:paraId="15EDBA2A">
            <w:pPr>
              <w:widowControl/>
              <w:spacing w:after="0" w:line="400" w:lineRule="exact"/>
              <w:jc w:val="center"/>
              <w:rPr>
                <w:rFonts w:ascii="宋体" w:hAnsi="宋体" w:cs="宋体"/>
                <w:b/>
                <w:color w:val="auto"/>
                <w:kern w:val="0"/>
                <w:szCs w:val="21"/>
              </w:rPr>
            </w:pPr>
            <w:r>
              <w:rPr>
                <w:rFonts w:hint="eastAsia" w:ascii="宋体" w:hAnsi="宋体" w:cs="宋体"/>
                <w:kern w:val="0"/>
                <w:szCs w:val="21"/>
              </w:rPr>
              <w:t>（2分）</w:t>
            </w:r>
          </w:p>
        </w:tc>
        <w:tc>
          <w:tcPr>
            <w:tcW w:w="3076" w:type="pct"/>
            <w:vAlign w:val="center"/>
          </w:tcPr>
          <w:p w14:paraId="145B7AFA">
            <w:pPr>
              <w:widowControl/>
              <w:spacing w:after="0" w:line="400" w:lineRule="exact"/>
              <w:rPr>
                <w:rFonts w:ascii="宋体" w:hAnsi="宋体" w:cs="宋体"/>
                <w:kern w:val="0"/>
                <w:szCs w:val="21"/>
              </w:rPr>
            </w:pPr>
            <w:r>
              <w:rPr>
                <w:rFonts w:hint="eastAsia" w:ascii="宋体" w:hAnsi="宋体" w:cs="宋体"/>
                <w:kern w:val="0"/>
                <w:szCs w:val="21"/>
              </w:rPr>
              <w:t>1.</w:t>
            </w:r>
            <w:r>
              <w:rPr>
                <w:rFonts w:ascii="宋体" w:hAnsi="宋体" w:cs="宋体"/>
                <w:kern w:val="0"/>
                <w:szCs w:val="21"/>
              </w:rPr>
              <w:t>为保证</w:t>
            </w:r>
            <w:r>
              <w:rPr>
                <w:rFonts w:hint="eastAsia" w:ascii="宋体" w:hAnsi="宋体" w:cs="宋体"/>
                <w:kern w:val="0"/>
                <w:szCs w:val="21"/>
              </w:rPr>
              <w:t>“智能交通综合管理平台”</w:t>
            </w:r>
            <w:r>
              <w:rPr>
                <w:rFonts w:ascii="宋体" w:hAnsi="宋体" w:cs="宋体"/>
                <w:kern w:val="0"/>
                <w:szCs w:val="21"/>
              </w:rPr>
              <w:t>与原中心平台的互联互通，投标时</w:t>
            </w:r>
            <w:r>
              <w:rPr>
                <w:rFonts w:hint="eastAsia" w:ascii="宋体" w:hAnsi="宋体" w:cs="宋体"/>
                <w:kern w:val="0"/>
                <w:szCs w:val="21"/>
              </w:rPr>
              <w:t>提供对接</w:t>
            </w:r>
            <w:r>
              <w:rPr>
                <w:rFonts w:ascii="宋体" w:hAnsi="宋体" w:cs="宋体"/>
                <w:kern w:val="0"/>
                <w:szCs w:val="21"/>
              </w:rPr>
              <w:t>测试报告并加盖制造商公章的得</w:t>
            </w:r>
            <w:r>
              <w:rPr>
                <w:rFonts w:hint="eastAsia" w:ascii="宋体" w:hAnsi="宋体" w:cs="宋体"/>
                <w:kern w:val="0"/>
                <w:szCs w:val="21"/>
              </w:rPr>
              <w:t>2分</w:t>
            </w:r>
            <w:r>
              <w:rPr>
                <w:rFonts w:ascii="宋体" w:hAnsi="宋体" w:cs="宋体"/>
                <w:kern w:val="0"/>
                <w:szCs w:val="21"/>
              </w:rPr>
              <w:t>。</w:t>
            </w:r>
          </w:p>
          <w:p w14:paraId="76613A76">
            <w:pPr>
              <w:widowControl/>
              <w:spacing w:after="0" w:line="400" w:lineRule="exact"/>
              <w:rPr>
                <w:rFonts w:ascii="宋体" w:hAnsi="宋体" w:cs="宋体"/>
                <w:color w:val="auto"/>
                <w:kern w:val="0"/>
                <w:szCs w:val="21"/>
              </w:rPr>
            </w:pPr>
            <w:r>
              <w:rPr>
                <w:rFonts w:hint="eastAsia" w:ascii="宋体" w:hAnsi="宋体" w:cs="宋体"/>
                <w:kern w:val="0"/>
                <w:szCs w:val="21"/>
              </w:rPr>
              <w:t>注：以上证明材料须提供复印件并加盖制造商公章，否则不得分。</w:t>
            </w:r>
          </w:p>
        </w:tc>
      </w:tr>
    </w:tbl>
    <w:p w14:paraId="415B6D1C">
      <w:pPr>
        <w:autoSpaceDE w:val="0"/>
        <w:autoSpaceDN w:val="0"/>
        <w:adjustRightInd w:val="0"/>
        <w:spacing w:line="360" w:lineRule="auto"/>
        <w:ind w:right="-23" w:firstLine="480" w:firstLineChars="200"/>
        <w:jc w:val="left"/>
        <w:rPr>
          <w:rFonts w:ascii="宋体" w:hAnsi="宋体" w:cs="宋体"/>
          <w:color w:val="auto"/>
          <w:kern w:val="0"/>
          <w:sz w:val="24"/>
        </w:rPr>
      </w:pPr>
    </w:p>
    <w:p w14:paraId="401A48D8">
      <w:pPr>
        <w:autoSpaceDE w:val="0"/>
        <w:autoSpaceDN w:val="0"/>
        <w:adjustRightInd w:val="0"/>
        <w:spacing w:line="360" w:lineRule="auto"/>
        <w:ind w:right="-23" w:firstLine="480" w:firstLineChars="200"/>
        <w:jc w:val="left"/>
        <w:rPr>
          <w:rFonts w:ascii="宋体" w:cs="宋体"/>
          <w:color w:val="auto"/>
          <w:kern w:val="0"/>
          <w:sz w:val="24"/>
        </w:rPr>
      </w:pPr>
      <w:r>
        <w:rPr>
          <w:rFonts w:ascii="宋体" w:hAnsi="宋体" w:cs="宋体"/>
          <w:color w:val="auto"/>
          <w:kern w:val="0"/>
          <w:sz w:val="24"/>
        </w:rPr>
        <w:t>1</w:t>
      </w:r>
      <w:r>
        <w:rPr>
          <w:rFonts w:hint="eastAsia" w:ascii="宋体" w:hAnsi="宋体" w:cs="宋体"/>
          <w:color w:val="auto"/>
          <w:kern w:val="0"/>
          <w:sz w:val="24"/>
        </w:rPr>
        <w:t>、本次招标采用综合评分法评标，投标文件满足招标文件全部实质性要求，且按照评标因素的量化指标评标得分最高的</w:t>
      </w:r>
      <w:r>
        <w:rPr>
          <w:rFonts w:hint="eastAsia" w:ascii="宋体" w:hAnsi="宋体" w:cs="宋体"/>
          <w:color w:val="auto"/>
          <w:kern w:val="0"/>
          <w:sz w:val="24"/>
          <w:lang w:eastAsia="zh-CN"/>
        </w:rPr>
        <w:t>供应商</w:t>
      </w:r>
      <w:r>
        <w:rPr>
          <w:rFonts w:hint="eastAsia" w:ascii="宋体" w:hAnsi="宋体" w:cs="宋体"/>
          <w:color w:val="auto"/>
          <w:kern w:val="0"/>
          <w:sz w:val="24"/>
        </w:rPr>
        <w:t>为中标候选人的评标方法。评分相等时，以投标报价低的优先；投标报价也相等的，以技术评分得分高的优先。</w:t>
      </w:r>
    </w:p>
    <w:p w14:paraId="0EBB8589">
      <w:pPr>
        <w:autoSpaceDE w:val="0"/>
        <w:autoSpaceDN w:val="0"/>
        <w:adjustRightInd w:val="0"/>
        <w:spacing w:line="360" w:lineRule="auto"/>
        <w:ind w:right="-23" w:firstLine="480" w:firstLineChars="200"/>
        <w:jc w:val="left"/>
        <w:rPr>
          <w:rFonts w:ascii="宋体" w:cs="宋体"/>
          <w:color w:val="auto"/>
          <w:kern w:val="0"/>
          <w:sz w:val="24"/>
        </w:rPr>
      </w:pPr>
      <w:r>
        <w:rPr>
          <w:rFonts w:hint="eastAsia" w:ascii="宋体" w:hAnsi="宋体" w:cs="宋体"/>
          <w:color w:val="auto"/>
          <w:kern w:val="0"/>
          <w:sz w:val="24"/>
        </w:rPr>
        <w:t>采购人已根据采购项目技术构成、产品价格比重等合理确定各标包核心产品，并在招标文件中载明。多家</w:t>
      </w:r>
      <w:r>
        <w:rPr>
          <w:rFonts w:hint="eastAsia" w:ascii="宋体" w:hAnsi="宋体" w:cs="宋体"/>
          <w:color w:val="auto"/>
          <w:kern w:val="0"/>
          <w:sz w:val="24"/>
          <w:lang w:eastAsia="zh-CN"/>
        </w:rPr>
        <w:t>供应商</w:t>
      </w:r>
      <w:r>
        <w:rPr>
          <w:rFonts w:hint="eastAsia" w:ascii="宋体" w:hAnsi="宋体" w:cs="宋体"/>
          <w:color w:val="auto"/>
          <w:kern w:val="0"/>
          <w:sz w:val="24"/>
        </w:rPr>
        <w:t>提供的核心产品品牌相同的，按以下规定处理：提供相同品牌产品且通过资格审查、符合性审查的不同</w:t>
      </w:r>
      <w:r>
        <w:rPr>
          <w:rFonts w:hint="eastAsia" w:ascii="宋体" w:hAnsi="宋体" w:cs="宋体"/>
          <w:color w:val="auto"/>
          <w:kern w:val="0"/>
          <w:sz w:val="24"/>
          <w:lang w:eastAsia="zh-CN"/>
        </w:rPr>
        <w:t>供应商</w:t>
      </w:r>
      <w:r>
        <w:rPr>
          <w:rFonts w:hint="eastAsia" w:ascii="宋体" w:hAnsi="宋体" w:cs="宋体"/>
          <w:color w:val="auto"/>
          <w:kern w:val="0"/>
          <w:sz w:val="24"/>
        </w:rPr>
        <w:t>参加同一合同项下投标的，按一家</w:t>
      </w:r>
      <w:r>
        <w:rPr>
          <w:rFonts w:hint="eastAsia" w:ascii="宋体" w:hAnsi="宋体" w:cs="宋体"/>
          <w:color w:val="auto"/>
          <w:kern w:val="0"/>
          <w:sz w:val="24"/>
          <w:lang w:eastAsia="zh-CN"/>
        </w:rPr>
        <w:t>供应商</w:t>
      </w:r>
      <w:r>
        <w:rPr>
          <w:rFonts w:hint="eastAsia" w:ascii="宋体" w:hAnsi="宋体" w:cs="宋体"/>
          <w:color w:val="auto"/>
          <w:kern w:val="0"/>
          <w:sz w:val="24"/>
        </w:rPr>
        <w:t>计算，评标后得分最高的同品牌</w:t>
      </w:r>
      <w:r>
        <w:rPr>
          <w:rFonts w:hint="eastAsia" w:ascii="宋体" w:hAnsi="宋体" w:cs="宋体"/>
          <w:color w:val="auto"/>
          <w:kern w:val="0"/>
          <w:sz w:val="24"/>
          <w:lang w:eastAsia="zh-CN"/>
        </w:rPr>
        <w:t>供应商</w:t>
      </w:r>
      <w:r>
        <w:rPr>
          <w:rFonts w:hint="eastAsia" w:ascii="宋体" w:hAnsi="宋体" w:cs="宋体"/>
          <w:color w:val="auto"/>
          <w:kern w:val="0"/>
          <w:sz w:val="24"/>
        </w:rPr>
        <w:t>获得中标人推荐资格；评标得分相同的，由采购人或者采购人委托评标委员会按照招标文件规定的方式确定一个</w:t>
      </w:r>
      <w:r>
        <w:rPr>
          <w:rFonts w:hint="eastAsia" w:ascii="宋体" w:hAnsi="宋体" w:cs="宋体"/>
          <w:color w:val="auto"/>
          <w:kern w:val="0"/>
          <w:sz w:val="24"/>
          <w:lang w:eastAsia="zh-CN"/>
        </w:rPr>
        <w:t>供应商</w:t>
      </w:r>
      <w:r>
        <w:rPr>
          <w:rFonts w:hint="eastAsia" w:ascii="宋体" w:hAnsi="宋体" w:cs="宋体"/>
          <w:color w:val="auto"/>
          <w:kern w:val="0"/>
          <w:sz w:val="24"/>
        </w:rPr>
        <w:t>获得中标人推荐资格，招标文件未规定的采取随机抽取方式确定，其他同品牌</w:t>
      </w:r>
      <w:r>
        <w:rPr>
          <w:rFonts w:hint="eastAsia" w:ascii="宋体" w:hAnsi="宋体" w:cs="宋体"/>
          <w:color w:val="auto"/>
          <w:kern w:val="0"/>
          <w:sz w:val="24"/>
          <w:lang w:eastAsia="zh-CN"/>
        </w:rPr>
        <w:t>供应商</w:t>
      </w:r>
      <w:r>
        <w:rPr>
          <w:rFonts w:hint="eastAsia" w:ascii="宋体" w:hAnsi="宋体" w:cs="宋体"/>
          <w:color w:val="auto"/>
          <w:kern w:val="0"/>
          <w:sz w:val="24"/>
        </w:rPr>
        <w:t>不作为中标候选人。</w:t>
      </w:r>
      <w:bookmarkStart w:id="398" w:name="_Toc13454"/>
      <w:bookmarkStart w:id="399" w:name="_Toc30895"/>
      <w:bookmarkStart w:id="400" w:name="_Toc4003"/>
      <w:bookmarkStart w:id="401" w:name="_Toc6135"/>
      <w:bookmarkStart w:id="402" w:name="_Toc5920"/>
      <w:bookmarkStart w:id="403" w:name="_Toc30234"/>
      <w:bookmarkStart w:id="404" w:name="_Toc17219"/>
      <w:bookmarkStart w:id="405" w:name="_Toc26533"/>
      <w:bookmarkStart w:id="406" w:name="_Toc3406"/>
    </w:p>
    <w:p w14:paraId="544B7B56">
      <w:pPr>
        <w:autoSpaceDE w:val="0"/>
        <w:autoSpaceDN w:val="0"/>
        <w:adjustRightInd w:val="0"/>
        <w:spacing w:line="360" w:lineRule="auto"/>
        <w:ind w:right="-23" w:firstLine="480" w:firstLineChars="200"/>
        <w:jc w:val="left"/>
        <w:outlineLvl w:val="1"/>
        <w:rPr>
          <w:rFonts w:ascii="宋体" w:cs="宋体"/>
          <w:color w:val="auto"/>
          <w:kern w:val="0"/>
          <w:sz w:val="24"/>
        </w:rPr>
      </w:pPr>
      <w:bookmarkStart w:id="407" w:name="_Toc22997"/>
      <w:bookmarkStart w:id="408" w:name="_Toc10108"/>
      <w:bookmarkStart w:id="409" w:name="_Toc27927"/>
      <w:r>
        <w:rPr>
          <w:rFonts w:ascii="宋体" w:hAnsi="宋体" w:cs="宋体"/>
          <w:color w:val="auto"/>
          <w:kern w:val="0"/>
          <w:sz w:val="24"/>
        </w:rPr>
        <w:t>2</w:t>
      </w:r>
      <w:r>
        <w:rPr>
          <w:rFonts w:hint="eastAsia" w:ascii="宋体" w:hAnsi="宋体" w:cs="宋体"/>
          <w:color w:val="auto"/>
          <w:kern w:val="0"/>
          <w:sz w:val="24"/>
        </w:rPr>
        <w:t>、评标标准</w:t>
      </w:r>
      <w:bookmarkEnd w:id="398"/>
      <w:bookmarkEnd w:id="399"/>
      <w:bookmarkEnd w:id="400"/>
      <w:bookmarkEnd w:id="401"/>
      <w:bookmarkEnd w:id="402"/>
      <w:bookmarkEnd w:id="403"/>
      <w:bookmarkEnd w:id="404"/>
      <w:bookmarkEnd w:id="405"/>
      <w:bookmarkEnd w:id="406"/>
      <w:bookmarkEnd w:id="407"/>
      <w:bookmarkEnd w:id="408"/>
      <w:bookmarkEnd w:id="409"/>
    </w:p>
    <w:p w14:paraId="63E148F3">
      <w:pPr>
        <w:autoSpaceDE w:val="0"/>
        <w:autoSpaceDN w:val="0"/>
        <w:adjustRightInd w:val="0"/>
        <w:spacing w:line="360" w:lineRule="auto"/>
        <w:ind w:right="-23" w:firstLine="480" w:firstLineChars="200"/>
        <w:jc w:val="left"/>
        <w:rPr>
          <w:rFonts w:ascii="宋体" w:cs="宋体"/>
          <w:color w:val="auto"/>
          <w:kern w:val="0"/>
          <w:sz w:val="24"/>
        </w:rPr>
      </w:pPr>
      <w:r>
        <w:rPr>
          <w:rFonts w:ascii="宋体" w:hAnsi="宋体" w:cs="宋体"/>
          <w:color w:val="auto"/>
          <w:kern w:val="0"/>
          <w:sz w:val="24"/>
        </w:rPr>
        <w:t>2.1</w:t>
      </w:r>
      <w:r>
        <w:rPr>
          <w:rFonts w:hint="eastAsia" w:ascii="宋体" w:hAnsi="宋体" w:cs="宋体"/>
          <w:color w:val="auto"/>
          <w:kern w:val="0"/>
          <w:sz w:val="24"/>
        </w:rPr>
        <w:t>初步评审标准</w:t>
      </w:r>
    </w:p>
    <w:p w14:paraId="3AF61BB0">
      <w:pPr>
        <w:autoSpaceDE w:val="0"/>
        <w:autoSpaceDN w:val="0"/>
        <w:adjustRightInd w:val="0"/>
        <w:spacing w:line="360" w:lineRule="auto"/>
        <w:ind w:right="-23" w:firstLine="480" w:firstLineChars="200"/>
        <w:jc w:val="left"/>
        <w:rPr>
          <w:rFonts w:ascii="宋体" w:cs="宋体"/>
          <w:color w:val="auto"/>
          <w:kern w:val="0"/>
          <w:sz w:val="24"/>
        </w:rPr>
      </w:pPr>
      <w:r>
        <w:rPr>
          <w:rFonts w:ascii="宋体" w:hAnsi="宋体" w:cs="宋体"/>
          <w:color w:val="auto"/>
          <w:kern w:val="0"/>
          <w:sz w:val="24"/>
        </w:rPr>
        <w:t xml:space="preserve">2.1.1 </w:t>
      </w:r>
      <w:r>
        <w:rPr>
          <w:rFonts w:hint="eastAsia" w:ascii="宋体" w:hAnsi="宋体" w:cs="宋体"/>
          <w:color w:val="auto"/>
          <w:kern w:val="0"/>
          <w:sz w:val="24"/>
        </w:rPr>
        <w:t>形式评审标准：见评标办法前附表；</w:t>
      </w:r>
    </w:p>
    <w:p w14:paraId="738048A9">
      <w:pPr>
        <w:autoSpaceDE w:val="0"/>
        <w:autoSpaceDN w:val="0"/>
        <w:adjustRightInd w:val="0"/>
        <w:spacing w:line="360" w:lineRule="auto"/>
        <w:ind w:right="-23" w:firstLine="480" w:firstLineChars="200"/>
        <w:jc w:val="left"/>
        <w:rPr>
          <w:rFonts w:ascii="宋体" w:cs="宋体"/>
          <w:color w:val="auto"/>
          <w:kern w:val="0"/>
          <w:sz w:val="24"/>
        </w:rPr>
      </w:pPr>
      <w:r>
        <w:rPr>
          <w:rFonts w:ascii="宋体" w:hAnsi="宋体" w:cs="宋体"/>
          <w:color w:val="auto"/>
          <w:kern w:val="0"/>
          <w:sz w:val="24"/>
        </w:rPr>
        <w:t xml:space="preserve">2.1.2 </w:t>
      </w:r>
      <w:r>
        <w:rPr>
          <w:rFonts w:hint="eastAsia" w:ascii="宋体" w:hAnsi="宋体" w:cs="宋体"/>
          <w:color w:val="auto"/>
          <w:kern w:val="0"/>
          <w:sz w:val="24"/>
        </w:rPr>
        <w:t>符合性评审标准：见评标办法前附表；</w:t>
      </w:r>
    </w:p>
    <w:p w14:paraId="7C67B3B7">
      <w:pPr>
        <w:autoSpaceDE w:val="0"/>
        <w:autoSpaceDN w:val="0"/>
        <w:adjustRightInd w:val="0"/>
        <w:spacing w:line="360" w:lineRule="auto"/>
        <w:ind w:right="-23" w:firstLine="480" w:firstLineChars="200"/>
        <w:jc w:val="left"/>
        <w:rPr>
          <w:rFonts w:ascii="宋体" w:cs="宋体"/>
          <w:color w:val="auto"/>
          <w:kern w:val="0"/>
          <w:sz w:val="24"/>
        </w:rPr>
      </w:pPr>
      <w:bookmarkStart w:id="410" w:name="_Toc7259"/>
      <w:bookmarkStart w:id="411" w:name="_Toc31651"/>
      <w:bookmarkStart w:id="412" w:name="_Toc28336"/>
      <w:bookmarkStart w:id="413" w:name="_Toc6724"/>
      <w:bookmarkStart w:id="414" w:name="_Toc5467"/>
      <w:bookmarkStart w:id="415" w:name="_Toc17735"/>
      <w:bookmarkStart w:id="416" w:name="_Toc10856"/>
      <w:bookmarkStart w:id="417" w:name="_Toc29139"/>
      <w:bookmarkStart w:id="418" w:name="_Toc27094"/>
      <w:r>
        <w:rPr>
          <w:rFonts w:ascii="宋体" w:hAnsi="宋体" w:cs="宋体"/>
          <w:color w:val="auto"/>
          <w:kern w:val="0"/>
          <w:sz w:val="24"/>
        </w:rPr>
        <w:t xml:space="preserve">2.2 </w:t>
      </w:r>
      <w:r>
        <w:rPr>
          <w:rFonts w:hint="eastAsia" w:ascii="宋体" w:hAnsi="宋体" w:cs="宋体"/>
          <w:color w:val="auto"/>
          <w:kern w:val="0"/>
          <w:sz w:val="24"/>
        </w:rPr>
        <w:t>分值构成与评分标准</w:t>
      </w:r>
      <w:bookmarkEnd w:id="410"/>
      <w:bookmarkEnd w:id="411"/>
      <w:bookmarkEnd w:id="412"/>
      <w:bookmarkEnd w:id="413"/>
      <w:bookmarkEnd w:id="414"/>
      <w:bookmarkEnd w:id="415"/>
      <w:bookmarkEnd w:id="416"/>
      <w:bookmarkEnd w:id="417"/>
      <w:bookmarkEnd w:id="418"/>
    </w:p>
    <w:p w14:paraId="4AE8C926">
      <w:pPr>
        <w:autoSpaceDE w:val="0"/>
        <w:autoSpaceDN w:val="0"/>
        <w:adjustRightInd w:val="0"/>
        <w:spacing w:line="360" w:lineRule="auto"/>
        <w:ind w:right="-23" w:firstLine="480" w:firstLineChars="200"/>
        <w:jc w:val="left"/>
        <w:rPr>
          <w:rFonts w:ascii="宋体" w:cs="宋体"/>
          <w:color w:val="auto"/>
          <w:kern w:val="0"/>
          <w:sz w:val="24"/>
        </w:rPr>
      </w:pPr>
      <w:r>
        <w:rPr>
          <w:rFonts w:ascii="宋体" w:hAnsi="宋体" w:cs="宋体"/>
          <w:color w:val="auto"/>
          <w:kern w:val="0"/>
          <w:sz w:val="24"/>
        </w:rPr>
        <w:t xml:space="preserve">2.2.1 </w:t>
      </w:r>
      <w:r>
        <w:rPr>
          <w:rFonts w:hint="eastAsia" w:ascii="宋体" w:hAnsi="宋体" w:cs="宋体"/>
          <w:color w:val="auto"/>
          <w:kern w:val="0"/>
          <w:sz w:val="24"/>
        </w:rPr>
        <w:t>分值构成</w:t>
      </w:r>
    </w:p>
    <w:p w14:paraId="438F77C1">
      <w:pPr>
        <w:autoSpaceDE w:val="0"/>
        <w:autoSpaceDN w:val="0"/>
        <w:adjustRightInd w:val="0"/>
        <w:spacing w:line="360" w:lineRule="auto"/>
        <w:ind w:right="-23" w:firstLine="480" w:firstLineChars="200"/>
        <w:jc w:val="left"/>
        <w:rPr>
          <w:rFonts w:ascii="宋体" w:cs="宋体"/>
          <w:color w:val="auto"/>
          <w:kern w:val="0"/>
          <w:sz w:val="24"/>
        </w:rPr>
      </w:pPr>
      <w:r>
        <w:rPr>
          <w:rFonts w:hint="eastAsia" w:ascii="宋体" w:hAnsi="宋体" w:cs="宋体"/>
          <w:color w:val="auto"/>
          <w:kern w:val="0"/>
          <w:sz w:val="24"/>
        </w:rPr>
        <w:t>（</w:t>
      </w:r>
      <w:r>
        <w:rPr>
          <w:rFonts w:ascii="宋体" w:hAnsi="宋体" w:cs="宋体"/>
          <w:color w:val="auto"/>
          <w:kern w:val="0"/>
          <w:sz w:val="24"/>
        </w:rPr>
        <w:t>1</w:t>
      </w:r>
      <w:r>
        <w:rPr>
          <w:rFonts w:hint="eastAsia" w:ascii="宋体" w:hAnsi="宋体" w:cs="宋体"/>
          <w:color w:val="auto"/>
          <w:kern w:val="0"/>
          <w:sz w:val="24"/>
        </w:rPr>
        <w:t>）投标报价：见评标办法前附表；</w:t>
      </w:r>
    </w:p>
    <w:p w14:paraId="14BBC606">
      <w:pPr>
        <w:autoSpaceDE w:val="0"/>
        <w:autoSpaceDN w:val="0"/>
        <w:adjustRightInd w:val="0"/>
        <w:spacing w:line="360" w:lineRule="auto"/>
        <w:ind w:right="-23" w:firstLine="480" w:firstLineChars="200"/>
        <w:jc w:val="left"/>
        <w:rPr>
          <w:rFonts w:ascii="宋体" w:cs="宋体"/>
          <w:color w:val="auto"/>
          <w:kern w:val="0"/>
          <w:sz w:val="24"/>
        </w:rPr>
      </w:pPr>
      <w:r>
        <w:rPr>
          <w:rFonts w:hint="eastAsia" w:ascii="宋体" w:hAnsi="宋体" w:cs="宋体"/>
          <w:color w:val="auto"/>
          <w:kern w:val="0"/>
          <w:sz w:val="24"/>
        </w:rPr>
        <w:t>（</w:t>
      </w:r>
      <w:r>
        <w:rPr>
          <w:rFonts w:ascii="宋体" w:hAnsi="宋体" w:cs="宋体"/>
          <w:color w:val="auto"/>
          <w:kern w:val="0"/>
          <w:sz w:val="24"/>
        </w:rPr>
        <w:t>2</w:t>
      </w:r>
      <w:r>
        <w:rPr>
          <w:rFonts w:hint="eastAsia" w:ascii="宋体" w:hAnsi="宋体" w:cs="宋体"/>
          <w:color w:val="auto"/>
          <w:kern w:val="0"/>
          <w:sz w:val="24"/>
        </w:rPr>
        <w:t>）技术部分：见评标办法前附表；</w:t>
      </w:r>
    </w:p>
    <w:p w14:paraId="4A24F341">
      <w:pPr>
        <w:autoSpaceDE w:val="0"/>
        <w:autoSpaceDN w:val="0"/>
        <w:adjustRightInd w:val="0"/>
        <w:spacing w:line="360" w:lineRule="auto"/>
        <w:ind w:right="-23" w:firstLine="480" w:firstLineChars="200"/>
        <w:jc w:val="left"/>
        <w:rPr>
          <w:rFonts w:ascii="宋体" w:cs="宋体"/>
          <w:color w:val="auto"/>
          <w:kern w:val="0"/>
          <w:sz w:val="24"/>
        </w:rPr>
      </w:pPr>
      <w:r>
        <w:rPr>
          <w:rFonts w:hint="eastAsia" w:ascii="宋体" w:hAnsi="宋体" w:cs="宋体"/>
          <w:color w:val="auto"/>
          <w:kern w:val="0"/>
          <w:sz w:val="24"/>
        </w:rPr>
        <w:t>（</w:t>
      </w:r>
      <w:r>
        <w:rPr>
          <w:rFonts w:ascii="宋体" w:hAnsi="宋体" w:cs="宋体"/>
          <w:color w:val="auto"/>
          <w:kern w:val="0"/>
          <w:sz w:val="24"/>
        </w:rPr>
        <w:t>3</w:t>
      </w:r>
      <w:r>
        <w:rPr>
          <w:rFonts w:hint="eastAsia" w:ascii="宋体" w:hAnsi="宋体" w:cs="宋体"/>
          <w:color w:val="auto"/>
          <w:kern w:val="0"/>
          <w:sz w:val="24"/>
        </w:rPr>
        <w:t>）商务部分：见评标办法前附表；</w:t>
      </w:r>
    </w:p>
    <w:p w14:paraId="374342EB">
      <w:pPr>
        <w:autoSpaceDE w:val="0"/>
        <w:autoSpaceDN w:val="0"/>
        <w:adjustRightInd w:val="0"/>
        <w:spacing w:line="360" w:lineRule="auto"/>
        <w:ind w:right="-23" w:firstLine="480" w:firstLineChars="200"/>
        <w:jc w:val="left"/>
        <w:rPr>
          <w:rFonts w:ascii="宋体" w:cs="宋体"/>
          <w:color w:val="auto"/>
          <w:kern w:val="0"/>
          <w:sz w:val="24"/>
        </w:rPr>
      </w:pPr>
      <w:r>
        <w:rPr>
          <w:rFonts w:ascii="宋体" w:hAnsi="宋体" w:cs="宋体"/>
          <w:color w:val="auto"/>
          <w:kern w:val="0"/>
          <w:sz w:val="24"/>
        </w:rPr>
        <w:t xml:space="preserve">2.2.2 </w:t>
      </w:r>
      <w:r>
        <w:rPr>
          <w:rFonts w:hint="eastAsia" w:ascii="宋体" w:hAnsi="宋体" w:cs="宋体"/>
          <w:color w:val="auto"/>
          <w:kern w:val="0"/>
          <w:sz w:val="24"/>
        </w:rPr>
        <w:t>评分标准</w:t>
      </w:r>
    </w:p>
    <w:p w14:paraId="4D665DE7">
      <w:pPr>
        <w:autoSpaceDE w:val="0"/>
        <w:autoSpaceDN w:val="0"/>
        <w:adjustRightInd w:val="0"/>
        <w:spacing w:line="360" w:lineRule="auto"/>
        <w:ind w:right="-23" w:firstLine="480" w:firstLineChars="200"/>
        <w:jc w:val="left"/>
        <w:rPr>
          <w:rFonts w:ascii="宋体" w:cs="宋体"/>
          <w:color w:val="auto"/>
          <w:kern w:val="0"/>
          <w:sz w:val="24"/>
        </w:rPr>
      </w:pPr>
      <w:r>
        <w:rPr>
          <w:rFonts w:hint="eastAsia" w:ascii="宋体" w:hAnsi="宋体" w:cs="宋体"/>
          <w:color w:val="auto"/>
          <w:kern w:val="0"/>
          <w:sz w:val="24"/>
        </w:rPr>
        <w:t>（</w:t>
      </w:r>
      <w:r>
        <w:rPr>
          <w:rFonts w:ascii="宋体" w:hAnsi="宋体" w:cs="宋体"/>
          <w:color w:val="auto"/>
          <w:kern w:val="0"/>
          <w:sz w:val="24"/>
        </w:rPr>
        <w:t>1</w:t>
      </w:r>
      <w:r>
        <w:rPr>
          <w:rFonts w:hint="eastAsia" w:ascii="宋体" w:hAnsi="宋体" w:cs="宋体"/>
          <w:color w:val="auto"/>
          <w:kern w:val="0"/>
          <w:sz w:val="24"/>
        </w:rPr>
        <w:t>）投标报价评分标准：见评标办法前附表；</w:t>
      </w:r>
    </w:p>
    <w:p w14:paraId="23642D0E">
      <w:pPr>
        <w:autoSpaceDE w:val="0"/>
        <w:autoSpaceDN w:val="0"/>
        <w:adjustRightInd w:val="0"/>
        <w:spacing w:line="360" w:lineRule="auto"/>
        <w:ind w:right="-23" w:firstLine="480" w:firstLineChars="200"/>
        <w:jc w:val="left"/>
        <w:rPr>
          <w:rFonts w:ascii="宋体" w:cs="宋体"/>
          <w:color w:val="auto"/>
          <w:kern w:val="0"/>
          <w:sz w:val="24"/>
        </w:rPr>
      </w:pPr>
      <w:r>
        <w:rPr>
          <w:rFonts w:hint="eastAsia" w:ascii="宋体" w:hAnsi="宋体" w:cs="宋体"/>
          <w:color w:val="auto"/>
          <w:kern w:val="0"/>
          <w:sz w:val="24"/>
        </w:rPr>
        <w:t>（</w:t>
      </w:r>
      <w:r>
        <w:rPr>
          <w:rFonts w:ascii="宋体" w:hAnsi="宋体" w:cs="宋体"/>
          <w:color w:val="auto"/>
          <w:kern w:val="0"/>
          <w:sz w:val="24"/>
        </w:rPr>
        <w:t>2</w:t>
      </w:r>
      <w:r>
        <w:rPr>
          <w:rFonts w:hint="eastAsia" w:ascii="宋体" w:hAnsi="宋体" w:cs="宋体"/>
          <w:color w:val="auto"/>
          <w:kern w:val="0"/>
          <w:sz w:val="24"/>
        </w:rPr>
        <w:t>）技术评分标准：见评标办法前附表；</w:t>
      </w:r>
    </w:p>
    <w:p w14:paraId="7CFBBE4E">
      <w:pPr>
        <w:autoSpaceDE w:val="0"/>
        <w:autoSpaceDN w:val="0"/>
        <w:adjustRightInd w:val="0"/>
        <w:spacing w:line="360" w:lineRule="auto"/>
        <w:ind w:right="-23" w:firstLine="480" w:firstLineChars="200"/>
        <w:jc w:val="left"/>
        <w:rPr>
          <w:rFonts w:ascii="宋体" w:cs="宋体"/>
          <w:color w:val="auto"/>
          <w:kern w:val="0"/>
          <w:sz w:val="24"/>
        </w:rPr>
      </w:pPr>
      <w:r>
        <w:rPr>
          <w:rFonts w:hint="eastAsia" w:ascii="宋体" w:hAnsi="宋体" w:cs="宋体"/>
          <w:color w:val="auto"/>
          <w:kern w:val="0"/>
          <w:sz w:val="24"/>
        </w:rPr>
        <w:t>（</w:t>
      </w:r>
      <w:r>
        <w:rPr>
          <w:rFonts w:ascii="宋体" w:hAnsi="宋体" w:cs="宋体"/>
          <w:color w:val="auto"/>
          <w:kern w:val="0"/>
          <w:sz w:val="24"/>
        </w:rPr>
        <w:t>3</w:t>
      </w:r>
      <w:r>
        <w:rPr>
          <w:rFonts w:hint="eastAsia" w:ascii="宋体" w:hAnsi="宋体" w:cs="宋体"/>
          <w:color w:val="auto"/>
          <w:kern w:val="0"/>
          <w:sz w:val="24"/>
        </w:rPr>
        <w:t>）商务评分标准：见评标办法前附表；</w:t>
      </w:r>
    </w:p>
    <w:p w14:paraId="34F5D0BF">
      <w:pPr>
        <w:autoSpaceDE w:val="0"/>
        <w:autoSpaceDN w:val="0"/>
        <w:adjustRightInd w:val="0"/>
        <w:spacing w:line="360" w:lineRule="auto"/>
        <w:ind w:right="-23" w:firstLine="480" w:firstLineChars="200"/>
        <w:jc w:val="left"/>
        <w:outlineLvl w:val="1"/>
        <w:rPr>
          <w:rFonts w:ascii="宋体" w:cs="宋体"/>
          <w:color w:val="auto"/>
          <w:kern w:val="0"/>
          <w:sz w:val="24"/>
        </w:rPr>
      </w:pPr>
      <w:bookmarkStart w:id="419" w:name="_Toc22776"/>
      <w:bookmarkStart w:id="420" w:name="_Toc26726"/>
      <w:bookmarkStart w:id="421" w:name="_Toc5605"/>
      <w:bookmarkStart w:id="422" w:name="_Toc4338"/>
      <w:bookmarkStart w:id="423" w:name="_Toc21732"/>
      <w:bookmarkStart w:id="424" w:name="_Toc1740"/>
      <w:bookmarkStart w:id="425" w:name="_Toc16356"/>
      <w:bookmarkStart w:id="426" w:name="_Toc27201"/>
      <w:bookmarkStart w:id="427" w:name="_Toc5149"/>
      <w:bookmarkStart w:id="428" w:name="_Toc22175"/>
      <w:bookmarkStart w:id="429" w:name="_Toc28724"/>
      <w:bookmarkStart w:id="430" w:name="_Toc5765"/>
      <w:r>
        <w:rPr>
          <w:rFonts w:ascii="宋体" w:hAnsi="宋体" w:cs="宋体"/>
          <w:color w:val="auto"/>
          <w:kern w:val="0"/>
          <w:sz w:val="24"/>
        </w:rPr>
        <w:t>3</w:t>
      </w:r>
      <w:r>
        <w:rPr>
          <w:rFonts w:hint="eastAsia" w:ascii="宋体" w:hAnsi="宋体" w:cs="宋体"/>
          <w:color w:val="auto"/>
          <w:kern w:val="0"/>
          <w:sz w:val="24"/>
        </w:rPr>
        <w:t>、评标程序</w:t>
      </w:r>
      <w:bookmarkEnd w:id="419"/>
      <w:bookmarkEnd w:id="420"/>
      <w:bookmarkEnd w:id="421"/>
      <w:bookmarkEnd w:id="422"/>
      <w:bookmarkEnd w:id="423"/>
      <w:bookmarkEnd w:id="424"/>
      <w:bookmarkEnd w:id="425"/>
      <w:bookmarkEnd w:id="426"/>
      <w:bookmarkEnd w:id="427"/>
      <w:bookmarkEnd w:id="428"/>
      <w:bookmarkEnd w:id="429"/>
      <w:bookmarkEnd w:id="430"/>
    </w:p>
    <w:p w14:paraId="70C0E92F">
      <w:pPr>
        <w:autoSpaceDE w:val="0"/>
        <w:autoSpaceDN w:val="0"/>
        <w:adjustRightInd w:val="0"/>
        <w:spacing w:line="360" w:lineRule="auto"/>
        <w:ind w:right="-23" w:firstLine="480" w:firstLineChars="200"/>
        <w:jc w:val="left"/>
        <w:rPr>
          <w:rFonts w:ascii="宋体" w:cs="宋体"/>
          <w:color w:val="auto"/>
          <w:kern w:val="0"/>
          <w:sz w:val="24"/>
        </w:rPr>
      </w:pPr>
      <w:bookmarkStart w:id="431" w:name="_Toc1654"/>
      <w:bookmarkStart w:id="432" w:name="_Toc9443"/>
      <w:bookmarkStart w:id="433" w:name="_Toc9613"/>
      <w:bookmarkStart w:id="434" w:name="_Toc32083"/>
      <w:bookmarkStart w:id="435" w:name="_Toc10682"/>
      <w:bookmarkStart w:id="436" w:name="_Toc17957"/>
      <w:bookmarkStart w:id="437" w:name="_Toc5708"/>
      <w:bookmarkStart w:id="438" w:name="_Toc7036"/>
      <w:bookmarkStart w:id="439" w:name="_Toc18983"/>
      <w:r>
        <w:rPr>
          <w:rFonts w:ascii="宋体" w:hAnsi="宋体" w:cs="宋体"/>
          <w:color w:val="auto"/>
          <w:kern w:val="0"/>
          <w:sz w:val="24"/>
        </w:rPr>
        <w:t xml:space="preserve">3.1 </w:t>
      </w:r>
      <w:bookmarkEnd w:id="431"/>
      <w:bookmarkEnd w:id="432"/>
      <w:bookmarkEnd w:id="433"/>
      <w:bookmarkEnd w:id="434"/>
      <w:bookmarkEnd w:id="435"/>
      <w:bookmarkEnd w:id="436"/>
      <w:bookmarkEnd w:id="437"/>
      <w:bookmarkEnd w:id="438"/>
      <w:bookmarkEnd w:id="439"/>
      <w:r>
        <w:rPr>
          <w:rFonts w:hint="eastAsia" w:ascii="宋体" w:hAnsi="宋体" w:cs="宋体"/>
          <w:color w:val="auto"/>
          <w:kern w:val="0"/>
          <w:sz w:val="24"/>
        </w:rPr>
        <w:t>初步评审</w:t>
      </w:r>
    </w:p>
    <w:p w14:paraId="419C919A">
      <w:pPr>
        <w:autoSpaceDE w:val="0"/>
        <w:autoSpaceDN w:val="0"/>
        <w:adjustRightInd w:val="0"/>
        <w:spacing w:line="360" w:lineRule="auto"/>
        <w:ind w:right="-23" w:firstLine="480" w:firstLineChars="200"/>
        <w:jc w:val="left"/>
        <w:rPr>
          <w:rFonts w:ascii="宋体" w:cs="宋体"/>
          <w:color w:val="auto"/>
          <w:kern w:val="0"/>
          <w:sz w:val="24"/>
        </w:rPr>
      </w:pPr>
      <w:r>
        <w:rPr>
          <w:rFonts w:hint="eastAsia" w:ascii="宋体" w:hAnsi="宋体" w:cs="宋体"/>
          <w:color w:val="auto"/>
          <w:kern w:val="0"/>
          <w:sz w:val="24"/>
        </w:rPr>
        <w:t>评标委员会依据本章评标办法前附表规定的标准，对符合资格的</w:t>
      </w:r>
      <w:r>
        <w:rPr>
          <w:rFonts w:hint="eastAsia" w:ascii="宋体" w:hAnsi="宋体" w:cs="宋体"/>
          <w:color w:val="auto"/>
          <w:kern w:val="0"/>
          <w:sz w:val="24"/>
          <w:lang w:eastAsia="zh-CN"/>
        </w:rPr>
        <w:t>供应商</w:t>
      </w:r>
      <w:r>
        <w:rPr>
          <w:rFonts w:hint="eastAsia" w:ascii="宋体" w:hAnsi="宋体" w:cs="宋体"/>
          <w:color w:val="auto"/>
          <w:kern w:val="0"/>
          <w:sz w:val="24"/>
        </w:rPr>
        <w:t>的投标文件进行初步评审，以确定其是否满足招标文件的实质性要求，有一项不符合评标标准的，评标委员会应当认定其投标无效。</w:t>
      </w:r>
    </w:p>
    <w:p w14:paraId="16644482">
      <w:pPr>
        <w:autoSpaceDE w:val="0"/>
        <w:autoSpaceDN w:val="0"/>
        <w:adjustRightInd w:val="0"/>
        <w:spacing w:line="360" w:lineRule="auto"/>
        <w:ind w:right="-23" w:firstLine="480" w:firstLineChars="200"/>
        <w:jc w:val="left"/>
        <w:rPr>
          <w:rFonts w:ascii="宋体" w:cs="宋体"/>
          <w:color w:val="auto"/>
          <w:kern w:val="0"/>
          <w:sz w:val="24"/>
        </w:rPr>
      </w:pPr>
      <w:r>
        <w:rPr>
          <w:rFonts w:ascii="宋体" w:hAnsi="宋体" w:cs="宋体"/>
          <w:color w:val="auto"/>
          <w:kern w:val="0"/>
          <w:sz w:val="24"/>
        </w:rPr>
        <w:t xml:space="preserve">3.1.1 </w:t>
      </w:r>
      <w:r>
        <w:rPr>
          <w:rFonts w:hint="eastAsia" w:ascii="宋体" w:hAnsi="宋体" w:cs="宋体"/>
          <w:color w:val="auto"/>
          <w:kern w:val="0"/>
          <w:sz w:val="24"/>
        </w:rPr>
        <w:t>投标报价有算术错误及其他错误的，评标委员会按以下原则要求</w:t>
      </w:r>
      <w:r>
        <w:rPr>
          <w:rFonts w:hint="eastAsia" w:ascii="宋体" w:hAnsi="宋体" w:cs="宋体"/>
          <w:color w:val="auto"/>
          <w:kern w:val="0"/>
          <w:sz w:val="24"/>
          <w:lang w:eastAsia="zh-CN"/>
        </w:rPr>
        <w:t>供应商</w:t>
      </w:r>
      <w:r>
        <w:rPr>
          <w:rFonts w:hint="eastAsia" w:ascii="宋体" w:hAnsi="宋体" w:cs="宋体"/>
          <w:color w:val="auto"/>
          <w:kern w:val="0"/>
          <w:sz w:val="24"/>
        </w:rPr>
        <w:t>对投标报价进行修正</w:t>
      </w:r>
    </w:p>
    <w:p w14:paraId="4ED30A34">
      <w:pPr>
        <w:autoSpaceDE w:val="0"/>
        <w:autoSpaceDN w:val="0"/>
        <w:adjustRightInd w:val="0"/>
        <w:spacing w:line="360" w:lineRule="auto"/>
        <w:ind w:right="-23" w:firstLine="480" w:firstLineChars="200"/>
        <w:jc w:val="left"/>
        <w:rPr>
          <w:rFonts w:ascii="宋体" w:cs="宋体"/>
          <w:color w:val="auto"/>
          <w:kern w:val="0"/>
          <w:sz w:val="24"/>
        </w:rPr>
      </w:pPr>
      <w:bookmarkStart w:id="440" w:name="_Toc12089"/>
      <w:bookmarkStart w:id="441" w:name="_Toc10132"/>
      <w:bookmarkStart w:id="442" w:name="_Toc13336"/>
      <w:bookmarkStart w:id="443" w:name="_Toc24391"/>
      <w:bookmarkStart w:id="444" w:name="_Toc30428"/>
      <w:bookmarkStart w:id="445" w:name="_Toc26213"/>
      <w:bookmarkStart w:id="446" w:name="_Toc18705"/>
      <w:bookmarkStart w:id="447" w:name="_Toc22449"/>
      <w:bookmarkStart w:id="448" w:name="_Toc1221"/>
      <w:r>
        <w:rPr>
          <w:rFonts w:hint="eastAsia" w:ascii="宋体" w:hAnsi="宋体" w:cs="宋体"/>
          <w:color w:val="auto"/>
          <w:kern w:val="0"/>
          <w:sz w:val="24"/>
        </w:rPr>
        <w:t>（</w:t>
      </w:r>
      <w:r>
        <w:rPr>
          <w:rFonts w:ascii="宋体" w:hAnsi="宋体" w:cs="宋体"/>
          <w:color w:val="auto"/>
          <w:kern w:val="0"/>
          <w:sz w:val="24"/>
        </w:rPr>
        <w:t>1</w:t>
      </w:r>
      <w:r>
        <w:rPr>
          <w:rFonts w:hint="eastAsia" w:ascii="宋体" w:hAnsi="宋体" w:cs="宋体"/>
          <w:color w:val="auto"/>
          <w:kern w:val="0"/>
          <w:sz w:val="24"/>
        </w:rPr>
        <w:t>）投标文件中开标一览表（报价表）内容与投标文件中相应内容不一致的，以开标一览表（报价表）为准；</w:t>
      </w:r>
    </w:p>
    <w:p w14:paraId="3FBE1C18">
      <w:pPr>
        <w:autoSpaceDE w:val="0"/>
        <w:autoSpaceDN w:val="0"/>
        <w:adjustRightInd w:val="0"/>
        <w:spacing w:line="360" w:lineRule="auto"/>
        <w:ind w:right="-23" w:firstLine="480" w:firstLineChars="200"/>
        <w:jc w:val="left"/>
        <w:rPr>
          <w:rFonts w:ascii="宋体" w:cs="宋体"/>
          <w:color w:val="auto"/>
          <w:kern w:val="0"/>
          <w:sz w:val="24"/>
        </w:rPr>
      </w:pPr>
      <w:r>
        <w:rPr>
          <w:rFonts w:hint="eastAsia" w:ascii="宋体" w:hAnsi="宋体" w:cs="宋体"/>
          <w:color w:val="auto"/>
          <w:kern w:val="0"/>
          <w:sz w:val="24"/>
        </w:rPr>
        <w:t>（</w:t>
      </w:r>
      <w:r>
        <w:rPr>
          <w:rFonts w:ascii="宋体" w:hAnsi="宋体" w:cs="宋体"/>
          <w:color w:val="auto"/>
          <w:kern w:val="0"/>
          <w:sz w:val="24"/>
        </w:rPr>
        <w:t>2</w:t>
      </w:r>
      <w:r>
        <w:rPr>
          <w:rFonts w:hint="eastAsia" w:ascii="宋体" w:hAnsi="宋体" w:cs="宋体"/>
          <w:color w:val="auto"/>
          <w:kern w:val="0"/>
          <w:sz w:val="24"/>
        </w:rPr>
        <w:t>）大写金额和小写金额不一致的，以大写金额为准；</w:t>
      </w:r>
    </w:p>
    <w:p w14:paraId="728CB8DA">
      <w:pPr>
        <w:autoSpaceDE w:val="0"/>
        <w:autoSpaceDN w:val="0"/>
        <w:adjustRightInd w:val="0"/>
        <w:spacing w:line="360" w:lineRule="auto"/>
        <w:ind w:right="-23" w:firstLine="480" w:firstLineChars="200"/>
        <w:jc w:val="left"/>
        <w:rPr>
          <w:rFonts w:ascii="宋体" w:cs="宋体"/>
          <w:color w:val="auto"/>
          <w:kern w:val="0"/>
          <w:sz w:val="24"/>
        </w:rPr>
      </w:pPr>
      <w:r>
        <w:rPr>
          <w:rFonts w:hint="eastAsia" w:ascii="宋体" w:hAnsi="宋体" w:cs="宋体"/>
          <w:color w:val="auto"/>
          <w:kern w:val="0"/>
          <w:sz w:val="24"/>
        </w:rPr>
        <w:t>（</w:t>
      </w:r>
      <w:r>
        <w:rPr>
          <w:rFonts w:ascii="宋体" w:hAnsi="宋体" w:cs="宋体"/>
          <w:color w:val="auto"/>
          <w:kern w:val="0"/>
          <w:sz w:val="24"/>
        </w:rPr>
        <w:t>3</w:t>
      </w:r>
      <w:r>
        <w:rPr>
          <w:rFonts w:hint="eastAsia" w:ascii="宋体" w:hAnsi="宋体" w:cs="宋体"/>
          <w:color w:val="auto"/>
          <w:kern w:val="0"/>
          <w:sz w:val="24"/>
        </w:rPr>
        <w:t>）单价金额小数点或者百分比有明显错位的，以开标一览表的总价为准，并修改单价；</w:t>
      </w:r>
    </w:p>
    <w:p w14:paraId="5F6502F4">
      <w:pPr>
        <w:autoSpaceDE w:val="0"/>
        <w:autoSpaceDN w:val="0"/>
        <w:adjustRightInd w:val="0"/>
        <w:spacing w:line="360" w:lineRule="auto"/>
        <w:ind w:right="-23" w:firstLine="480" w:firstLineChars="200"/>
        <w:jc w:val="left"/>
        <w:rPr>
          <w:rFonts w:ascii="宋体" w:cs="宋体"/>
          <w:color w:val="auto"/>
          <w:kern w:val="0"/>
          <w:sz w:val="24"/>
        </w:rPr>
      </w:pPr>
      <w:r>
        <w:rPr>
          <w:rFonts w:hint="eastAsia" w:ascii="宋体" w:hAnsi="宋体" w:cs="宋体"/>
          <w:color w:val="auto"/>
          <w:kern w:val="0"/>
          <w:sz w:val="24"/>
        </w:rPr>
        <w:t>（</w:t>
      </w:r>
      <w:r>
        <w:rPr>
          <w:rFonts w:ascii="宋体" w:hAnsi="宋体" w:cs="宋体"/>
          <w:color w:val="auto"/>
          <w:kern w:val="0"/>
          <w:sz w:val="24"/>
        </w:rPr>
        <w:t>4</w:t>
      </w:r>
      <w:r>
        <w:rPr>
          <w:rFonts w:hint="eastAsia" w:ascii="宋体" w:hAnsi="宋体" w:cs="宋体"/>
          <w:color w:val="auto"/>
          <w:kern w:val="0"/>
          <w:sz w:val="24"/>
        </w:rPr>
        <w:t>）总价金额与按单价汇总金额不一致的，以单价金额计算结果为准。</w:t>
      </w:r>
    </w:p>
    <w:p w14:paraId="397071F2">
      <w:pPr>
        <w:autoSpaceDE w:val="0"/>
        <w:autoSpaceDN w:val="0"/>
        <w:adjustRightInd w:val="0"/>
        <w:spacing w:line="360" w:lineRule="auto"/>
        <w:ind w:right="-23" w:firstLine="480" w:firstLineChars="200"/>
        <w:jc w:val="left"/>
        <w:rPr>
          <w:rFonts w:ascii="宋体" w:cs="宋体"/>
          <w:color w:val="auto"/>
          <w:kern w:val="0"/>
          <w:sz w:val="24"/>
        </w:rPr>
      </w:pPr>
      <w:r>
        <w:rPr>
          <w:rFonts w:hint="eastAsia" w:ascii="宋体" w:hAnsi="宋体" w:cs="宋体"/>
          <w:color w:val="auto"/>
          <w:kern w:val="0"/>
          <w:sz w:val="24"/>
        </w:rPr>
        <w:t>（</w:t>
      </w:r>
      <w:r>
        <w:rPr>
          <w:rFonts w:ascii="宋体" w:hAnsi="宋体" w:cs="宋体"/>
          <w:color w:val="auto"/>
          <w:kern w:val="0"/>
          <w:sz w:val="24"/>
        </w:rPr>
        <w:t>5</w:t>
      </w:r>
      <w:r>
        <w:rPr>
          <w:rFonts w:hint="eastAsia" w:ascii="宋体" w:hAnsi="宋体" w:cs="宋体"/>
          <w:color w:val="auto"/>
          <w:kern w:val="0"/>
          <w:sz w:val="24"/>
        </w:rPr>
        <w:t>）同时出现两种以上不一致的，按照前款规定的顺序修正。</w:t>
      </w:r>
      <w:r>
        <w:rPr>
          <w:rFonts w:hint="eastAsia" w:ascii="宋体" w:hAnsi="宋体" w:cs="宋体"/>
          <w:color w:val="auto"/>
          <w:kern w:val="0"/>
          <w:sz w:val="24"/>
          <w:lang w:eastAsia="zh-CN"/>
        </w:rPr>
        <w:t>供应商</w:t>
      </w:r>
      <w:r>
        <w:rPr>
          <w:rFonts w:hint="eastAsia" w:ascii="宋体" w:hAnsi="宋体" w:cs="宋体"/>
          <w:color w:val="auto"/>
          <w:kern w:val="0"/>
          <w:sz w:val="24"/>
        </w:rPr>
        <w:t>不确认的，其投标无效。</w:t>
      </w:r>
    </w:p>
    <w:p w14:paraId="0298FB37">
      <w:pPr>
        <w:autoSpaceDE w:val="0"/>
        <w:autoSpaceDN w:val="0"/>
        <w:adjustRightInd w:val="0"/>
        <w:spacing w:line="360" w:lineRule="auto"/>
        <w:ind w:right="-23" w:firstLine="480" w:firstLineChars="200"/>
        <w:jc w:val="left"/>
        <w:rPr>
          <w:rFonts w:ascii="宋体" w:cs="宋体"/>
          <w:color w:val="auto"/>
          <w:kern w:val="0"/>
          <w:sz w:val="24"/>
        </w:rPr>
      </w:pPr>
      <w:r>
        <w:rPr>
          <w:rFonts w:ascii="宋体" w:hAnsi="宋体" w:cs="宋体"/>
          <w:color w:val="auto"/>
          <w:kern w:val="0"/>
          <w:sz w:val="24"/>
        </w:rPr>
        <w:t xml:space="preserve">3.2 </w:t>
      </w:r>
      <w:r>
        <w:rPr>
          <w:rFonts w:hint="eastAsia" w:ascii="宋体" w:hAnsi="宋体" w:cs="宋体"/>
          <w:color w:val="auto"/>
          <w:kern w:val="0"/>
          <w:sz w:val="24"/>
        </w:rPr>
        <w:t>详细</w:t>
      </w:r>
      <w:bookmarkEnd w:id="440"/>
      <w:bookmarkEnd w:id="441"/>
      <w:bookmarkEnd w:id="442"/>
      <w:bookmarkEnd w:id="443"/>
      <w:bookmarkEnd w:id="444"/>
      <w:bookmarkEnd w:id="445"/>
      <w:bookmarkEnd w:id="446"/>
      <w:bookmarkEnd w:id="447"/>
      <w:bookmarkEnd w:id="448"/>
      <w:r>
        <w:rPr>
          <w:rFonts w:hint="eastAsia" w:ascii="宋体" w:hAnsi="宋体" w:cs="宋体"/>
          <w:color w:val="auto"/>
          <w:kern w:val="0"/>
          <w:sz w:val="24"/>
        </w:rPr>
        <w:t>评标</w:t>
      </w:r>
    </w:p>
    <w:p w14:paraId="6DE90812">
      <w:pPr>
        <w:autoSpaceDE w:val="0"/>
        <w:autoSpaceDN w:val="0"/>
        <w:adjustRightInd w:val="0"/>
        <w:spacing w:line="360" w:lineRule="auto"/>
        <w:ind w:right="-23" w:firstLine="480" w:firstLineChars="200"/>
        <w:jc w:val="left"/>
        <w:rPr>
          <w:rFonts w:ascii="宋体" w:cs="宋体"/>
          <w:color w:val="auto"/>
          <w:kern w:val="0"/>
          <w:sz w:val="24"/>
        </w:rPr>
      </w:pPr>
      <w:r>
        <w:rPr>
          <w:rFonts w:ascii="宋体" w:hAnsi="宋体" w:cs="宋体"/>
          <w:color w:val="auto"/>
          <w:kern w:val="0"/>
          <w:sz w:val="24"/>
        </w:rPr>
        <w:t xml:space="preserve">3.2.1 </w:t>
      </w:r>
      <w:r>
        <w:rPr>
          <w:rFonts w:hint="eastAsia" w:ascii="宋体" w:hAnsi="宋体" w:cs="宋体"/>
          <w:color w:val="auto"/>
          <w:kern w:val="0"/>
          <w:sz w:val="24"/>
        </w:rPr>
        <w:t>评标委员会按本章规定的量化因素和分值进行打分，并计算出综合评估得分。</w:t>
      </w:r>
    </w:p>
    <w:p w14:paraId="5FE87EBB">
      <w:pPr>
        <w:autoSpaceDE w:val="0"/>
        <w:autoSpaceDN w:val="0"/>
        <w:adjustRightInd w:val="0"/>
        <w:spacing w:line="360" w:lineRule="auto"/>
        <w:ind w:right="-23" w:firstLine="480" w:firstLineChars="200"/>
        <w:jc w:val="left"/>
        <w:rPr>
          <w:rFonts w:ascii="宋体" w:cs="宋体"/>
          <w:color w:val="auto"/>
          <w:kern w:val="0"/>
          <w:sz w:val="24"/>
        </w:rPr>
      </w:pPr>
      <w:r>
        <w:rPr>
          <w:rFonts w:ascii="宋体" w:hAnsi="宋体" w:cs="宋体"/>
          <w:color w:val="auto"/>
          <w:kern w:val="0"/>
          <w:sz w:val="24"/>
        </w:rPr>
        <w:t xml:space="preserve">3.2.2 </w:t>
      </w:r>
      <w:r>
        <w:rPr>
          <w:rFonts w:hint="eastAsia" w:ascii="宋体" w:hAnsi="宋体" w:cs="宋体"/>
          <w:color w:val="auto"/>
          <w:kern w:val="0"/>
          <w:sz w:val="24"/>
        </w:rPr>
        <w:t>评分分值计算保留小数点后两位，小数点后第三位“四舍五入”。</w:t>
      </w:r>
    </w:p>
    <w:p w14:paraId="6515D0AF">
      <w:pPr>
        <w:autoSpaceDE w:val="0"/>
        <w:autoSpaceDN w:val="0"/>
        <w:adjustRightInd w:val="0"/>
        <w:spacing w:line="360" w:lineRule="auto"/>
        <w:ind w:right="-23" w:firstLine="480" w:firstLineChars="200"/>
        <w:jc w:val="left"/>
        <w:rPr>
          <w:rFonts w:ascii="宋体" w:cs="宋体"/>
          <w:color w:val="auto"/>
          <w:kern w:val="0"/>
          <w:sz w:val="24"/>
        </w:rPr>
      </w:pPr>
      <w:r>
        <w:rPr>
          <w:rFonts w:ascii="宋体" w:hAnsi="宋体" w:cs="宋体"/>
          <w:color w:val="auto"/>
          <w:kern w:val="0"/>
          <w:sz w:val="24"/>
        </w:rPr>
        <w:t xml:space="preserve">3.2.3 </w:t>
      </w:r>
      <w:r>
        <w:rPr>
          <w:rFonts w:hint="eastAsia" w:ascii="宋体" w:hAnsi="宋体" w:cs="宋体"/>
          <w:color w:val="auto"/>
          <w:kern w:val="0"/>
          <w:sz w:val="24"/>
          <w:lang w:eastAsia="zh-CN"/>
        </w:rPr>
        <w:t>供应商</w:t>
      </w:r>
      <w:r>
        <w:rPr>
          <w:rFonts w:hint="eastAsia" w:ascii="宋体" w:hAnsi="宋体" w:cs="宋体"/>
          <w:color w:val="auto"/>
          <w:kern w:val="0"/>
          <w:sz w:val="24"/>
        </w:rPr>
        <w:t>综合得分等于所有评委最终打分的算数平均值。</w:t>
      </w:r>
    </w:p>
    <w:p w14:paraId="3B9996F9">
      <w:pPr>
        <w:autoSpaceDE w:val="0"/>
        <w:autoSpaceDN w:val="0"/>
        <w:adjustRightInd w:val="0"/>
        <w:spacing w:line="360" w:lineRule="auto"/>
        <w:ind w:right="-23" w:firstLine="480" w:firstLineChars="200"/>
        <w:jc w:val="left"/>
        <w:rPr>
          <w:rFonts w:ascii="宋体" w:hAnsi="宋体" w:cs="宋体"/>
          <w:color w:val="auto"/>
          <w:kern w:val="0"/>
          <w:sz w:val="24"/>
        </w:rPr>
      </w:pPr>
      <w:r>
        <w:rPr>
          <w:rFonts w:ascii="宋体" w:hAnsi="宋体" w:cs="宋体"/>
          <w:color w:val="auto"/>
          <w:kern w:val="0"/>
          <w:sz w:val="24"/>
        </w:rPr>
        <w:t xml:space="preserve">3.2.4 </w:t>
      </w:r>
      <w:r>
        <w:rPr>
          <w:rFonts w:hint="eastAsia" w:ascii="宋体" w:hAnsi="宋体" w:cs="宋体"/>
          <w:color w:val="auto"/>
          <w:kern w:val="0"/>
          <w:sz w:val="24"/>
        </w:rPr>
        <w:t>评标委员会认为</w:t>
      </w:r>
      <w:r>
        <w:rPr>
          <w:rFonts w:hint="eastAsia" w:ascii="宋体" w:hAnsi="宋体" w:cs="宋体"/>
          <w:color w:val="auto"/>
          <w:kern w:val="0"/>
          <w:sz w:val="24"/>
          <w:lang w:eastAsia="zh-CN"/>
        </w:rPr>
        <w:t>供应商</w:t>
      </w:r>
      <w:r>
        <w:rPr>
          <w:rFonts w:hint="eastAsia" w:ascii="宋体" w:hAnsi="宋体" w:cs="宋体"/>
          <w:color w:val="auto"/>
          <w:kern w:val="0"/>
          <w:sz w:val="24"/>
        </w:rPr>
        <w:t>的报价明显低于其他通过符合性审查</w:t>
      </w:r>
      <w:r>
        <w:rPr>
          <w:rFonts w:hint="eastAsia" w:ascii="宋体" w:hAnsi="宋体" w:cs="宋体"/>
          <w:color w:val="auto"/>
          <w:kern w:val="0"/>
          <w:sz w:val="24"/>
          <w:lang w:eastAsia="zh-CN"/>
        </w:rPr>
        <w:t>供应商</w:t>
      </w:r>
      <w:r>
        <w:rPr>
          <w:rFonts w:hint="eastAsia" w:ascii="宋体" w:hAnsi="宋体" w:cs="宋体"/>
          <w:color w:val="auto"/>
          <w:kern w:val="0"/>
          <w:sz w:val="24"/>
        </w:rPr>
        <w:t>的报价，有可能影响产品质量或者不能诚信履约的，应当通过平台向</w:t>
      </w:r>
      <w:r>
        <w:rPr>
          <w:rFonts w:hint="eastAsia" w:ascii="宋体" w:hAnsi="宋体" w:cs="宋体"/>
          <w:color w:val="auto"/>
          <w:kern w:val="0"/>
          <w:sz w:val="24"/>
          <w:lang w:eastAsia="zh-CN"/>
        </w:rPr>
        <w:t>供应商</w:t>
      </w:r>
      <w:r>
        <w:rPr>
          <w:rFonts w:hint="eastAsia" w:ascii="宋体" w:hAnsi="宋体" w:cs="宋体"/>
          <w:color w:val="auto"/>
          <w:kern w:val="0"/>
          <w:sz w:val="24"/>
        </w:rPr>
        <w:t>发出问询，在合理时间内提供书面说明，必要时提交相关证明材料；</w:t>
      </w:r>
      <w:r>
        <w:rPr>
          <w:rFonts w:hint="eastAsia" w:ascii="宋体" w:hAnsi="宋体" w:cs="宋体"/>
          <w:color w:val="auto"/>
          <w:kern w:val="0"/>
          <w:sz w:val="24"/>
          <w:lang w:eastAsia="zh-CN"/>
        </w:rPr>
        <w:t>供应商</w:t>
      </w:r>
      <w:r>
        <w:rPr>
          <w:rFonts w:hint="eastAsia" w:ascii="宋体" w:hAnsi="宋体" w:cs="宋体"/>
          <w:color w:val="auto"/>
          <w:kern w:val="0"/>
          <w:sz w:val="24"/>
        </w:rPr>
        <w:t>不能证明其报价合理性的，评标委员会应当将其作为无效投标处理。</w:t>
      </w:r>
    </w:p>
    <w:p w14:paraId="101092A2">
      <w:pPr>
        <w:autoSpaceDE w:val="0"/>
        <w:autoSpaceDN w:val="0"/>
        <w:adjustRightInd w:val="0"/>
        <w:spacing w:line="360" w:lineRule="auto"/>
        <w:ind w:right="-23" w:firstLine="480" w:firstLineChars="200"/>
        <w:jc w:val="left"/>
        <w:rPr>
          <w:rFonts w:ascii="宋体" w:cs="宋体"/>
          <w:color w:val="auto"/>
          <w:kern w:val="0"/>
          <w:sz w:val="24"/>
        </w:rPr>
      </w:pPr>
      <w:bookmarkStart w:id="449" w:name="_Toc11785"/>
      <w:bookmarkStart w:id="450" w:name="_Toc7845"/>
      <w:bookmarkStart w:id="451" w:name="_Toc2162"/>
      <w:bookmarkStart w:id="452" w:name="_Toc9150"/>
      <w:bookmarkStart w:id="453" w:name="_Toc6048"/>
      <w:bookmarkStart w:id="454" w:name="_Toc18381"/>
      <w:bookmarkStart w:id="455" w:name="_Toc18083"/>
      <w:bookmarkStart w:id="456" w:name="_Toc5640"/>
      <w:bookmarkStart w:id="457" w:name="_Toc11722"/>
      <w:r>
        <w:rPr>
          <w:rFonts w:ascii="宋体" w:hAnsi="宋体" w:cs="宋体"/>
          <w:color w:val="auto"/>
          <w:kern w:val="0"/>
          <w:sz w:val="24"/>
        </w:rPr>
        <w:t xml:space="preserve">3.3 </w:t>
      </w:r>
      <w:r>
        <w:rPr>
          <w:rFonts w:hint="eastAsia" w:ascii="宋体" w:hAnsi="宋体" w:cs="宋体"/>
          <w:color w:val="auto"/>
          <w:kern w:val="0"/>
          <w:sz w:val="24"/>
        </w:rPr>
        <w:t>投标文件的澄清</w:t>
      </w:r>
      <w:bookmarkEnd w:id="449"/>
      <w:bookmarkEnd w:id="450"/>
      <w:bookmarkEnd w:id="451"/>
      <w:bookmarkEnd w:id="452"/>
      <w:bookmarkEnd w:id="453"/>
      <w:bookmarkEnd w:id="454"/>
      <w:bookmarkEnd w:id="455"/>
      <w:bookmarkEnd w:id="456"/>
      <w:bookmarkEnd w:id="457"/>
    </w:p>
    <w:p w14:paraId="5D0FAC11">
      <w:pPr>
        <w:autoSpaceDE w:val="0"/>
        <w:autoSpaceDN w:val="0"/>
        <w:adjustRightInd w:val="0"/>
        <w:spacing w:line="360" w:lineRule="auto"/>
        <w:ind w:right="-23" w:firstLine="480" w:firstLineChars="200"/>
        <w:jc w:val="left"/>
        <w:rPr>
          <w:rFonts w:ascii="宋体" w:cs="宋体"/>
          <w:color w:val="auto"/>
          <w:kern w:val="0"/>
          <w:sz w:val="24"/>
        </w:rPr>
      </w:pPr>
      <w:r>
        <w:rPr>
          <w:rFonts w:ascii="宋体" w:hAnsi="宋体" w:cs="宋体"/>
          <w:color w:val="auto"/>
          <w:kern w:val="0"/>
          <w:sz w:val="24"/>
        </w:rPr>
        <w:t xml:space="preserve">3.3.1 </w:t>
      </w:r>
      <w:r>
        <w:rPr>
          <w:rFonts w:hint="eastAsia" w:ascii="宋体" w:hAnsi="宋体" w:cs="宋体"/>
          <w:color w:val="auto"/>
          <w:kern w:val="0"/>
          <w:sz w:val="24"/>
        </w:rPr>
        <w:t>在评标过程中，评标委员会可以书面形式要求</w:t>
      </w:r>
      <w:r>
        <w:rPr>
          <w:rFonts w:hint="eastAsia" w:ascii="宋体" w:hAnsi="宋体" w:cs="宋体"/>
          <w:color w:val="auto"/>
          <w:kern w:val="0"/>
          <w:sz w:val="24"/>
          <w:lang w:eastAsia="zh-CN"/>
        </w:rPr>
        <w:t>供应商</w:t>
      </w:r>
      <w:r>
        <w:rPr>
          <w:rFonts w:hint="eastAsia" w:ascii="宋体" w:hAnsi="宋体" w:cs="宋体"/>
          <w:color w:val="auto"/>
          <w:kern w:val="0"/>
          <w:sz w:val="24"/>
        </w:rPr>
        <w:t>对投标文件中含义不明确、对同类问题表述不一致或者有明显文字和计算错误的内容作必要的澄清、说明或补正。澄清、说明或补正应以书面方式进行，并加盖公章，或者由法定代表人或其授权的代表签字。评标委员会不接受</w:t>
      </w:r>
      <w:r>
        <w:rPr>
          <w:rFonts w:hint="eastAsia" w:ascii="宋体" w:hAnsi="宋体" w:cs="宋体"/>
          <w:color w:val="auto"/>
          <w:kern w:val="0"/>
          <w:sz w:val="24"/>
          <w:lang w:eastAsia="zh-CN"/>
        </w:rPr>
        <w:t>供应商</w:t>
      </w:r>
      <w:r>
        <w:rPr>
          <w:rFonts w:hint="eastAsia" w:ascii="宋体" w:hAnsi="宋体" w:cs="宋体"/>
          <w:color w:val="auto"/>
          <w:kern w:val="0"/>
          <w:sz w:val="24"/>
        </w:rPr>
        <w:t>主动提出的澄清、说明或补正。</w:t>
      </w:r>
    </w:p>
    <w:p w14:paraId="60179222">
      <w:pPr>
        <w:autoSpaceDE w:val="0"/>
        <w:autoSpaceDN w:val="0"/>
        <w:adjustRightInd w:val="0"/>
        <w:spacing w:line="360" w:lineRule="auto"/>
        <w:ind w:right="-23" w:firstLine="480" w:firstLineChars="200"/>
        <w:jc w:val="left"/>
        <w:rPr>
          <w:rFonts w:ascii="宋体" w:cs="宋体"/>
          <w:color w:val="auto"/>
          <w:kern w:val="0"/>
          <w:sz w:val="24"/>
        </w:rPr>
      </w:pPr>
      <w:r>
        <w:rPr>
          <w:rFonts w:ascii="宋体" w:hAnsi="宋体" w:cs="宋体"/>
          <w:color w:val="auto"/>
          <w:kern w:val="0"/>
          <w:sz w:val="24"/>
        </w:rPr>
        <w:t xml:space="preserve">3.3.2 </w:t>
      </w:r>
      <w:r>
        <w:rPr>
          <w:rFonts w:hint="eastAsia" w:ascii="宋体" w:hAnsi="宋体" w:cs="宋体"/>
          <w:color w:val="auto"/>
          <w:kern w:val="0"/>
          <w:sz w:val="24"/>
        </w:rPr>
        <w:t>澄清、说明或补正不得超出投标文件的范围且不得改变投标文件的实质性内容，并构成投标文件的组成部分。</w:t>
      </w:r>
    </w:p>
    <w:p w14:paraId="337BE396">
      <w:pPr>
        <w:autoSpaceDE w:val="0"/>
        <w:autoSpaceDN w:val="0"/>
        <w:adjustRightInd w:val="0"/>
        <w:spacing w:line="360" w:lineRule="auto"/>
        <w:ind w:right="-23" w:firstLine="480" w:firstLineChars="200"/>
        <w:jc w:val="left"/>
        <w:rPr>
          <w:rFonts w:ascii="宋体" w:cs="宋体"/>
          <w:color w:val="auto"/>
          <w:kern w:val="0"/>
          <w:sz w:val="24"/>
        </w:rPr>
      </w:pPr>
      <w:r>
        <w:rPr>
          <w:rFonts w:ascii="宋体" w:hAnsi="宋体" w:cs="宋体"/>
          <w:color w:val="auto"/>
          <w:kern w:val="0"/>
          <w:sz w:val="24"/>
        </w:rPr>
        <w:t>3.3.3</w:t>
      </w:r>
      <w:r>
        <w:rPr>
          <w:rFonts w:hint="eastAsia" w:ascii="宋体" w:hAnsi="宋体" w:cs="宋体"/>
          <w:color w:val="auto"/>
          <w:kern w:val="0"/>
          <w:sz w:val="24"/>
        </w:rPr>
        <w:t>评标委员会对</w:t>
      </w:r>
      <w:r>
        <w:rPr>
          <w:rFonts w:hint="eastAsia" w:ascii="宋体" w:hAnsi="宋体" w:cs="宋体"/>
          <w:color w:val="auto"/>
          <w:kern w:val="0"/>
          <w:sz w:val="24"/>
          <w:lang w:eastAsia="zh-CN"/>
        </w:rPr>
        <w:t>供应商</w:t>
      </w:r>
      <w:r>
        <w:rPr>
          <w:rFonts w:hint="eastAsia" w:ascii="宋体" w:hAnsi="宋体" w:cs="宋体"/>
          <w:color w:val="auto"/>
          <w:kern w:val="0"/>
          <w:sz w:val="24"/>
        </w:rPr>
        <w:t>提交的澄清、说明或补正有疑问的，可以要求</w:t>
      </w:r>
      <w:r>
        <w:rPr>
          <w:rFonts w:hint="eastAsia" w:ascii="宋体" w:hAnsi="宋体" w:cs="宋体"/>
          <w:color w:val="auto"/>
          <w:kern w:val="0"/>
          <w:sz w:val="24"/>
          <w:lang w:eastAsia="zh-CN"/>
        </w:rPr>
        <w:t>供应商</w:t>
      </w:r>
      <w:r>
        <w:rPr>
          <w:rFonts w:hint="eastAsia" w:ascii="宋体" w:hAnsi="宋体" w:cs="宋体"/>
          <w:color w:val="auto"/>
          <w:kern w:val="0"/>
          <w:sz w:val="24"/>
        </w:rPr>
        <w:t>进一步澄清、说明或补正，直至满足评标委员会的要求。</w:t>
      </w:r>
    </w:p>
    <w:p w14:paraId="5FAE292B">
      <w:pPr>
        <w:autoSpaceDE w:val="0"/>
        <w:autoSpaceDN w:val="0"/>
        <w:adjustRightInd w:val="0"/>
        <w:spacing w:line="360" w:lineRule="auto"/>
        <w:ind w:right="-23" w:firstLine="480" w:firstLineChars="200"/>
        <w:jc w:val="left"/>
        <w:rPr>
          <w:rFonts w:ascii="宋体" w:cs="宋体"/>
          <w:color w:val="auto"/>
          <w:kern w:val="0"/>
          <w:sz w:val="24"/>
        </w:rPr>
      </w:pPr>
      <w:bookmarkStart w:id="458" w:name="_Toc25857"/>
      <w:bookmarkStart w:id="459" w:name="_Toc27845"/>
      <w:bookmarkStart w:id="460" w:name="_Toc12060"/>
      <w:bookmarkStart w:id="461" w:name="_Toc19756"/>
      <w:bookmarkStart w:id="462" w:name="_Toc7956"/>
      <w:bookmarkStart w:id="463" w:name="_Toc10336"/>
      <w:bookmarkStart w:id="464" w:name="_Toc28041"/>
      <w:bookmarkStart w:id="465" w:name="_Toc12108"/>
      <w:bookmarkStart w:id="466" w:name="_Toc19426"/>
      <w:r>
        <w:rPr>
          <w:rFonts w:ascii="宋体" w:hAnsi="宋体" w:cs="宋体"/>
          <w:color w:val="auto"/>
          <w:kern w:val="0"/>
          <w:sz w:val="24"/>
        </w:rPr>
        <w:t xml:space="preserve">3.4 </w:t>
      </w:r>
      <w:r>
        <w:rPr>
          <w:rFonts w:hint="eastAsia" w:ascii="宋体" w:hAnsi="宋体" w:cs="宋体"/>
          <w:color w:val="auto"/>
          <w:kern w:val="0"/>
          <w:sz w:val="24"/>
        </w:rPr>
        <w:t>评标结果</w:t>
      </w:r>
      <w:bookmarkEnd w:id="458"/>
      <w:bookmarkEnd w:id="459"/>
      <w:bookmarkEnd w:id="460"/>
      <w:bookmarkEnd w:id="461"/>
      <w:bookmarkEnd w:id="462"/>
      <w:bookmarkEnd w:id="463"/>
      <w:bookmarkEnd w:id="464"/>
      <w:bookmarkEnd w:id="465"/>
      <w:bookmarkEnd w:id="466"/>
    </w:p>
    <w:p w14:paraId="2A11B74B">
      <w:pPr>
        <w:autoSpaceDE w:val="0"/>
        <w:autoSpaceDN w:val="0"/>
        <w:adjustRightInd w:val="0"/>
        <w:spacing w:line="360" w:lineRule="auto"/>
        <w:ind w:right="-23" w:firstLine="480" w:firstLineChars="200"/>
        <w:jc w:val="left"/>
        <w:rPr>
          <w:rFonts w:ascii="宋体" w:cs="宋体"/>
          <w:color w:val="auto"/>
          <w:kern w:val="0"/>
          <w:sz w:val="24"/>
        </w:rPr>
      </w:pPr>
      <w:r>
        <w:rPr>
          <w:rFonts w:ascii="宋体" w:hAnsi="宋体" w:cs="宋体"/>
          <w:color w:val="auto"/>
          <w:kern w:val="0"/>
          <w:sz w:val="24"/>
        </w:rPr>
        <w:t xml:space="preserve"> </w:t>
      </w:r>
      <w:r>
        <w:rPr>
          <w:rFonts w:hint="eastAsia" w:ascii="宋体" w:hAnsi="宋体" w:cs="宋体"/>
          <w:color w:val="auto"/>
          <w:kern w:val="0"/>
          <w:sz w:val="24"/>
        </w:rPr>
        <w:t>评标委员会完成评标后，采购代理机构应当在评标结束后</w:t>
      </w:r>
      <w:r>
        <w:rPr>
          <w:rFonts w:ascii="宋体" w:hAnsi="宋体" w:cs="宋体"/>
          <w:color w:val="auto"/>
          <w:kern w:val="0"/>
          <w:sz w:val="24"/>
        </w:rPr>
        <w:t>2</w:t>
      </w:r>
      <w:r>
        <w:rPr>
          <w:rFonts w:hint="eastAsia" w:ascii="宋体" w:hAnsi="宋体" w:cs="宋体"/>
          <w:color w:val="auto"/>
          <w:kern w:val="0"/>
          <w:sz w:val="24"/>
        </w:rPr>
        <w:t>个工作日内将评标报告送采购人。</w:t>
      </w:r>
    </w:p>
    <w:p w14:paraId="65A4791A">
      <w:pPr>
        <w:spacing w:before="41"/>
        <w:rPr>
          <w:rFonts w:ascii="Arial" w:hAnsi="Arial" w:eastAsia="Arial" w:cs="Arial"/>
          <w:sz w:val="21"/>
          <w:szCs w:val="21"/>
        </w:rPr>
        <w:sectPr>
          <w:footerReference r:id="rId8" w:type="default"/>
          <w:pgSz w:w="11905" w:h="16838"/>
          <w:pgMar w:top="841" w:right="1368" w:bottom="799" w:left="1417" w:header="0" w:footer="548" w:gutter="0"/>
          <w:pgNumType w:fmt="decimal"/>
          <w:cols w:space="720" w:num="1"/>
        </w:sectPr>
      </w:pPr>
      <w:r>
        <w:pict>
          <v:rect id="_x0000_s1031" o:spid="_x0000_s1031" o:spt="1" style="position:absolute;left:0pt;margin-left:70.85pt;margin-top:784.8pt;height:0.45pt;width:453.95pt;mso-position-horizontal-relative:page;mso-position-vertical-relative:page;z-index:251661312;mso-width-relative:page;mso-height-relative:page;" fillcolor="#000000" filled="t" stroked="f" coordsize="21600,21600" o:allowincell="f">
            <v:path/>
            <v:fill on="t" focussize="0,0"/>
            <v:stroke on="f"/>
            <v:imagedata o:title=""/>
            <o:lock v:ext="edit"/>
          </v:rect>
        </w:pict>
      </w:r>
      <w:r>
        <w:pict>
          <v:rect id="_x0000_s1032" o:spid="_x0000_s1032" o:spt="1" style="position:absolute;left:0pt;margin-left:70.85pt;margin-top:784.8pt;height:0.45pt;width:453.9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p>
    <w:p w14:paraId="45985870">
      <w:pPr>
        <w:spacing w:line="476" w:lineRule="auto"/>
        <w:rPr>
          <w:rFonts w:ascii="Arial"/>
          <w:sz w:val="21"/>
        </w:rPr>
      </w:pPr>
    </w:p>
    <w:p w14:paraId="2C05BE0A">
      <w:pPr>
        <w:pStyle w:val="3"/>
        <w:spacing w:before="104" w:line="220" w:lineRule="auto"/>
        <w:ind w:left="2795"/>
        <w:rPr>
          <w:sz w:val="32"/>
          <w:szCs w:val="32"/>
        </w:rPr>
      </w:pPr>
      <w:r>
        <w:rPr>
          <w:spacing w:val="-1"/>
          <w:sz w:val="32"/>
          <w:szCs w:val="32"/>
          <w14:textOutline w14:w="5805">
            <w14:solidFill>
              <w14:srgbClr w14:val="000000"/>
            </w14:solidFill>
            <w14:prstDash w14:val="solid"/>
            <w14:miter w14:val="0"/>
          </w14:textOutline>
        </w:rPr>
        <w:t>第</w:t>
      </w:r>
      <w:r>
        <w:rPr>
          <w:rFonts w:hint="eastAsia"/>
          <w:spacing w:val="-1"/>
          <w:sz w:val="32"/>
          <w:szCs w:val="32"/>
          <w:lang w:val="en-US" w:eastAsia="zh-CN"/>
          <w14:textOutline w14:w="5805">
            <w14:solidFill>
              <w14:srgbClr w14:val="000000"/>
            </w14:solidFill>
            <w14:prstDash w14:val="solid"/>
            <w14:miter w14:val="0"/>
          </w14:textOutline>
        </w:rPr>
        <w:t>五</w:t>
      </w:r>
      <w:r>
        <w:rPr>
          <w:spacing w:val="-1"/>
          <w:sz w:val="32"/>
          <w:szCs w:val="32"/>
          <w14:textOutline w14:w="5805">
            <w14:solidFill>
              <w14:srgbClr w14:val="000000"/>
            </w14:solidFill>
            <w14:prstDash w14:val="solid"/>
            <w14:miter w14:val="0"/>
          </w14:textOutline>
        </w:rPr>
        <w:t>章</w:t>
      </w:r>
      <w:r>
        <w:rPr>
          <w:spacing w:val="-1"/>
          <w:sz w:val="32"/>
          <w:szCs w:val="32"/>
        </w:rPr>
        <w:t xml:space="preserve">  </w:t>
      </w:r>
      <w:r>
        <w:rPr>
          <w:rFonts w:hint="eastAsia" w:ascii="宋体" w:hAnsi="宋体" w:eastAsia="宋体" w:cs="宋体"/>
          <w:spacing w:val="-1"/>
          <w:sz w:val="32"/>
          <w:szCs w:val="32"/>
          <w14:textOutline w14:w="5805">
            <w14:solidFill>
              <w14:srgbClr w14:val="000000"/>
            </w14:solidFill>
            <w14:prstDash w14:val="solid"/>
            <w14:miter w14:val="0"/>
          </w14:textOutline>
        </w:rPr>
        <w:t>招标项目需求及技术要求</w:t>
      </w:r>
    </w:p>
    <w:p w14:paraId="5D17E530">
      <w:pPr>
        <w:spacing w:line="403" w:lineRule="auto"/>
        <w:rPr>
          <w:rFonts w:ascii="Arial"/>
          <w:sz w:val="21"/>
        </w:rPr>
      </w:pPr>
    </w:p>
    <w:p w14:paraId="6BDF4E1B">
      <w:pPr>
        <w:spacing w:after="0" w:line="360" w:lineRule="auto"/>
        <w:ind w:firstLine="464" w:firstLineChars="200"/>
        <w:rPr>
          <w:rFonts w:ascii="宋体" w:hAnsi="宋体" w:eastAsia="宋体" w:cs="宋体"/>
          <w:snapToGrid w:val="0"/>
          <w:color w:val="000000"/>
          <w:spacing w:val="-4"/>
          <w:kern w:val="0"/>
          <w:sz w:val="24"/>
          <w:szCs w:val="24"/>
          <w:lang w:val="en-US" w:eastAsia="en-US" w:bidi="ar-SA"/>
        </w:rPr>
      </w:pPr>
      <w:r>
        <w:rPr>
          <w:rFonts w:hint="eastAsia" w:ascii="宋体" w:hAnsi="宋体" w:eastAsia="宋体" w:cs="宋体"/>
          <w:snapToGrid w:val="0"/>
          <w:color w:val="000000"/>
          <w:spacing w:val="-4"/>
          <w:kern w:val="0"/>
          <w:sz w:val="24"/>
          <w:szCs w:val="24"/>
          <w:lang w:val="en-US" w:eastAsia="en-US" w:bidi="ar-SA"/>
        </w:rPr>
        <w:t>1、本项目中提出的技术参数仅为参考，如无明确限制，</w:t>
      </w:r>
      <w:r>
        <w:rPr>
          <w:rFonts w:hint="eastAsia" w:ascii="宋体" w:hAnsi="宋体" w:eastAsia="宋体" w:cs="宋体"/>
          <w:snapToGrid w:val="0"/>
          <w:color w:val="000000"/>
          <w:spacing w:val="-4"/>
          <w:kern w:val="0"/>
          <w:sz w:val="24"/>
          <w:szCs w:val="24"/>
          <w:lang w:val="en-US" w:eastAsia="zh-CN" w:bidi="ar-SA"/>
        </w:rPr>
        <w:t>供应商</w:t>
      </w:r>
      <w:r>
        <w:rPr>
          <w:rFonts w:hint="eastAsia" w:ascii="宋体" w:hAnsi="宋体" w:eastAsia="宋体" w:cs="宋体"/>
          <w:snapToGrid w:val="0"/>
          <w:color w:val="000000"/>
          <w:spacing w:val="-4"/>
          <w:kern w:val="0"/>
          <w:sz w:val="24"/>
          <w:szCs w:val="24"/>
          <w:lang w:val="en-US" w:eastAsia="en-US" w:bidi="ar-SA"/>
        </w:rPr>
        <w:t>可以进行优化，提供满足用户实际需要的更优（或者性能实质上不低于的）技术方案或者设备配置</w:t>
      </w:r>
      <w:r>
        <w:rPr>
          <w:rFonts w:ascii="宋体" w:hAnsi="宋体" w:eastAsia="宋体" w:cs="宋体"/>
          <w:snapToGrid w:val="0"/>
          <w:color w:val="000000"/>
          <w:spacing w:val="-4"/>
          <w:kern w:val="0"/>
          <w:sz w:val="24"/>
          <w:szCs w:val="24"/>
          <w:lang w:val="en-US" w:eastAsia="en-US" w:bidi="ar-SA"/>
        </w:rPr>
        <w:t>并在投标文件里体现</w:t>
      </w:r>
      <w:r>
        <w:rPr>
          <w:rFonts w:hint="eastAsia" w:ascii="宋体" w:hAnsi="宋体" w:eastAsia="宋体" w:cs="宋体"/>
          <w:snapToGrid w:val="0"/>
          <w:color w:val="000000"/>
          <w:spacing w:val="-4"/>
          <w:kern w:val="0"/>
          <w:sz w:val="24"/>
          <w:szCs w:val="24"/>
          <w:lang w:val="en-US" w:eastAsia="en-US" w:bidi="ar-SA"/>
        </w:rPr>
        <w:t>，且此方案或配置须经评委会审核认可；</w:t>
      </w:r>
    </w:p>
    <w:p w14:paraId="74C273FB">
      <w:pPr>
        <w:spacing w:after="0" w:line="360" w:lineRule="auto"/>
        <w:ind w:firstLine="464" w:firstLineChars="200"/>
        <w:rPr>
          <w:rFonts w:hint="eastAsia" w:ascii="宋体" w:hAnsi="宋体" w:eastAsia="宋体" w:cs="宋体"/>
          <w:snapToGrid w:val="0"/>
          <w:color w:val="000000"/>
          <w:spacing w:val="-4"/>
          <w:kern w:val="0"/>
          <w:sz w:val="24"/>
          <w:szCs w:val="24"/>
          <w:lang w:val="en-US" w:eastAsia="en-US" w:bidi="ar-SA"/>
        </w:rPr>
      </w:pPr>
      <w:r>
        <w:rPr>
          <w:rFonts w:hint="eastAsia" w:ascii="宋体" w:hAnsi="宋体" w:eastAsia="宋体" w:cs="宋体"/>
          <w:snapToGrid w:val="0"/>
          <w:color w:val="000000"/>
          <w:spacing w:val="-4"/>
          <w:kern w:val="0"/>
          <w:sz w:val="24"/>
          <w:szCs w:val="24"/>
          <w:lang w:val="en-US" w:eastAsia="en-US" w:bidi="ar-SA"/>
        </w:rPr>
        <w:t>2、核心产品的确定及同一品牌的认定：</w:t>
      </w:r>
    </w:p>
    <w:p w14:paraId="3BAE6068">
      <w:pPr>
        <w:spacing w:after="0" w:line="360" w:lineRule="auto"/>
        <w:ind w:firstLine="464" w:firstLineChars="200"/>
        <w:rPr>
          <w:rFonts w:hint="eastAsia" w:ascii="宋体" w:hAnsi="宋体" w:eastAsia="宋体" w:cs="宋体"/>
          <w:snapToGrid w:val="0"/>
          <w:color w:val="000000"/>
          <w:spacing w:val="-4"/>
          <w:kern w:val="0"/>
          <w:sz w:val="24"/>
          <w:szCs w:val="24"/>
          <w:highlight w:val="red"/>
          <w:lang w:val="en-US" w:eastAsia="zh-CN" w:bidi="ar-SA"/>
        </w:rPr>
      </w:pPr>
      <w:r>
        <w:rPr>
          <w:rFonts w:hint="eastAsia" w:ascii="宋体" w:hAnsi="宋体" w:eastAsia="宋体" w:cs="宋体"/>
          <w:snapToGrid w:val="0"/>
          <w:color w:val="000000"/>
          <w:spacing w:val="-4"/>
          <w:kern w:val="0"/>
          <w:sz w:val="24"/>
          <w:szCs w:val="24"/>
          <w:lang w:val="en-US" w:eastAsia="en-US" w:bidi="ar-SA"/>
        </w:rPr>
        <w:t>依据项目占比及技术复杂性，本次项目核心产品为：</w:t>
      </w:r>
      <w:r>
        <w:rPr>
          <w:rFonts w:hint="eastAsia" w:ascii="宋体" w:hAnsi="宋体" w:eastAsia="宋体" w:cs="宋体"/>
          <w:snapToGrid w:val="0"/>
          <w:color w:val="000000"/>
          <w:spacing w:val="-4"/>
          <w:kern w:val="0"/>
          <w:sz w:val="24"/>
          <w:szCs w:val="24"/>
          <w:lang w:val="en-US" w:eastAsia="zh-CN" w:bidi="ar-SA"/>
        </w:rPr>
        <w:t>500万像素环保电警抓拍单元、500万像素环保卡口抓拍单元、900万像素环保电警抓拍单元、900万像素环保卡口抓拍单元、球枪联动扬声示警一体机等。</w:t>
      </w:r>
    </w:p>
    <w:p w14:paraId="30B7FFDA">
      <w:pPr>
        <w:bidi w:val="0"/>
        <w:spacing w:line="360" w:lineRule="auto"/>
        <w:ind w:firstLine="445" w:firstLineChars="0"/>
        <w:jc w:val="left"/>
        <w:rPr>
          <w:rFonts w:hint="eastAsia" w:ascii="宋体" w:hAnsi="宋体" w:eastAsia="宋体" w:cs="宋体"/>
          <w:snapToGrid w:val="0"/>
          <w:color w:val="000000"/>
          <w:spacing w:val="-4"/>
          <w:kern w:val="0"/>
          <w:sz w:val="24"/>
          <w:szCs w:val="24"/>
          <w:lang w:val="en-US" w:eastAsia="en-US" w:bidi="ar-SA"/>
        </w:rPr>
      </w:pPr>
      <w:r>
        <w:rPr>
          <w:rFonts w:hint="eastAsia" w:ascii="宋体" w:hAnsi="宋体" w:eastAsia="宋体" w:cs="宋体"/>
          <w:snapToGrid w:val="0"/>
          <w:color w:val="000000"/>
          <w:spacing w:val="-4"/>
          <w:kern w:val="0"/>
          <w:sz w:val="24"/>
          <w:szCs w:val="24"/>
          <w:lang w:val="en-US" w:eastAsia="en-US" w:bidi="ar-SA"/>
        </w:rPr>
        <w:t>依据中华人民共和国财政部令第87号令《政府采购货物和服务招标投标管理办法》第三十一条要求。不同供应商所投核心产品对应品牌完全相同且通过形式评审标准、资格评审标准、响应性评审标准的，将按照一家供应商计算。详细评审后得分最高的同品牌供应商获得中标人推荐资格；评审得分相同的，按照除价格分外得分最高（技术+综合）的同品牌供应商获得中标人推荐资格，其他同品牌供应商不作为中标候选人。</w:t>
      </w:r>
    </w:p>
    <w:p w14:paraId="7D6D9776">
      <w:pPr>
        <w:pStyle w:val="16"/>
        <w:rPr>
          <w:lang w:val="en-US" w:eastAsia="zh-CN"/>
        </w:rPr>
      </w:pPr>
    </w:p>
    <w:p w14:paraId="1867A9C4">
      <w:pPr>
        <w:jc w:val="center"/>
        <w:rPr>
          <w:rFonts w:hint="eastAsia" w:eastAsiaTheme="minorEastAsia"/>
          <w:b/>
          <w:bCs/>
          <w:sz w:val="32"/>
          <w:szCs w:val="40"/>
          <w:lang w:val="en-US" w:eastAsia="zh-CN"/>
        </w:rPr>
      </w:pPr>
      <w:r>
        <w:rPr>
          <w:rFonts w:hint="eastAsia"/>
          <w:sz w:val="32"/>
          <w:szCs w:val="32"/>
          <w:lang w:eastAsia="zh-CN"/>
        </w:rPr>
        <w:t>林州市公安局</w:t>
      </w:r>
      <w:r>
        <w:rPr>
          <w:rFonts w:hint="eastAsia"/>
          <w:sz w:val="32"/>
          <w:szCs w:val="32"/>
          <w:lang w:val="en-US" w:eastAsia="zh-CN"/>
        </w:rPr>
        <w:t>2024年</w:t>
      </w:r>
      <w:r>
        <w:rPr>
          <w:rFonts w:hint="eastAsia"/>
          <w:sz w:val="32"/>
          <w:szCs w:val="32"/>
          <w:lang w:eastAsia="zh-CN"/>
        </w:rPr>
        <w:t>道路交通技术监控更新维护项目</w:t>
      </w:r>
      <w:r>
        <w:rPr>
          <w:rFonts w:hint="eastAsia" w:ascii="宋体" w:hAnsi="宋体" w:cs="宋体"/>
          <w:kern w:val="0"/>
          <w:sz w:val="32"/>
          <w:szCs w:val="32"/>
        </w:rPr>
        <w:t>参数及控制价</w:t>
      </w:r>
    </w:p>
    <w:tbl>
      <w:tblPr>
        <w:tblStyle w:val="17"/>
        <w:tblW w:w="94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2"/>
        <w:gridCol w:w="1289"/>
        <w:gridCol w:w="4312"/>
        <w:gridCol w:w="975"/>
        <w:gridCol w:w="1107"/>
        <w:gridCol w:w="1200"/>
      </w:tblGrid>
      <w:tr w14:paraId="56802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0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135B6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28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D8A2C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货物名称</w:t>
            </w:r>
          </w:p>
        </w:tc>
        <w:tc>
          <w:tcPr>
            <w:tcW w:w="431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D416A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技术参数</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AB30D6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110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193F17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549D8F4">
            <w:pPr>
              <w:jc w:val="center"/>
              <w:rPr>
                <w:rFonts w:hint="eastAsia" w:ascii="宋体" w:hAnsi="宋体" w:eastAsia="宋体" w:cs="宋体"/>
                <w:b/>
                <w:bCs/>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备注</w:t>
            </w:r>
          </w:p>
        </w:tc>
      </w:tr>
      <w:tr w14:paraId="70916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0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0D92D2">
            <w:pPr>
              <w:jc w:val="center"/>
              <w:rPr>
                <w:rFonts w:hint="eastAsia" w:ascii="宋体" w:hAnsi="宋体" w:eastAsia="宋体" w:cs="宋体"/>
                <w:b/>
                <w:bCs/>
                <w:i w:val="0"/>
                <w:iCs w:val="0"/>
                <w:color w:val="000000"/>
                <w:sz w:val="18"/>
                <w:szCs w:val="18"/>
                <w:u w:val="none"/>
              </w:rPr>
            </w:pPr>
          </w:p>
        </w:tc>
        <w:tc>
          <w:tcPr>
            <w:tcW w:w="12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2D1DE6">
            <w:pPr>
              <w:jc w:val="center"/>
              <w:rPr>
                <w:rFonts w:hint="eastAsia" w:ascii="宋体" w:hAnsi="宋体" w:eastAsia="宋体" w:cs="宋体"/>
                <w:b/>
                <w:bCs/>
                <w:i w:val="0"/>
                <w:iCs w:val="0"/>
                <w:color w:val="000000"/>
                <w:sz w:val="18"/>
                <w:szCs w:val="18"/>
                <w:u w:val="none"/>
              </w:rPr>
            </w:pPr>
          </w:p>
        </w:tc>
        <w:tc>
          <w:tcPr>
            <w:tcW w:w="431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3BCB35">
            <w:pPr>
              <w:jc w:val="center"/>
              <w:rPr>
                <w:rFonts w:hint="eastAsia" w:ascii="宋体" w:hAnsi="宋体" w:eastAsia="宋体" w:cs="宋体"/>
                <w:b/>
                <w:bCs/>
                <w:i w:val="0"/>
                <w:iCs w:val="0"/>
                <w:color w:val="000000"/>
                <w:sz w:val="18"/>
                <w:szCs w:val="18"/>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F0AEE3">
            <w:pPr>
              <w:jc w:val="center"/>
              <w:rPr>
                <w:rFonts w:hint="eastAsia" w:ascii="宋体" w:hAnsi="宋体" w:eastAsia="宋体" w:cs="宋体"/>
                <w:b/>
                <w:bCs/>
                <w:i w:val="0"/>
                <w:iCs w:val="0"/>
                <w:color w:val="000000"/>
                <w:sz w:val="18"/>
                <w:szCs w:val="18"/>
                <w:u w:val="none"/>
              </w:rPr>
            </w:pPr>
          </w:p>
        </w:tc>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3772BF">
            <w:pPr>
              <w:jc w:val="center"/>
              <w:rPr>
                <w:rFonts w:hint="eastAsia" w:ascii="宋体" w:hAnsi="宋体" w:eastAsia="宋体" w:cs="宋体"/>
                <w:b/>
                <w:bCs/>
                <w:i w:val="0"/>
                <w:iCs w:val="0"/>
                <w:color w:val="000000"/>
                <w:sz w:val="18"/>
                <w:szCs w:val="18"/>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76A00B">
            <w:pPr>
              <w:jc w:val="center"/>
              <w:rPr>
                <w:rFonts w:hint="eastAsia" w:ascii="宋体" w:hAnsi="宋体" w:eastAsia="宋体" w:cs="宋体"/>
                <w:b/>
                <w:bCs/>
                <w:i w:val="0"/>
                <w:iCs w:val="0"/>
                <w:color w:val="000000"/>
                <w:sz w:val="18"/>
                <w:szCs w:val="18"/>
                <w:u w:val="none"/>
              </w:rPr>
            </w:pPr>
          </w:p>
        </w:tc>
      </w:tr>
      <w:tr w14:paraId="40539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EBE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7E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500万像素高清智慧生态电警抓拍系统</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78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最大图像尺寸：2448×2048像素；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★内置两个图像传感器，可分别输出黑白及彩色图像，设备可对视频图像和抓拍图片进行融合输出；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支持大型货车闯红灯抓拍功能，包括拖车、挂车、罐车、平板货车、集装箱牵引车、渣土车等货车类型；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支持车牌黑/白名单设置，最大可设置90万条黑/ 白名单；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在车辆结构化属性清晰、无遮挡的情况下，客户端设备与受检设备直连进行测试，从抓拍图片到输出车牌信息的时间＜18ms；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支持识别车标类型≥460种；白天和晚上车标识别准确率不小于98%；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宽动态功能有开启、关闭、自动三种设置，当设置为自动时，样品可根据环境照度自动开启或关闭宽动态功能；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★样机可在左右45°范围内识别机动车车辆特征，包括车牌号码、车身颜色、车辆类型；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★网络直连情况下，在只输出主码流、分辨率设置为1920 × 1080、帧率设置为25fps, 码率设置为1Mbps，网络协议为UDP、最短延时、智能分析关闭时，视频图像传输至客户端的延时时间小于等于70ms；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★支持对摩托车闯红灯、逆行、载人、未戴头盔行为进行检测并抓拍图片； 在天气晴朗无雾，车辆无遮挡，白天环境光照度不低于200lx的情况下进行测试；捕获率不小于98%；检测准确率不小于98%；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★支持车辆抓拍，支持抓拍输出车牌局部照片、车窗局部照片、非机动车局部照片、场景全景图片。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★支持识别不少于 39 种车身颜色，支持识别车身副颜色；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★支持识别不少于50种车型；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★支持设置车辆抓拍位置到立杆的架设距离、设备架设高度，并在视频图像中显示位置信息；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支持检测并抓拍右转大型车辆未停车让行事件，图片能清晰辨认右转大型车辆停车让行指示牌、违法机动车的车型和车牌；同一事件相邻两张抓拍图片能观察到车辆明显位移，且抓拍时间间隔＜1 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★支持对25×10 像素～1100×3000 像素的机动车车牌进行抓拍并识别。支持识别并抓拍垂直倾斜角度≤55°、水平倾斜角度≤35°、俯仰角度≤40°的机动车车牌；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分别对11种车型（大货车、中货车、小货车、客车、小轿车、中客车、危险品运输车、校车、面包车、环卫车、其他车型）进行不同超速比设置，可设置18个超速比区间。在相同道路上，设备支持根据不同的超速比设置对不同车型进行超速抓拍，并输出不同的超速抓拍结果及违法代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★支持检测并跟踪指定区域内不少于 245 个目标，目标包括机动车、非机动车以及行人。</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45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C82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9,000.00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EE84B9">
            <w:pPr>
              <w:jc w:val="left"/>
              <w:rPr>
                <w:rFonts w:hint="eastAsia" w:ascii="宋体" w:hAnsi="宋体" w:eastAsia="宋体" w:cs="宋体"/>
                <w:i w:val="0"/>
                <w:iCs w:val="0"/>
                <w:color w:val="000000"/>
                <w:sz w:val="18"/>
                <w:szCs w:val="18"/>
                <w:u w:val="none"/>
              </w:rPr>
            </w:pPr>
          </w:p>
        </w:tc>
      </w:tr>
      <w:tr w14:paraId="79D20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EF0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387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500万像素高清智慧无光卡口抓拍系统</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606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★设备的镜头和两个sensor一体化设计，具有独立三角分光棱镜分光结构装置，分别接收可见光和红外光；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★抓拍支持输出三张同时刻目标图片，包括可见光路图片（全彩），红外路图片（黑白）和融合图片（全彩），三张图片抓拍时间为同一时刻，抓拍运动目标，三张图片中目标位置相同无位移；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★支持同时预览两路sensor视频，设备场景中放置红外LED常亮灯，朝向摄像机镜头，可见光路视频图像中补光灯灯珠完全无光，同时红外路视频图像补光灯可清晰看到灯珠亮光；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最大图像尺寸：2448×2048像素；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网络直连情况下，在只输出主码流、分辨率设置为1920 × 1080、帧率设置为25fps, 码率设置为1Mbps，网络协议为UDP、最短延时、智能分析关闭时，视频图像传输至客户端的延时时间小于等于70ms；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应支持33块感兴趣区域(ROI)增强编码功能，ROI区域压缩比0-100可设置；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正常违章行为优先级抓拍功能，支持根据现场违章抓拍需求通过web界面设置事件优先度，事件优先度1-18可设，设置后可按事件优先度进行违章抓拍及图片存储；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抓拍图片具备智能压缩技术，可以保证在主体目标清晰的情况下压缩图片整体大小，平均压缩率可达到原图大小的30%；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支持牛眼灯下的车牌识别功能，抓拍图片车牌，抓拍图片车牌清晰可见；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★支持车辆抓拍，支持抓拍输出车牌局部照片、车窗局部照片、非机动车局部照片、场景全景图片；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★支持识别不少于 39 种车身颜色，支持识别车身副颜色；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支持在补光亮度不大于 13lx 情况下输出全彩照片，开启图像低照增强功能后，车内人员、车辆车身颜色、车辆号牌、车型清晰可辨；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★支持设置车辆抓拍位置到立杆的架设距离、设备架设高度，并在视频图像中显示位置信息；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★在满足GA/T 1202-2022一级补光标准，补光≤20lx 的前提下，抓拍图片满足 GA/T 832-2014标准中3.6.1要求。 配套符合GA/T 1202-2022标准的一级补光灯，设备抓拍车牌、车身颜色、车内前排人脸及衣着均清晰可见；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★支持对25×10 像素～1100×3000 像素的机动车车牌进行抓拍并识别。支持抓拍并识别垂直倾斜角度≤45°、水平倾斜角度≤35°、俯仰角度≤40°的机动车车牌号码；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分别对11种车型（大货车、中货车、小货车、客车、小轿车、中客车、危险品运输车、校车、面包车、环卫车、其他车型）进行不同超速比设置，可设置18个超速比区间。在相同道路上，设备支持根据不同的超速比设置对不同车型进行超速抓拍，并输出不同的超速抓拍结果及违法代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★支持检测并跟踪指定区域内不少于 245 个目标，目标包括机动车、非机动车以及行人。</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793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B217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E3487">
            <w:pPr>
              <w:jc w:val="left"/>
              <w:rPr>
                <w:rFonts w:hint="eastAsia" w:ascii="宋体" w:hAnsi="宋体" w:eastAsia="宋体" w:cs="宋体"/>
                <w:i w:val="0"/>
                <w:iCs w:val="0"/>
                <w:color w:val="000000"/>
                <w:sz w:val="18"/>
                <w:szCs w:val="18"/>
                <w:u w:val="none"/>
              </w:rPr>
            </w:pPr>
          </w:p>
        </w:tc>
      </w:tr>
      <w:tr w14:paraId="726EE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B4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F0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900万像素高清智慧生态电警抓拍系统</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06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★设备的镜头和两个sensor一体化设计，具有独立三允分光棱镜分光结构装置，分别接收可见光和红外光；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抓拍支持输出三张同时刻同目标图片，包括可见光路图片（全彩），红外路图片（黑白）和融合图片（全彩）；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车身颜色识别功能检查 ：支持识别不少于 39 种车身颜色，支持识别车身副颜色；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★事件抓拍功能检查 ：支持交通区域入侵、逆行、超速、欠速、违法停车、违法变道、压黄线、交通拥堵、行人事件、交通事故、交通道路施工、交通路障事件抓拍；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★车辆子品牌识别功能检查 ：支持车辆子品牌识别并显示相应的年款，车头≥7400种，车尾≥3800种；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分别对11种车型（大货车、中货车、小货车、客车、小轿车、中客车、危险品运输车、校车、面包车、环卫车、其他车型）进行不同超速比设置，可设置18个超速比区间。在相同道路上，设备支持根据不同的超速比设置对不同车型进行超速抓拍，并输出不同的超速抓拍结果及违法代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目标跟踪功能检查 ：支持检测并跟踪指定区域内不少于 245 个目标，目标包括机动车、非机动车以及行人；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★内置2颗1.0英寸CMOS传感器；内置2颗CPU、GPU、NPU一体化芯片；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★语音播报功能检查：支持非机动车逆行、不戴头盔、载人、占道、闯红灯、越线等违法语音播报，并支持自定义时间段、违法优先级、违法类型播报，播报速度支持10个等级可调，播报次数可调；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视频分辨率设置检查：支持视频分辨率设置为：50fps：4096×2160、3840×2336、1920×1080、1600×1200、1280×720；25fps：4096×2160、3840×2336、1920×1080、1600×1200、1280×720；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倾斜车牌抓拍识别功能检查：支持识别并抓拍垂直倾斜角度≤55°、水平倾斜角度≤35°、俯仰角度≤40°的机动车车牌号码；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支持大型货车闯红灯抓拍功能，包括拖车、挂车、罐车、平板货车、集装箱牵引车、渣土车、吸污车等货车类型；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★支持透明串口传输功能，开启摄像机透明串口服务功能后，在补光灯串口只连接本摄像机的情况下，可直接采用外部补光灯调试软件对补光灯进行参数读取和调试；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车牌识别功能检查：支持对65像素×25像素至1200像素×420像素的机动车车牌进行抓拍并识别车牌号码；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★辅助对焦功能检查：支持辅助对焦功能，在辅助对焦功能界面，绘制对焦区域，点击开始对焦，同时回转镜头画面中会提示当前清晰度值，可辅助完成对焦；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车辆子品牌识别功能检查：支持车辆子品牌识别，对车头图片进行分析抓拍，可分析输出OSD叠加7200种车辆子品牌并显示相应的年款，对车尾图片进行分析抓拍，可分析输出 OSD 叠加3900 种车辆子品牌并显示相应的年款；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★违法检测功能检查：支持识别驾驶室前排超载、货箱载人、摩托车不戴头盔、摩托车超载等事件；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★信号灯状态检测功能检查：支持通过视频检测信号灯状态，支持接收信号机广播的信号灯状态，通过对比判断信号灯的整体运行状况，可在视频预览画面上叠加信号机异常的结果指标。</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99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EB3B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80427">
            <w:pPr>
              <w:jc w:val="left"/>
              <w:rPr>
                <w:rFonts w:hint="eastAsia" w:ascii="宋体" w:hAnsi="宋体" w:eastAsia="宋体" w:cs="宋体"/>
                <w:i w:val="0"/>
                <w:iCs w:val="0"/>
                <w:color w:val="000000"/>
                <w:sz w:val="18"/>
                <w:szCs w:val="18"/>
                <w:u w:val="none"/>
              </w:rPr>
            </w:pPr>
          </w:p>
        </w:tc>
      </w:tr>
      <w:tr w14:paraId="6E845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D73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CC8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900万像素高清智慧无光卡口抓拍系统</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B74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★设备的镜头和两个sensor一体化设计，具有独立三角分光棱镜分光结构装置，分别接收可见光和红外光；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抓拍支持输出三张同时刻同目标图片，包括可见光路图片（全彩），红外路图片（黑白）和融合图片（全彩）。三张图片抓拍时间为同一时刻，抓拍秒表显示为同一时刻，抓拍运动目标，三张图片中目标位置相同无位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查看图片中的分辨率为4096 *2160，水平扫描线不小于2000TVL；同时预览两路sensor视频，对其中一路sensor进行外部遮挡，该路sensor的预览发生对应的遮挡变化，另外一路正常；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黑暗环境下，打开红外爆闪灯进行抓拍，红外路图片爆闪补光光斑明显，可见光路无变化，融合图片具有爆闪补光效果；关闭红外爆闪灯进行抓拍，红外路图片无补光光斑，融合图无爆闪补光效果；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★抓拍支持输出三张同时刻同目标图片，包括可见光路图片（全彩），红外路图片（黑白）和融合图片（全彩），三张图片抓拍时间为同一时刻，抓拍运动目标，三张图片中目标位置相同无位移；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同时预览两路sensor视频，设备场景中放置红外LED常亮灯，朝向摄像机镜头，可见光路视频图像中补光灯灯珠完全无光，同时红外路视频图像补光灯可清晰看到灯珠亮光；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车辆特征识别范围检验：样机可在左右45°范围内识别机动车车辆特征，包括车牌号码、车身颜色、车辆类型；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★图像传输延时检验：网络直连情况下，在只输出主码流、分辨率设置为1920 × 1080、帧率设置为25fps, 码率设置为1Mbps，网络协议为UDP、最短延时、智能分析关闭时，视频图像传输至客户端的延时时间小于等于70ms；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★融合显示功能检查：采用双帧融合技术，设备可以采集黑白图像和彩色图像并融合显示，全天候输出彩色图像；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车牌识别功能检查 ：支持对25×10 像素～1100×3000 像素的机动车车牌进行抓拍并识别号码；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★目标跟踪功能检查 ：支持检测并跟踪指定区域内不少于 245 个目标，目标包括机动车、非机动车以及行人；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★单帧多区域曝光功能检查 ：支持单帧多区域曝光功能，可在单帧画面和实时视频中对同一个画面的不同区域展示不同亮度场景，曝光区域可设，曝光亮度可调；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★内置2颗1.0英寸CMOS传感器；内置2颗CPU、GPU、NPU一体化芯片；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闯禁行功能检查：支持闯禁行记录功能，可对5种普通车型(包括大货车、中货车、小货车、皮卡车、大客车)及9种特种车型(包括危化品车辆、普通罐车、渣土车、混凝土搅拌车、工程车、粉粒物料运输车、吸污车、环卫车、冷链车)进行检测、抓拍记录、识别及图片存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★透明串口传输功能检查：支持透明串口传输功能，开启摄像机透明串口服务功能后，在补光灯串口只连接本摄像机的情况下，可直接采用外部补光灯调试软件对补光灯进行参数读取和调试；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支持对65像素×25像素至1200像素×420像素的机动车车牌进行抓拍并识别车牌号码；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支持车辆子品牌识别，对车头图片进行分析抓拍，可分析输出OSD叠加7100种车辆；</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94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D4B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8BAE5">
            <w:pPr>
              <w:jc w:val="left"/>
              <w:rPr>
                <w:rFonts w:hint="eastAsia" w:ascii="宋体" w:hAnsi="宋体" w:eastAsia="宋体" w:cs="宋体"/>
                <w:i w:val="0"/>
                <w:iCs w:val="0"/>
                <w:color w:val="000000"/>
                <w:sz w:val="18"/>
                <w:szCs w:val="18"/>
                <w:u w:val="none"/>
              </w:rPr>
            </w:pPr>
          </w:p>
        </w:tc>
      </w:tr>
      <w:tr w14:paraId="0B3F8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04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32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无眩光智慧补光灯</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2D3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采用不低于24颗优质高亮度LED芯片；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带LED格栅，气体灯管采用优质氙气灯管；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气体光源回电时间小于67ms，支持超速连拍；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支持LED灯频闪、白光气体爆闪，红外气体爆闪；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支持相机误触发保护功能，触发信号输入异常时自动保护、且自动恢复；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符合GA/T 1202-2022《交通技术监控成像补光装置通用技术条件》；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眩光阀值增量TI≤1.08%；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防护等级不低于IP66；</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7A0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F4F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07649">
            <w:pPr>
              <w:jc w:val="left"/>
              <w:rPr>
                <w:rFonts w:hint="eastAsia" w:ascii="宋体" w:hAnsi="宋体" w:eastAsia="宋体" w:cs="宋体"/>
                <w:i w:val="0"/>
                <w:iCs w:val="0"/>
                <w:color w:val="000000"/>
                <w:sz w:val="18"/>
                <w:szCs w:val="18"/>
                <w:u w:val="none"/>
              </w:rPr>
            </w:pPr>
          </w:p>
        </w:tc>
      </w:tr>
      <w:tr w14:paraId="4C371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1D43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31E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8口千兆交换机</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814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8口千兆交换机</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17DB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495A2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409.00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5F209">
            <w:pPr>
              <w:jc w:val="left"/>
              <w:rPr>
                <w:rFonts w:hint="eastAsia" w:ascii="宋体" w:hAnsi="宋体" w:eastAsia="宋体" w:cs="宋体"/>
                <w:i w:val="0"/>
                <w:iCs w:val="0"/>
                <w:color w:val="000000"/>
                <w:sz w:val="18"/>
                <w:szCs w:val="18"/>
                <w:u w:val="none"/>
              </w:rPr>
            </w:pPr>
          </w:p>
        </w:tc>
      </w:tr>
      <w:tr w14:paraId="6F3CC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2291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83C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高清智慧球枪联动扬声示警一体机</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0314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设备内置不少于2个全景通道和1个细节通道，最大分辨率均不小于2688*1520。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三通道均支持最低照度彩色不大于0.0002lx，黑白不大于0.0001lx。</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三通道靶面尺寸均不小于1/1.8英寸。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细节通道支持不小于25倍光学变倍,最大焦距不小于147mm。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★全景通道1、通道2：支持水平:0°-190°，垂直-5°-30°，通道3:水平:0°-360°，垂直:-10°-90°。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★三通道的镜头可分别进行水平方向调节和垂直方向调节，通道2镜头进行水平或垂直调节时，通道3镜头可保持不动，通道2镜头和通道3镜头进行水平调节时，通道1镜头可保持不动。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设备支持不少于300个预置位，可按照所设置的预置位设置不少于8条巡航路径，具有预置位视频冻结功能。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支持H.264、H.265、MJPEG视频编码格式，且具有High Profile编码能力。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支持开启白光灯三通道均可抓拍15m处人脸图片，开启红外灯时，通道1可识别200m处的人体。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设备具有示例功能，智能配置界面支持对每一步操作配置示例。示例中包括检测区域、检测线标识，最小瞳距要求和规则区域的注释。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设备通道1、通道2、通道3可分别或同时对行人、非机动车、机动车进行检测、跟踪、抓拍，支持对人脸、机动车车牌、非机动车车牌进行抠图，可将人脸与人体、车牌与车辆关联显示。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★设备具有2个安装接口，1个为旋转安装接口，1个为多孔安装接口。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支持接管跟随功能，全景通道监控场景中，触发区域入侵、越界入侵、进入区域、离开区域事件，且细节通道开启联动抓拍功能时，可联动细节通道进行目标跟踪。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★三通道均支持全结构化模式、smart事件模式，违章取证+车辆检测模式、交通事件检测+交通数据采集模式，三通道的智能功能可任意选择并保存生效。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通道1支持对连续变道，蛇形变道、违停、逆行、压线、变道、机占非、掉头、加塞9种违章取证行为进行检验并抓拍图片，通道2和通道3均支持对连续变道、蛇形变道、逆行、压线、变道、机占非、掉头、加塞8种违章取证行为进行检验并抓拍图片，当监控场景内，事件触发报警后，可联动报警输出和上传图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通道1支持抛洒物检测、行人检测、拥堵检测、路障检测、施工检测、交通事故检测、浓雾检测、烟雾检测、烟火检测；通道2和通道3均支持抛洒物检测、行人检测，停车检测、拥堵检测、路障检测、施工检测、交通事故检测、浓雾检测、烟雾检测、烟火检测；当监控场景内，事件触发报警后，可联动报警输出和上传图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景通道的2个镜头玻璃均采用倾斜安装，可改变射向镜头光束反射光的方向，在天气晴朗无雾、辅助照明光照度低的条件下，全景通道的2个镜头前方出现机动车补光、非机动车补光、手机补光或手电筒补光时，视频画面基本保持清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具有闪光灯报警输出功能，可设置闪光灯闪烁时间（1~300s)，闪烁频率（高、中、低、常亮）、亮度（1~100），当监控画面中有目标触发区域入侵侦测、越界入侵侦测、进入区域侦测、离开区域侦测等报警时，可联动白光灯闪光报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支持不少于7路报警输入，不少于2路报警输出，不少于1路音频输入，不少于1路音频输出，不少于1个SD卡槽，不少于1个RJ45网口，不少于1个485接口</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17F0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B7ED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13,965.00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7C2A6">
            <w:pPr>
              <w:jc w:val="left"/>
              <w:rPr>
                <w:rFonts w:hint="eastAsia" w:ascii="宋体" w:hAnsi="宋体" w:eastAsia="宋体" w:cs="宋体"/>
                <w:i w:val="0"/>
                <w:iCs w:val="0"/>
                <w:color w:val="000000"/>
                <w:sz w:val="18"/>
                <w:szCs w:val="18"/>
                <w:u w:val="none"/>
              </w:rPr>
            </w:pPr>
          </w:p>
        </w:tc>
      </w:tr>
      <w:tr w14:paraId="46BB7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C76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9D5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高清球型违法检测系统</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36B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★摄像机内置不少于3个镜头，可输出至少一路全景视频和一路细节视频，其中全景内置不少于2个镜头，细节内置1个镜头；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全景内置2个镜头，光圈不小于F1.0，具有不小于1/1.8靶面尺寸，内置4颗补光灯；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细节内置1个镜头，具备不小于1/1.8靶面尺寸，内置10颗红外补光灯及1颗白光灯；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细节通道内置镜头，支持不小于40倍光学变倍，镜头最大焦距不小于240mm；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★全景通道可输出两个镜头无缝拼接的全景图像，拼接偏差像素不大于4个像素，全景画面水平视场角不小于190°，垂直视场角不小于80°；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全景通道可进行垂直旋转，旋转范围不低于12°可调；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摄像机可在预览画面及抓拍图片中叠加人员和车辆的移动轨迹，轨迹颜色支持红色、黄色、蓝色、绿色、及紫色，轨迹末尾具有一个方向箭头，指向目标离开的方向，抓拍图片大小不大于500KB；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红外距离不小于250米；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支持水平旋转范围360°连续旋转，垂直旋转范围-20°~90°；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具备声音报警输出功能，可设置11种警戒音、提示音、自定义语音，报警次数1～50次可设；可通过区域入侵侦测、越界侦测、进入区域侦测、离开区域侦测等报警事件，联动声音报警；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具备闪光灯报警输出功能，可设置闪光灯闪烁时间（1-300），闪烁频率（高、中、低、常亮），亮度（1-100），当监控画面中有目标触发区域入侵侦测、越界侦测、进入区域侦测、离开区域侦测等报警时，可联动白光灯闪烁进行报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内置不少于2个GPU芯片；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★全景路视频图像分辨率不小于3632 × 1632，细节路视频图像分辨率不小于2560x1440；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★全景通道和细节通道镜头支持最低照度可达彩色0.0002 lx，黑白0.0001 lx；</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摄像机具备AR标签管理功能，可对监控区域的常规点位、卡口点位、人脸点位、重点道路、重点场所等进行标签标注，最多可添加500个标签；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★摄像机具备AR标签抖动漂移功能，当设备云台明显抖动、转动、或进行镜头变倍时，标签应跟随标定的目标物移动，并在画面中与目标物保持相对静止；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支持同时检测监控场景内出现的不少于30张人脸，并可进行抓拍；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支持7路报警输入接口，2路报警输出接口，支持1路音频输入和输出接口；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★支持数据感知功能，可同时支持3路web监听通道，设备响应web端发送的查询请求，并返回对应的感知数据；断网重连后，报警信息可继续上传；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★设备全景通道支持区域入侵检测功能，同时联动细节通道进行跟踪、抓拍和结构化信息显示，全景通道区域入侵检测最远距离为50m；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★在设备上方进行喷水操作，水流方向和水平方向夹角不小于42°时，设备视窗应无水流直接接触；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★设备全景通道支持人员密度检测功能，并可输出显示实时人数及拥堵等级，可通过IE浏览器或客户端软件根据人数和占空比配置密度等级；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设备具备车辆布控功能，设备接收到布控命令后，当设定区域内出现悬挂布控车牌的车辆时，可触发报警并进行水平360°跟踪；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设备进行违法停车检测时，镜头倍率为1倍情况下，白天有效检测距离最大为150米，其他倍率下，白天有效检测距离最大为200米；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设备可通过预置位设置16个预置违法检测场景，每个场景内可设置8条违法检测规则；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设备支持掉头检测、压线抓拍、违法变道抓拍、逆行抓拍、机占非抓拍。图片模式应符合《GA/T832-2014道路交通安全违法行为图像取证技术规范》中的相关规定；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设备支持违法取证图片单张上传或者多张合成上传，合成图片的数量（1~4张可选）可配置；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当有停车、逆行、压线、变道、掉头、拥堵、机动车占非机动车道现象被触发时，设备可分别发出不同的语音提示；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支持违法停车抓拍功能，白天违法停车捕获率、捕获有效率均不小于98%；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A87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674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9E1DF">
            <w:pPr>
              <w:jc w:val="left"/>
              <w:rPr>
                <w:rFonts w:hint="eastAsia" w:ascii="宋体" w:hAnsi="宋体" w:eastAsia="宋体" w:cs="宋体"/>
                <w:i w:val="0"/>
                <w:iCs w:val="0"/>
                <w:color w:val="000000"/>
                <w:sz w:val="18"/>
                <w:szCs w:val="18"/>
                <w:u w:val="none"/>
              </w:rPr>
            </w:pPr>
          </w:p>
        </w:tc>
      </w:tr>
      <w:tr w14:paraId="1EE92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FE07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1C7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200万像素全彩筒型网络摄像机</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A51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★靶面尺寸不低于1/1.8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最大分辨率2560 × 1440 @25 fps。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★最低照度彩色：0.0005 lx。</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★内置1个麦克风，1个报警输入，1个报警输出，1个音频输入，1个音频输出接口。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具备区域入侵、越界入侵、进入区域、离开区域、人员聚集、快速移动、徘徊、物品移除、物品遗留、停车智能分析功能，当以上智能分析行为达到设定的阈值时，可通过客户端软件或IE浏览器给出报警提示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不低于IP67防尘防水等级。</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E7E0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590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650.00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76B6C">
            <w:pPr>
              <w:jc w:val="left"/>
              <w:rPr>
                <w:rFonts w:hint="eastAsia" w:ascii="宋体" w:hAnsi="宋体" w:eastAsia="宋体" w:cs="宋体"/>
                <w:i w:val="0"/>
                <w:iCs w:val="0"/>
                <w:color w:val="000000"/>
                <w:sz w:val="18"/>
                <w:szCs w:val="18"/>
                <w:u w:val="none"/>
              </w:rPr>
            </w:pPr>
          </w:p>
        </w:tc>
      </w:tr>
      <w:tr w14:paraId="6CC94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2EC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F3A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智能硬盘录像机</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11D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1个HDMI，1个VGA，异源输出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2盘位，可满配6TB硬盘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2个千兆网口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前面板1个USB2.0接口、后面板1个USB2.0接口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报警IO：16进4路（可选配8出）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软件性能：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输入带宽：80M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8路H.264、H.265混合接入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最大支持4×1080P解码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支持H.265、H.264解码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Smart 2.0/ANR/智能检索/智能回放/车牌检索/人脸检索/热度图/客流量统计/分时段回放/倍速回放/双系统备份</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C4E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B410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75DA5">
            <w:pPr>
              <w:jc w:val="left"/>
              <w:rPr>
                <w:rFonts w:hint="eastAsia" w:ascii="宋体" w:hAnsi="宋体" w:eastAsia="宋体" w:cs="宋体"/>
                <w:i w:val="0"/>
                <w:iCs w:val="0"/>
                <w:color w:val="000000"/>
                <w:sz w:val="18"/>
                <w:szCs w:val="18"/>
                <w:u w:val="none"/>
              </w:rPr>
            </w:pPr>
          </w:p>
        </w:tc>
      </w:tr>
      <w:tr w14:paraId="1A754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9DF9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89B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高清智能终端服务器</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41C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嵌入式操作系统，内置1块2T硬盘；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★设备具有8个10M/100M/1000M自适应RJ45接口(其中P1~P8与G1处于同一网段、G2处于另一网段)、2个1000M SFP光口(分别于G1、G2处于同一网段)；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★可设置图片的存储空间，在规定的空间内自动循环覆盖，剩余空间为录像存储空间；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实时显示车流量、平均车速、平均车道时间占有率、平均车头时距等数据；支持存储采集到的车流量信息,可对全部卡口或单个卡口按天或按小时实时统计过车流量,并能够按照时间、通道、车道等条件查询,支持柱状图、折线图、表格形式展示,可将数据上传至平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★对于在记录过程中出现的系统死机或意外故障，设备能够在规定的时间内自动恢复其正常工作状态并使故障前的信息不丢失；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★设备内的录像、图片文件无法直接删除或者修改，只能通过循环覆盖和硬盘格式化操作；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可实时显示接入的摄像机、线圈、车检器、红绿灯检测器等前端设备的工作状态、样机内部温度、工作时间等信息；外接机柜门时具有机柜门状态实时显示与查询功能；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数据直存，可将视频流直接写入存储；采用自动分段记录格式时，相邻两段间最大记录间隔时间应≤0.4s；对于记录在存储介质上的视频信息，取出的存储介质应能在同型号的其他设备上正常回放，以保证设备发生故障后记录资料的留存(或复制)；</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D9DD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35EA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12,780.00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6B25F">
            <w:pPr>
              <w:jc w:val="left"/>
              <w:rPr>
                <w:rFonts w:hint="eastAsia" w:ascii="宋体" w:hAnsi="宋体" w:eastAsia="宋体" w:cs="宋体"/>
                <w:i w:val="0"/>
                <w:iCs w:val="0"/>
                <w:color w:val="000000"/>
                <w:sz w:val="18"/>
                <w:szCs w:val="18"/>
                <w:u w:val="none"/>
              </w:rPr>
            </w:pPr>
          </w:p>
        </w:tc>
      </w:tr>
      <w:tr w14:paraId="51505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852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36A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红绿灯信号检测器</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5C9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16路信号灯交流信号输入接口；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4个RS485输出接口；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1路100M网口输出；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1个5VDC输出接口；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5路拨码开关，用来设置波特率、地址和上传模式；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16路交通灯状态指示；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检测、通讯单元采用微控制器设计，稳定可靠；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输入接口采用压电保护、光电隔离等防护措施；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实时输出交通灯信号状态；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工作温度：温度-30℃~70℃；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工作湿度：湿度5%~95%@40℃，无凝结；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电源：AC220V±10%。</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479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F95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10,390.00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E48ED">
            <w:pPr>
              <w:jc w:val="left"/>
              <w:rPr>
                <w:rFonts w:hint="eastAsia" w:ascii="宋体" w:hAnsi="宋体" w:eastAsia="宋体" w:cs="宋体"/>
                <w:i w:val="0"/>
                <w:iCs w:val="0"/>
                <w:color w:val="000000"/>
                <w:sz w:val="18"/>
                <w:szCs w:val="18"/>
                <w:u w:val="none"/>
              </w:rPr>
            </w:pPr>
          </w:p>
        </w:tc>
      </w:tr>
      <w:tr w14:paraId="0D3C2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A58E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666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测速雷达</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D217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测速范围10km/h-250km/h；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测速误差：车速20km/h-180km/h，误差-0.5km/h-0km/h；车速180km/h及以上，误差-1km/h-0km/h；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WIFI升级及参数配置，可通过WIFI连接进行升级，升级后功能正常，可进行雷达触发位置设置和雷达灵敏度进行配置；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输入电压为9V-24V范围内测速雷达能正常工作；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雷达测速单元功耗应不大于2W；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防护等级IP66。</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38D4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E779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F7012">
            <w:pPr>
              <w:jc w:val="left"/>
              <w:rPr>
                <w:rFonts w:hint="eastAsia" w:ascii="宋体" w:hAnsi="宋体" w:eastAsia="宋体" w:cs="宋体"/>
                <w:i w:val="0"/>
                <w:iCs w:val="0"/>
                <w:color w:val="000000"/>
                <w:sz w:val="18"/>
                <w:szCs w:val="18"/>
                <w:u w:val="none"/>
              </w:rPr>
            </w:pPr>
          </w:p>
        </w:tc>
      </w:tr>
      <w:tr w14:paraId="0AA7B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AA22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E16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格栅闪光灯</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AD0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电源：AC220V～50HZ, 工作温度：-20～70℃,光学性能：补光区域基准轴左右12°,闪烁特性：两次补光之间最小时间间隔≤78ms，点亮时间≤1.2ms,接触电阻：≤0.05Ω,防护等级：IP65;</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BAD7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AF4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3,650.00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90299D">
            <w:pPr>
              <w:jc w:val="left"/>
              <w:rPr>
                <w:rFonts w:hint="eastAsia" w:ascii="宋体" w:hAnsi="宋体" w:eastAsia="宋体" w:cs="宋体"/>
                <w:i w:val="0"/>
                <w:iCs w:val="0"/>
                <w:color w:val="000000"/>
                <w:sz w:val="18"/>
                <w:szCs w:val="18"/>
                <w:u w:val="none"/>
              </w:rPr>
            </w:pPr>
          </w:p>
        </w:tc>
      </w:tr>
      <w:tr w14:paraId="01195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4050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102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格栅常亮灯</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1F5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电源：AC220V～50Hz，温度：- 20℃～70℃，光学性能：补光区域基准轴左右4°，闪烁特性：闪烁频率＞50Hz，点亮时间≤3.84ms，接触电阻：≤0.21Ω，防护等级：IP65</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04B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DD2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3,650.00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CA66CA">
            <w:pPr>
              <w:jc w:val="left"/>
              <w:rPr>
                <w:rFonts w:hint="eastAsia" w:ascii="宋体" w:hAnsi="宋体" w:eastAsia="宋体" w:cs="宋体"/>
                <w:i w:val="0"/>
                <w:iCs w:val="0"/>
                <w:color w:val="000000"/>
                <w:sz w:val="18"/>
                <w:szCs w:val="18"/>
                <w:u w:val="none"/>
              </w:rPr>
            </w:pPr>
          </w:p>
        </w:tc>
      </w:tr>
      <w:tr w14:paraId="43827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7621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EB1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格栅频闪灯</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149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LED颗数：16颗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光源效率：120 LM/W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色温：3000K-4000K</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LED显色指数：&gt;90Ra；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角度：10-15度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截光防眩设计：加装可拆卸式防眩光格栅装置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平均功率：≤30W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功耗调节：可通过改变输入信号的频率和占空比调节频闪亮度。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工作电压：AC(86～264)V ～50Hz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LED频闪触发方式：电平或开关信号可选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防护等级：≥IP68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工作温度：-40℃～80℃   </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0BB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7865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ABB83B">
            <w:pPr>
              <w:jc w:val="left"/>
              <w:rPr>
                <w:rFonts w:hint="eastAsia" w:ascii="宋体" w:hAnsi="宋体" w:eastAsia="宋体" w:cs="宋体"/>
                <w:i w:val="0"/>
                <w:iCs w:val="0"/>
                <w:color w:val="000000"/>
                <w:sz w:val="18"/>
                <w:szCs w:val="18"/>
                <w:u w:val="none"/>
              </w:rPr>
            </w:pPr>
          </w:p>
        </w:tc>
      </w:tr>
      <w:tr w14:paraId="30069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00CB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1BE5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智能交通综合管理平台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E5E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160路授权，160个车道；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满足与上级省辖市公安局市级共享平台级联对接应用的智能交通综合管理平台软件；符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合 GB/T28181 等标准规范要求；包含信令安全路由网关，信令控制服务器，媒体转发服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务器软件模块，存储管理模块，前端设备代理服务模块，电视墙代理服务模块，报警管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理服务模块等基础软件模块；含电子警察、卡口级联集成应用软件模块，运维管理系统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等应用管理模块；</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388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E3A9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265,000.00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46ACB6">
            <w:pPr>
              <w:jc w:val="left"/>
              <w:rPr>
                <w:rFonts w:hint="eastAsia" w:ascii="宋体" w:hAnsi="宋体" w:eastAsia="宋体" w:cs="宋体"/>
                <w:i w:val="0"/>
                <w:iCs w:val="0"/>
                <w:color w:val="000000"/>
                <w:sz w:val="18"/>
                <w:szCs w:val="18"/>
                <w:u w:val="none"/>
              </w:rPr>
            </w:pPr>
          </w:p>
        </w:tc>
      </w:tr>
      <w:tr w14:paraId="7AF9F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1E7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E2B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机房服务器</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703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2U双路标准机架式服务器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CPU：配置2颗intel至强4510处理器，核数≥12核，主频≥2.4GHz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内存：配置128G DDR5，16个内存插槽，最大支持扩展至2TB内存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硬盘：配置2块1.2T 10K 2.5寸 SAS硬盘，默认支持8个3.5寸/2.5寸硬盘，可选最大支持12个3.5寸/2.5寸硬盘，可选兼容4个NVMe硬盘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阵列卡：配置SAS+HBA卡，支持RAID 0/1/10;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PCIE扩展：支持7个PCIe扩展插槽（包括1个OCP 插槽），其中5个PCIe 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网口：4个千兆电口； 支持选配10GbE、25GbE SFP+等多种网络接口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其他接口：1个RJ45管理接口，后置2个USB 3.0接口，前置2个USB2.0接口，1个VGA接口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电源：标配550W（1+1）高效白金热插拔冗余电源</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3C40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0551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41,250.00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DC938">
            <w:pPr>
              <w:rPr>
                <w:rFonts w:hint="eastAsia" w:ascii="宋体" w:hAnsi="宋体" w:eastAsia="宋体" w:cs="宋体"/>
                <w:i w:val="0"/>
                <w:iCs w:val="0"/>
                <w:color w:val="000000"/>
                <w:sz w:val="18"/>
                <w:szCs w:val="18"/>
                <w:u w:val="none"/>
              </w:rPr>
            </w:pPr>
          </w:p>
        </w:tc>
      </w:tr>
      <w:tr w14:paraId="62339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2CA5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208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云存储管理节点</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5088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CPU：配置2颗 x86架构HYGON处理器，核数≥8核，频率≥3.0GHz；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内存：配置32G DDR4（4*8G），8根内存插槽；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硬盘：标配1个热插拔240GB SSD硬盘，2个热插拔960GB SSD硬盘，前置最大可选支持12块3.5寸（兼容2.5寸）热插拔SATA/SAS硬盘，后置最大可选支持2块2.5寸热插拔SATA/SAS硬盘，内置最大可选支持2块2.5寸非热插拔SATA SSD硬盘，板载最大可选支持1个SATA M.2硬盘；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PCIE扩展：最大支持4个标准PCIE插槽（1个PCIe3.0×16、2个PCIe3.0×8、1个PCIe3.0×4）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网口：标配2个PCIE千兆电口，支持选配10GbE SFP+等多种网络接口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其他接口：标配1个IPMI RJ-45管理接口，位于机箱后部；7个USB 3.0接口，4个位于机箱后部，2个位于机箱前部，1个位于机箱内部；2个VGA接口，1个位于机箱前部，1个位于机箱后部；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电源：配置550W（1+1）高效铂金CRPS冗余电源</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4BE1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87F3A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3,510.00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247C89">
            <w:pPr>
              <w:jc w:val="left"/>
              <w:rPr>
                <w:rFonts w:hint="eastAsia" w:ascii="宋体" w:hAnsi="宋体" w:eastAsia="宋体" w:cs="宋体"/>
                <w:i w:val="0"/>
                <w:iCs w:val="0"/>
                <w:color w:val="000000"/>
                <w:sz w:val="18"/>
                <w:szCs w:val="18"/>
                <w:u w:val="none"/>
              </w:rPr>
            </w:pPr>
          </w:p>
        </w:tc>
      </w:tr>
      <w:tr w14:paraId="08909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89B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DFA1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云存储存储节点</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3A89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配置：≥1颗64位多核处理器，≥16GB内存，内存支持扩展到≥128GB，内置240G SSD固态硬盘，配置≥3个风扇，≥6个千兆数据网口，≥1个千兆管理口,≥1×COM，≥2×USB2.0，≥2×USB3.0，≥1×VGA；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★可接入2T/3T/4T/6T/8T/10T/12T/14T/16T/18T/20T/25T/26T SATA/SAS硬盘；支持NL-SAS 硬盘、HDD硬盘、SSD硬盘、氦气硬盘、空气硬盘；支持 CMR或SMR硬盘；支持硬盘交错/分时启动，节省功耗；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★具有48块硬盘热插拔插槽；支持硬盘热插拔设备在读写数据时，热插拔设备内的任意块硬盘，设备正常运行不宕机，硬盘不损坏，数据不丢失，业务不中断；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系统支持按照24/36/48等盘位、不同性能、不同CPU架构的存储节点混合组网，当出现磁盘或节点故障时，系统可根据CPU利用率、节点连接数、节点吞吐量、节点综合负载等策略提供最优重构速度，最高重构速度可达4TB/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★支持存储实时视频、视频片段、图片及伴生的智能结构化数据，支持根据结构化数据的类型检索视频，检索条件包括前端点位ID、时间段、视频目标类型（包含人、机动车、非机动车等）；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系统支持手动、自动对智能事件关联的多个录像片段设置录像标签。支持标签与其关联的录像片段同生命周期管理；支持通过按标签内容查询、回放、下载录像片段数据；支持对标签关联的录像片段进行锁定、备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★支持图形化页面对图片数据进行处理，包括图片预览、压缩、裁剪、旋转、缩放、格式转换、马赛克、归一化及打文字水印，并支持通过图形化页面下载处理成功的图片数据；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★系统同时提供多副本、Erasure Code数据保护机制，其中Erasure Code安全级别可支持设置44+4，安全级别可在线动态修改，系统根据当前节点状态使用相应的容错算法。支持数据冗余N+M模式下，当损坏节点数量超过M台（或数据块超过M）时，系统内的正常存储节点不少于1台，业务仍可持续写入，且存留的视频数据仍可进行回放，回放数据无马赛克。当故障存储或者硬盘上线后，损坏数据可自动恢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采用分布式云架构对多区域、多套云存储系统资源进行统一接入、管理和监控告警运维(监控、远程升级、远程部署)，全局的唯一入口访问模式，统一的用户权限管控、存储资源虚拟化管理、业务管理与调度；支持云系统间视频业务和图片业务的故障容灾，系统间容灾策略包含主备、互备、一主多备模式。视频业务容灾可按前端点位设置容灾策略、回迁策略，支持对故障期间的视频数据按照策略进行自动回迁，包含指定监控点点位，指定回迁时间段，按自动回迁、手动回迁，指定回迁任务的优先级；图片业务支持按资源池设置容灾策略，自动调度到备云进行数据存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★系统以流直存模式进行录像、图片数据存储。系统中的实时视频流、抓拍图片无需经过任何转发服务器/虚拟机即可实现数据流直存，视频与图片数据直存后可即存即取。</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90F6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87660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94,500.00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291999">
            <w:pPr>
              <w:jc w:val="left"/>
              <w:rPr>
                <w:rFonts w:hint="eastAsia" w:ascii="宋体" w:hAnsi="宋体" w:eastAsia="宋体" w:cs="宋体"/>
                <w:i w:val="0"/>
                <w:iCs w:val="0"/>
                <w:color w:val="000000"/>
                <w:sz w:val="18"/>
                <w:szCs w:val="18"/>
                <w:u w:val="none"/>
              </w:rPr>
            </w:pPr>
          </w:p>
        </w:tc>
      </w:tr>
      <w:tr w14:paraId="3C872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187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C630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企业级硬盘</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884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6TB容量，3.5英寸，SATA3.0接口，7200RPM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空气盘， CMR传统磁记录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传输速率255 MB/s，流畅存储视频有效防止丢帧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MTBF可达2,000,000小时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高级格式（AF）512e扇区技术，保障硬盘扇区4K对齐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满足数据严苛的7*24小时运行可靠性、安全性的需求</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455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B305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1,495.00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F8091">
            <w:pPr>
              <w:rPr>
                <w:rFonts w:hint="eastAsia" w:ascii="宋体" w:hAnsi="宋体" w:eastAsia="宋体" w:cs="宋体"/>
                <w:i w:val="0"/>
                <w:iCs w:val="0"/>
                <w:color w:val="000000"/>
                <w:sz w:val="18"/>
                <w:szCs w:val="18"/>
                <w:u w:val="none"/>
              </w:rPr>
            </w:pPr>
          </w:p>
        </w:tc>
      </w:tr>
      <w:tr w14:paraId="2C43B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0CD0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ADE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图片二次分析</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CE4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19英寸机架式标准机箱；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支持热拔插高效1+1冗余电源模块；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≥2块硬盘接口；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支持图片背向车辆颜色、车辆类型、车辆子品牌识别；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包括92式民用车牌，警用车牌，左右军车牌，02式个性化车牌,黄色双行尾牌,上下军车牌，04式新军车牌,使馆车牌,一行结构的新武警车牌,两行结构的新武警车牌,黄色1225农用车牌,绿色1325农用车牌,黄色1325农用车牌，摩托车，教练车牌识别，挂车车牌，领馆汽车牌，港澳台车牌，民航车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图片车牌号码识别白天准确率不低于98%；车牌号码识别晚上准确率不低于95%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支持黑、白、蓝、黄、绿、新能源黄绿、渐变绿七种车牌颜色的识别，识别准确率，白天光照正常、夜晚补光正常，车辆类型特征人眼可辨识：白天不低于97%；晚上不低于95%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支持无车牌车辆的识别，识别准确率，白天不低于95%，晚上不低于90%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支持对车辆号牌遮挡、污损状态的检测识别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支持红、黄、绿、青、蓝、紫、粉、棕、白、灰及黑、银、橙、金13种车身颜色识别，识别准确率，白天正向不低于95%；白天背向不低于92%；晚上正向不低于93%；晚上背向不低于90%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支持轿车、面包车、皮卡、小货车、大货车、中客车、大客车、SUV/MPV、二轮车、三轮车10种车型的识别，识别准确率，白天正向不低于97%；白天背向不低于95%；晚上正向不低于95%；晚上背向不低于92%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支持不少于260种机动车车辆品牌的识别（正向），支持不少于200种机动车车辆品牌的识别（背向），识别准确率，白天正向不低于98%，白天背向不低于97%，晚上正向不低于97%，晚上背向不低于95%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支持不少于5500种车辆子品牌和年款的识别（正向），支持不少于3100种车辆子品牌和年款的识别（背向），识别准确率，白天正向不低于95%，白天背向不低于93%，晚上正向不低于92%，晚上背向不低于92%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支持主、副驾驶未系安全带检测识别。主驾驶未系安全带检测准确率，白天不低于90%，晚上不低于90%，副驾驶未系安全带检测准确率，白天不低于90%，晚上不低于90%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支持主、副驾驶遮阳板打开检测识别。主遮阳板打开检测准确率不低于93%，副遮阳板打开检测准确率不低于93%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支持驾驶人打手机检测识别，准确率不低于94%；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支持黄标车的检测识别，准确率不低于95%；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支持危险品车辆的检测识别，准确率不低于95%；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支持车辆中挂件摆件的检测识别(支持对车辆上挂件、摆件的检测识别，能够检测出挂件、摆件的相对坐标位置及个数)，挂件检测检出率不低于95%，摆件检测检出率不低于95%；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支持临时车牌车辆的识别检测，检测准确率不低于95%；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支持车辆天窗站人检测识别；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支持前排人数检测，准确率不低于91%；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支持对主、副驾驶人员抽烟动作进行检测识别；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支持对副驾驶是否怀抱婴儿进行检测；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支持纸巾盒检测识别,并能够检测出纸巾盒的相对坐标位置及个数；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支持对车辆挡风玻璃是否有卡片进行检测；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支持新能源汽车号牌检测，识别准确率不低于95%；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支持对渣土车是否盖板进行检测识别；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支持对是否有天窗、行李架、车身喷字、备胎等特征的检测；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支持对图片中的非机动车进行检测，支持三轮车有棚无棚检测，是否载人检测；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支持车辆标贴检测识别，检测准确率不低于95%；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支持对图片中的正、背向车辆进行以图搜图建模功能；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以图搜车功能，上传车辆的图片，比对后可输出达到设定相似度的过车图片。车辆以图搜图准确率，正向车辆以图搜图前5个出现目标车辆的命中率不低于97%，正向车辆以图搜图前10个出现目标车辆的命中率不低于98%，背向车辆以图搜图前5个出现目标车辆的命中率不低于94%，背向车辆以图搜图前10个出现目标车辆的命中率不低于97%；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支持特征搜车功能，上传车辆的图片并选定特征区域，比对后可输出达到设定相似度的过车图片；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支持识别一张图片中的多辆车辆信息；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图片处理速度不低于13万张/小时；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支持900万像素及以下图片的结构化处理；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支持对车辆进行布控，在分析过程中对布控车辆进行报警，输出布控车辆出现的时间及点位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支持通过界面展示查看算法仓库支持的算法列表，包括算法名称、分析类型、分析目标、算法厂商、芯片平台、算法版本和详情信息，在获取相应算法授权情况下算法仓库支持的算法类型包括人脸算法、车辆算法和人体算法等，并支持对算法进行查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支持本地导入车辆图片进行分析、检索、以图搜图的功能。</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FC65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C182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615,000.00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48A10B">
            <w:pPr>
              <w:rPr>
                <w:rFonts w:hint="eastAsia" w:ascii="宋体" w:hAnsi="宋体" w:eastAsia="宋体" w:cs="宋体"/>
                <w:i w:val="0"/>
                <w:iCs w:val="0"/>
                <w:color w:val="000000"/>
                <w:sz w:val="18"/>
                <w:szCs w:val="18"/>
                <w:u w:val="none"/>
              </w:rPr>
            </w:pPr>
          </w:p>
        </w:tc>
      </w:tr>
      <w:tr w14:paraId="1BF6B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575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B6E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大数据一体机</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37F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支持每日增量数据300万条；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支持20亿条车辆结构化数据存储、查询；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单机支持5000万条车辆结构化数据加速以车搜车；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硬件配置不低于：CPU： 4214R*2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内存 ：256G DDR4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硬盘 ：600G SAS*2+960G SSD*6+6T SATA*6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接口 ：网络接口：OCP 万兆光口（2个），千兆电口（2个）；USB：4个；VGA：1个；</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90FF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CDF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198,000.00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DD90CAE">
            <w:pPr>
              <w:jc w:val="left"/>
              <w:rPr>
                <w:rFonts w:hint="eastAsia" w:ascii="宋体" w:hAnsi="宋体" w:eastAsia="宋体" w:cs="宋体"/>
                <w:i w:val="0"/>
                <w:iCs w:val="0"/>
                <w:color w:val="000000"/>
                <w:sz w:val="18"/>
                <w:szCs w:val="18"/>
                <w:u w:val="none"/>
              </w:rPr>
            </w:pPr>
          </w:p>
        </w:tc>
      </w:tr>
      <w:tr w14:paraId="113F0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B78D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CFF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视频质量诊断服务器</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C92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支持对监控点图像正常数、图像异常数、诊断失败数、未检测数以统计图和数字方式进行展现。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支持以列表方式展现统计结果，包括监控点名称、所在区域、IP地址、诊断结果、在线状态、巡检时间。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支持诊断图片查看、本级及级联点位图像重巡。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诊断详情查看，展现包括基本信息（所在区域、监控点名称、IP地址及端口号、通道编号、设备厂商、诊断结果、在线状态、所属设备状态、视频巡检时间、在线巡检时间、资源编码）、图像诊断截图(异常项展现)、历史诊断结果查看（以日历图方式展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支持以诊断结果、IP地址、监控点名称、在线状态、码流清晰度过滤查询。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针对本级及级联点位进行录像检查，并支持按照巡检结果、录像日期、监控点名称、IP地址、监控点名称、存储类型、录制状态、录像保存天数过滤查询，及根据监控点总数、录像完整数、录像丢失数、巡检失败数、未巡检进行数据统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针对本级及级联点位进行录像检查，并支持按照巡检结果、录像日期、监控点名称、IP地址、监控点名称、存储类型、录制状态、录像保存天数过滤查询，及根据监控点总数、录像完整数、录像丢失数、巡检失败数、未巡检进行数据统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支持录像监控结果列表展示，列表展示项包括监控点名称、所在区域、IP地址、巡检结果、断续频次、未录像时长、录像保存天数、存储类型、操作。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录像详情查看，详情项包括基本信息（所在区域、监控点名称、IP地址及端口号、通道编号、设备厂商、录像结果、在线状态、存储类型、所属设备状态、录像巡检时间、在线巡检时间、录像保存天数、资源编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支持按照时间区间、存储类型展现历史录像情况，同时支持对近24小时、近一周的历史录像情况进行展现及并集处理。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支持接受智能运维管理系统管理，2000路1080P高清一天可检测完成。</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E90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1F356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170,000.00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D7E189">
            <w:pPr>
              <w:jc w:val="left"/>
              <w:rPr>
                <w:rFonts w:hint="eastAsia" w:ascii="宋体" w:hAnsi="宋体" w:eastAsia="宋体" w:cs="宋体"/>
                <w:i w:val="0"/>
                <w:iCs w:val="0"/>
                <w:color w:val="000000"/>
                <w:sz w:val="18"/>
                <w:szCs w:val="18"/>
                <w:u w:val="none"/>
              </w:rPr>
            </w:pPr>
          </w:p>
        </w:tc>
      </w:tr>
      <w:tr w14:paraId="281B3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D512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F1F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光交换设备</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E04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1路485光端机参数：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应用场合：可支持多路数据,兼容所有,报警复合数据,工业应用传输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物理接口：工业接线端子(标配),RJ45(订做)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控制设备：云台PTZ解码器,控制键盘,矩阵控制数据接口,高速球,工业设备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物理接口端子：工业接线端子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接口信号： RS-485 (2线制),</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A648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C3CA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1,680.00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976BD6">
            <w:pPr>
              <w:jc w:val="left"/>
              <w:rPr>
                <w:rFonts w:hint="eastAsia" w:ascii="宋体" w:hAnsi="宋体" w:eastAsia="宋体" w:cs="宋体"/>
                <w:i w:val="0"/>
                <w:iCs w:val="0"/>
                <w:color w:val="000000"/>
                <w:sz w:val="18"/>
                <w:szCs w:val="18"/>
                <w:u w:val="none"/>
              </w:rPr>
            </w:pPr>
          </w:p>
        </w:tc>
      </w:tr>
      <w:tr w14:paraId="358C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4219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12C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双基色道路交通信息显示屏1</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2137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点间距P10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物理密度10000dot/ M²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亮度≥4500cd/平方米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防护等级≥IP68</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488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4BDD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F537C4">
            <w:pPr>
              <w:jc w:val="left"/>
              <w:rPr>
                <w:rFonts w:hint="eastAsia" w:ascii="宋体" w:hAnsi="宋体" w:eastAsia="宋体" w:cs="宋体"/>
                <w:i w:val="0"/>
                <w:iCs w:val="0"/>
                <w:color w:val="000000"/>
                <w:sz w:val="18"/>
                <w:szCs w:val="18"/>
                <w:u w:val="none"/>
              </w:rPr>
            </w:pPr>
          </w:p>
        </w:tc>
      </w:tr>
      <w:tr w14:paraId="61A2C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0370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F7CB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双基色道路交通信息显示屏2</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E7C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点间距P16，纯点阵屏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国产灯珠，不支持盲点检测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包含接收卡及监控卡，屏体不含发送卡</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8E87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91255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9ABE46">
            <w:pPr>
              <w:jc w:val="left"/>
              <w:rPr>
                <w:rFonts w:hint="eastAsia" w:ascii="宋体" w:hAnsi="宋体" w:eastAsia="宋体" w:cs="宋体"/>
                <w:i w:val="0"/>
                <w:iCs w:val="0"/>
                <w:color w:val="000000"/>
                <w:sz w:val="18"/>
                <w:szCs w:val="18"/>
                <w:u w:val="none"/>
              </w:rPr>
            </w:pPr>
          </w:p>
        </w:tc>
      </w:tr>
      <w:tr w14:paraId="1861F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1836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C1E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配电系统</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375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交通诱导屏纯点阵屏配电控制系统，20kW，含配电箱，远程上电、防雷、交通诱导屏发送卡</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18F0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07E1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5,000.00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1EBF055">
            <w:pPr>
              <w:jc w:val="left"/>
              <w:rPr>
                <w:rFonts w:hint="eastAsia" w:ascii="宋体" w:hAnsi="宋体" w:eastAsia="宋体" w:cs="宋体"/>
                <w:i w:val="0"/>
                <w:iCs w:val="0"/>
                <w:color w:val="000000"/>
                <w:sz w:val="18"/>
                <w:szCs w:val="18"/>
                <w:u w:val="none"/>
              </w:rPr>
            </w:pPr>
          </w:p>
        </w:tc>
      </w:tr>
      <w:tr w14:paraId="0E884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AC28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F477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电源线</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734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RVV2*1.5mm²</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FE34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B058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4.95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483356">
            <w:pPr>
              <w:jc w:val="left"/>
              <w:rPr>
                <w:rFonts w:hint="eastAsia" w:ascii="宋体" w:hAnsi="宋体" w:eastAsia="宋体" w:cs="宋体"/>
                <w:i w:val="0"/>
                <w:iCs w:val="0"/>
                <w:color w:val="000000"/>
                <w:sz w:val="18"/>
                <w:szCs w:val="18"/>
                <w:u w:val="none"/>
              </w:rPr>
            </w:pPr>
          </w:p>
        </w:tc>
      </w:tr>
      <w:tr w14:paraId="3D114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22BC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F05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电源线</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51B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RVV3*4mm²</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DCAF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C6B1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15.60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CC7095">
            <w:pPr>
              <w:jc w:val="left"/>
              <w:rPr>
                <w:rFonts w:hint="eastAsia" w:ascii="宋体" w:hAnsi="宋体" w:eastAsia="宋体" w:cs="宋体"/>
                <w:i w:val="0"/>
                <w:iCs w:val="0"/>
                <w:color w:val="000000"/>
                <w:sz w:val="18"/>
                <w:szCs w:val="18"/>
                <w:u w:val="none"/>
              </w:rPr>
            </w:pPr>
          </w:p>
        </w:tc>
      </w:tr>
      <w:tr w14:paraId="09A76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6D0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06C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电源线</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2C2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RVV3*6mm²</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C1C9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9130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21.80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1B6613">
            <w:pPr>
              <w:jc w:val="left"/>
              <w:rPr>
                <w:rFonts w:hint="eastAsia" w:ascii="宋体" w:hAnsi="宋体" w:eastAsia="宋体" w:cs="宋体"/>
                <w:i w:val="0"/>
                <w:iCs w:val="0"/>
                <w:color w:val="000000"/>
                <w:sz w:val="18"/>
                <w:szCs w:val="18"/>
                <w:u w:val="none"/>
              </w:rPr>
            </w:pPr>
          </w:p>
        </w:tc>
      </w:tr>
      <w:tr w14:paraId="7CD3E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F5D9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0EC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电源线</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A20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YJV2*6mm²</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3A7E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678E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18.80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5E6E7E">
            <w:pPr>
              <w:jc w:val="left"/>
              <w:rPr>
                <w:rFonts w:hint="eastAsia" w:ascii="宋体" w:hAnsi="宋体" w:eastAsia="宋体" w:cs="宋体"/>
                <w:i w:val="0"/>
                <w:iCs w:val="0"/>
                <w:color w:val="000000"/>
                <w:sz w:val="18"/>
                <w:szCs w:val="18"/>
                <w:u w:val="none"/>
              </w:rPr>
            </w:pPr>
          </w:p>
        </w:tc>
      </w:tr>
      <w:tr w14:paraId="5FF15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87DA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DF6B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电源线</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7CB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YJV5*16mm²</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0D6B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71B9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78.00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E8293">
            <w:pPr>
              <w:rPr>
                <w:rFonts w:hint="eastAsia" w:ascii="宋体" w:hAnsi="宋体" w:eastAsia="宋体" w:cs="宋体"/>
                <w:i w:val="0"/>
                <w:iCs w:val="0"/>
                <w:color w:val="000000"/>
                <w:sz w:val="18"/>
                <w:szCs w:val="18"/>
                <w:u w:val="none"/>
              </w:rPr>
            </w:pPr>
          </w:p>
        </w:tc>
      </w:tr>
      <w:tr w14:paraId="360FC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4D9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540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电源线</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5A9C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YJV2*10mm²</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1DE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3EA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34.50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9CDF2">
            <w:pPr>
              <w:rPr>
                <w:rFonts w:hint="eastAsia" w:ascii="宋体" w:hAnsi="宋体" w:eastAsia="宋体" w:cs="宋体"/>
                <w:i w:val="0"/>
                <w:iCs w:val="0"/>
                <w:color w:val="000000"/>
                <w:sz w:val="18"/>
                <w:szCs w:val="18"/>
                <w:u w:val="none"/>
              </w:rPr>
            </w:pPr>
          </w:p>
        </w:tc>
      </w:tr>
      <w:tr w14:paraId="5172D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1896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8DE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电源线</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859F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RVV3*2.5mm²</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C11F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4D85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11.95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187DE7">
            <w:pPr>
              <w:jc w:val="left"/>
              <w:rPr>
                <w:rFonts w:hint="eastAsia" w:ascii="宋体" w:hAnsi="宋体" w:eastAsia="宋体" w:cs="宋体"/>
                <w:i w:val="0"/>
                <w:iCs w:val="0"/>
                <w:color w:val="000000"/>
                <w:sz w:val="18"/>
                <w:szCs w:val="18"/>
                <w:u w:val="none"/>
              </w:rPr>
            </w:pPr>
          </w:p>
        </w:tc>
      </w:tr>
      <w:tr w14:paraId="2885D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4D0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E7D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电源线</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D684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RVV-12*1.5mm² </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9DA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437D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25.98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0CC465">
            <w:pPr>
              <w:jc w:val="left"/>
              <w:rPr>
                <w:rFonts w:hint="eastAsia" w:ascii="宋体" w:hAnsi="宋体" w:eastAsia="宋体" w:cs="宋体"/>
                <w:i w:val="0"/>
                <w:iCs w:val="0"/>
                <w:color w:val="000000"/>
                <w:sz w:val="18"/>
                <w:szCs w:val="18"/>
                <w:u w:val="none"/>
              </w:rPr>
            </w:pPr>
          </w:p>
        </w:tc>
      </w:tr>
      <w:tr w14:paraId="6C49C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32A0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29D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电源线</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4A11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RVV-7*1.5mm² </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1AAB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F896D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24.95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A9604F">
            <w:pPr>
              <w:jc w:val="left"/>
              <w:rPr>
                <w:rFonts w:hint="eastAsia" w:ascii="宋体" w:hAnsi="宋体" w:eastAsia="宋体" w:cs="宋体"/>
                <w:i w:val="0"/>
                <w:iCs w:val="0"/>
                <w:color w:val="000000"/>
                <w:sz w:val="18"/>
                <w:szCs w:val="18"/>
                <w:u w:val="none"/>
              </w:rPr>
            </w:pPr>
          </w:p>
        </w:tc>
      </w:tr>
      <w:tr w14:paraId="5FA32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CB2C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4E0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电源线</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B7E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RVV-4*1.5mm²</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ABE6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DD38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22.96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33081D">
            <w:pPr>
              <w:jc w:val="left"/>
              <w:rPr>
                <w:rFonts w:hint="eastAsia" w:ascii="宋体" w:hAnsi="宋体" w:eastAsia="宋体" w:cs="宋体"/>
                <w:i w:val="0"/>
                <w:iCs w:val="0"/>
                <w:color w:val="000000"/>
                <w:sz w:val="18"/>
                <w:szCs w:val="18"/>
                <w:u w:val="none"/>
              </w:rPr>
            </w:pPr>
          </w:p>
        </w:tc>
      </w:tr>
      <w:tr w14:paraId="2BBB2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9F4E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939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双绞屏蔽控制电缆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29F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RVVSP2*1.0mm²</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6966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87635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6.95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A75824">
            <w:pPr>
              <w:jc w:val="left"/>
              <w:rPr>
                <w:rFonts w:hint="eastAsia" w:ascii="宋体" w:hAnsi="宋体" w:eastAsia="宋体" w:cs="宋体"/>
                <w:i w:val="0"/>
                <w:iCs w:val="0"/>
                <w:color w:val="000000"/>
                <w:sz w:val="18"/>
                <w:szCs w:val="18"/>
                <w:u w:val="none"/>
              </w:rPr>
            </w:pPr>
          </w:p>
        </w:tc>
      </w:tr>
      <w:tr w14:paraId="6121A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03B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A780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双绞屏蔽主控制电缆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385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RVVSP4*1.0mm²</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049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9CD8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11.95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076767">
            <w:pPr>
              <w:jc w:val="left"/>
              <w:rPr>
                <w:rFonts w:hint="eastAsia" w:ascii="宋体" w:hAnsi="宋体" w:eastAsia="宋体" w:cs="宋体"/>
                <w:i w:val="0"/>
                <w:iCs w:val="0"/>
                <w:color w:val="000000"/>
                <w:sz w:val="18"/>
                <w:szCs w:val="18"/>
                <w:u w:val="none"/>
              </w:rPr>
            </w:pPr>
          </w:p>
        </w:tc>
      </w:tr>
      <w:tr w14:paraId="34313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F77C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EFCC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室外网线</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3FB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室外防水超五类非屏蔽网线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符合TIA/EIA-568-C.2和ISO/IEC11801 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带宽：满足150MHz测试符合最新超五类标准；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外径：5.3mm ± 0.2mm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导体：24AWG，0.505mm±0.005mm，实芯裸铜导线；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绝缘层：高密度聚乙烯，绝缘直径：0.88mm±0.03mm；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外护套采用阻燃PVC或LSZH材料；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阻燃等级：CMR，LSZH，CM可选；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最大电容：≤5.6nF/100m；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最大直流电阻：≤9.38Ω/100m；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工作温度：-20℃到70℃</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03B9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2B8D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4.49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D804F2">
            <w:pPr>
              <w:jc w:val="left"/>
              <w:rPr>
                <w:rFonts w:hint="eastAsia" w:ascii="宋体" w:hAnsi="宋体" w:eastAsia="宋体" w:cs="宋体"/>
                <w:i w:val="0"/>
                <w:iCs w:val="0"/>
                <w:color w:val="000000"/>
                <w:sz w:val="18"/>
                <w:szCs w:val="18"/>
                <w:u w:val="none"/>
              </w:rPr>
            </w:pPr>
          </w:p>
        </w:tc>
      </w:tr>
      <w:tr w14:paraId="75F7D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5E49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8F4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室内网线</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817E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六类非屏蔽网线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符合TIA/EIA-568-C.2和ISO/IEC11801 规范对于六类线缆的要求；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线缆中心采用十字骨架；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带宽：满足250MHz测试符合最新六类标准；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外径：6.3mm ± 0.2mm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导体：23AWG，0.57mm±0.005mm、实芯裸铜导线；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绝缘层：高密度聚乙烯，绝缘直径：1.0mm±0.03mm；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外护套采用阻燃PVC或LSZH材料；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阻燃等级：CMR，LSZH，CM可选；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工作温度：-20℃到70℃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最大电容：≤5.6nF/100m；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最大直流电阻：≤9.38Ω/100m；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5D8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F517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5.40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1D3A76">
            <w:pPr>
              <w:jc w:val="left"/>
              <w:rPr>
                <w:rFonts w:hint="eastAsia" w:ascii="宋体" w:hAnsi="宋体" w:eastAsia="宋体" w:cs="宋体"/>
                <w:i w:val="0"/>
                <w:iCs w:val="0"/>
                <w:color w:val="000000"/>
                <w:sz w:val="18"/>
                <w:szCs w:val="18"/>
                <w:u w:val="none"/>
              </w:rPr>
            </w:pPr>
          </w:p>
        </w:tc>
      </w:tr>
      <w:tr w14:paraId="69869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E9F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233E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大屏线缆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E13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HDMI/VGA电缆</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840E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1D63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900.00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8EAF33D">
            <w:pPr>
              <w:jc w:val="left"/>
              <w:rPr>
                <w:rFonts w:hint="eastAsia" w:ascii="宋体" w:hAnsi="宋体" w:eastAsia="宋体" w:cs="宋体"/>
                <w:i w:val="0"/>
                <w:iCs w:val="0"/>
                <w:color w:val="000000"/>
                <w:sz w:val="18"/>
                <w:szCs w:val="18"/>
                <w:u w:val="none"/>
              </w:rPr>
            </w:pPr>
          </w:p>
        </w:tc>
      </w:tr>
      <w:tr w14:paraId="03497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2543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BC1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4芯光缆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82F5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符合YD/T 769、IEC 60793和ISO/IEC11801标准；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中心束管式结构，有很好的机械性能和温度性能；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松套管材料本身具有良好的耐水解性能和较高的强度；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具有极好的抗压、弯曲性和柔软性，更好的避免外界环境侵害；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双面涂塑钢带(PSP)提高光缆的抗透潮能力；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两根平行钢丝保证光缆的抗拉强度；</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0C14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3FF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4.08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3D4E4B">
            <w:pPr>
              <w:jc w:val="left"/>
              <w:rPr>
                <w:rFonts w:hint="eastAsia" w:ascii="宋体" w:hAnsi="宋体" w:eastAsia="宋体" w:cs="宋体"/>
                <w:i w:val="0"/>
                <w:iCs w:val="0"/>
                <w:color w:val="000000"/>
                <w:sz w:val="18"/>
                <w:szCs w:val="18"/>
                <w:u w:val="none"/>
              </w:rPr>
            </w:pPr>
          </w:p>
        </w:tc>
      </w:tr>
      <w:tr w14:paraId="76A55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EC9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B4F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布放尾纤</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0A5F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布放尾纤</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C25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86F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23.80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BF4A1D">
            <w:pPr>
              <w:jc w:val="left"/>
              <w:rPr>
                <w:rFonts w:hint="eastAsia" w:ascii="宋体" w:hAnsi="宋体" w:eastAsia="宋体" w:cs="宋体"/>
                <w:i w:val="0"/>
                <w:iCs w:val="0"/>
                <w:color w:val="000000"/>
                <w:sz w:val="18"/>
                <w:szCs w:val="18"/>
                <w:u w:val="none"/>
              </w:rPr>
            </w:pPr>
          </w:p>
        </w:tc>
      </w:tr>
      <w:tr w14:paraId="24370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C8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FCD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848D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名称：立杆（L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规格：竖壁八棱、热镀锌、喷塑，高6米（230*200*4.0mm），横臂长 5 米（160*100*4.0mm）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462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0F49E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3,560.00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9FEAD2">
            <w:pPr>
              <w:jc w:val="left"/>
              <w:rPr>
                <w:rFonts w:hint="eastAsia" w:ascii="宋体" w:hAnsi="宋体" w:eastAsia="宋体" w:cs="宋体"/>
                <w:i w:val="0"/>
                <w:iCs w:val="0"/>
                <w:color w:val="000000"/>
                <w:sz w:val="18"/>
                <w:szCs w:val="18"/>
                <w:u w:val="none"/>
              </w:rPr>
            </w:pPr>
          </w:p>
        </w:tc>
      </w:tr>
      <w:tr w14:paraId="78D2E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0971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E84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DDB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名称：立杆（L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规格：竖壁八棱、热镀锌、喷塑，高6米（280*240*5.0mm），横臂长 6 米（220*100*4.0mm）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C3CC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738D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4,425.00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1B60F6">
            <w:pPr>
              <w:jc w:val="left"/>
              <w:rPr>
                <w:rFonts w:hint="eastAsia" w:ascii="宋体" w:hAnsi="宋体" w:eastAsia="宋体" w:cs="宋体"/>
                <w:i w:val="0"/>
                <w:iCs w:val="0"/>
                <w:color w:val="000000"/>
                <w:sz w:val="18"/>
                <w:szCs w:val="18"/>
                <w:u w:val="none"/>
              </w:rPr>
            </w:pPr>
          </w:p>
        </w:tc>
      </w:tr>
      <w:tr w14:paraId="1716A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61C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3AB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DC8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名称：立杆（L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规格：竖壁八棱、热镀锌、喷塑，高6米（280*240*6.0mm），横臂长 7 米（226*100*4.0mm）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E2BC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B8E3C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5080</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3FBBB3">
            <w:pPr>
              <w:jc w:val="left"/>
              <w:rPr>
                <w:rFonts w:hint="eastAsia" w:ascii="宋体" w:hAnsi="宋体" w:eastAsia="宋体" w:cs="宋体"/>
                <w:i w:val="0"/>
                <w:iCs w:val="0"/>
                <w:color w:val="000000"/>
                <w:sz w:val="18"/>
                <w:szCs w:val="18"/>
                <w:u w:val="none"/>
              </w:rPr>
            </w:pPr>
          </w:p>
        </w:tc>
      </w:tr>
      <w:tr w14:paraId="4D8A3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F70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E4D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2E5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名称：立杆（L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规格：竖壁八棱、热镀锌、喷塑，高6米（280*240*6.0mm），横臂长 8 米（240*100*4.0mm）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D6CC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8A34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5,880.00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E17046">
            <w:pPr>
              <w:jc w:val="left"/>
              <w:rPr>
                <w:rFonts w:hint="eastAsia" w:ascii="宋体" w:hAnsi="宋体" w:eastAsia="宋体" w:cs="宋体"/>
                <w:i w:val="0"/>
                <w:iCs w:val="0"/>
                <w:color w:val="000000"/>
                <w:sz w:val="18"/>
                <w:szCs w:val="18"/>
                <w:u w:val="none"/>
              </w:rPr>
            </w:pPr>
          </w:p>
        </w:tc>
      </w:tr>
      <w:tr w14:paraId="2D5A8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DA0B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56DD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D04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名称：立杆（L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规格：竖壁八棱、热镀锌、喷塑，高6米（320*280*6.0mm），横臂长 9 米（280*100*5.0mm）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6E8E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90FF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6,650.00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30858D">
            <w:pPr>
              <w:jc w:val="left"/>
              <w:rPr>
                <w:rFonts w:hint="eastAsia" w:ascii="宋体" w:hAnsi="宋体" w:eastAsia="宋体" w:cs="宋体"/>
                <w:i w:val="0"/>
                <w:iCs w:val="0"/>
                <w:color w:val="000000"/>
                <w:sz w:val="18"/>
                <w:szCs w:val="18"/>
                <w:u w:val="none"/>
              </w:rPr>
            </w:pPr>
          </w:p>
        </w:tc>
      </w:tr>
      <w:tr w14:paraId="42215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4378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B1F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522D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名称：立杆（L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规格：竖壁八棱、热镀锌、喷塑，高6米（320*280*6.0mm），横臂长 10 米（280*100*5.0mm）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5E1F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742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8,250.00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A2AE10">
            <w:pPr>
              <w:jc w:val="left"/>
              <w:rPr>
                <w:rFonts w:hint="eastAsia" w:ascii="宋体" w:hAnsi="宋体" w:eastAsia="宋体" w:cs="宋体"/>
                <w:i w:val="0"/>
                <w:iCs w:val="0"/>
                <w:color w:val="000000"/>
                <w:sz w:val="18"/>
                <w:szCs w:val="18"/>
                <w:u w:val="none"/>
              </w:rPr>
            </w:pPr>
          </w:p>
        </w:tc>
      </w:tr>
      <w:tr w14:paraId="5DA91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5D6D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2D9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CAB6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名称：立杆（L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规格：竖壁八棱、热镀锌、喷塑，高6米（360*300*6.0mm），横臂长 11 米（280*100*5.0-4.0mm）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AE3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8978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9,150.00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C7895D">
            <w:pPr>
              <w:jc w:val="left"/>
              <w:rPr>
                <w:rFonts w:hint="eastAsia" w:ascii="宋体" w:hAnsi="宋体" w:eastAsia="宋体" w:cs="宋体"/>
                <w:i w:val="0"/>
                <w:iCs w:val="0"/>
                <w:color w:val="000000"/>
                <w:sz w:val="18"/>
                <w:szCs w:val="18"/>
                <w:u w:val="none"/>
              </w:rPr>
            </w:pPr>
          </w:p>
        </w:tc>
      </w:tr>
      <w:tr w14:paraId="6E98E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2CB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F45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2C6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名称：立杆（L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规格：竖壁八棱、热镀锌、喷塑，高6米（360*300*6.0mm），横臂长 12 米（280*100*5.0-4.0mm）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D794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C3A3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10,080.00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1FB36C">
            <w:pPr>
              <w:jc w:val="left"/>
              <w:rPr>
                <w:rFonts w:hint="eastAsia" w:ascii="宋体" w:hAnsi="宋体" w:eastAsia="宋体" w:cs="宋体"/>
                <w:i w:val="0"/>
                <w:iCs w:val="0"/>
                <w:color w:val="000000"/>
                <w:sz w:val="18"/>
                <w:szCs w:val="18"/>
                <w:u w:val="none"/>
              </w:rPr>
            </w:pPr>
          </w:p>
        </w:tc>
      </w:tr>
      <w:tr w14:paraId="0D2B7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E2A2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57C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AA2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名称：立杆（L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规格：竖壁八棱、热镀锌、喷塑，高6米（360*300*6.0mm），横臂长 13 米（280*100*5.0-4.0mm）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1EEF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B46C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10,980.00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A2F807">
            <w:pPr>
              <w:jc w:val="left"/>
              <w:rPr>
                <w:rFonts w:hint="eastAsia" w:ascii="宋体" w:hAnsi="宋体" w:eastAsia="宋体" w:cs="宋体"/>
                <w:i w:val="0"/>
                <w:iCs w:val="0"/>
                <w:color w:val="000000"/>
                <w:sz w:val="18"/>
                <w:szCs w:val="18"/>
                <w:u w:val="none"/>
              </w:rPr>
            </w:pPr>
          </w:p>
        </w:tc>
      </w:tr>
      <w:tr w14:paraId="54DDC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1CAF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5108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29AA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名称：立杆（L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规格：竖壁八棱、热镀锌、喷塑，高6米（400*340*8.0mm），横臂长 14 米（310*100*6.0-5.0mm）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792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70F5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11,900.00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1986A5">
            <w:pPr>
              <w:jc w:val="left"/>
              <w:rPr>
                <w:rFonts w:hint="eastAsia" w:ascii="宋体" w:hAnsi="宋体" w:eastAsia="宋体" w:cs="宋体"/>
                <w:i w:val="0"/>
                <w:iCs w:val="0"/>
                <w:color w:val="000000"/>
                <w:sz w:val="18"/>
                <w:szCs w:val="18"/>
                <w:u w:val="none"/>
              </w:rPr>
            </w:pPr>
          </w:p>
        </w:tc>
      </w:tr>
      <w:tr w14:paraId="28745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6025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211B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B41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名称：立杆（L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规格：竖壁八棱、热镀锌、喷塑，高6米（450*380*10.0mm），横臂长 15 米（340*100*8.0-5.0mm）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4FD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87AC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12,840.00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72040C">
            <w:pPr>
              <w:jc w:val="left"/>
              <w:rPr>
                <w:rFonts w:hint="eastAsia" w:ascii="宋体" w:hAnsi="宋体" w:eastAsia="宋体" w:cs="宋体"/>
                <w:i w:val="0"/>
                <w:iCs w:val="0"/>
                <w:color w:val="000000"/>
                <w:sz w:val="18"/>
                <w:szCs w:val="18"/>
                <w:u w:val="none"/>
              </w:rPr>
            </w:pPr>
          </w:p>
        </w:tc>
      </w:tr>
      <w:tr w14:paraId="30A50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98E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E0B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C68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名称：立杆（L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规格：竖壁八棱、热镀锌、喷塑，高6米（450*380*10.0mm），横臂长 16 米（340*100*8.0-5.0mm）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A31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52A7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19,900.00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A228CE">
            <w:pPr>
              <w:jc w:val="left"/>
              <w:rPr>
                <w:rFonts w:hint="eastAsia" w:ascii="宋体" w:hAnsi="宋体" w:eastAsia="宋体" w:cs="宋体"/>
                <w:i w:val="0"/>
                <w:iCs w:val="0"/>
                <w:color w:val="000000"/>
                <w:sz w:val="18"/>
                <w:szCs w:val="18"/>
                <w:u w:val="none"/>
              </w:rPr>
            </w:pPr>
          </w:p>
        </w:tc>
      </w:tr>
      <w:tr w14:paraId="7E221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3E43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7D6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8D9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名称：立杆（L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规格：竖壁八棱、热镀锌、喷塑，高6米（450*380*10.0mm），横臂长 17 米（370*100*8.0-5.0mm）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F5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BC4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20,750.00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F65873">
            <w:pPr>
              <w:jc w:val="left"/>
              <w:rPr>
                <w:rFonts w:hint="eastAsia" w:ascii="宋体" w:hAnsi="宋体" w:eastAsia="宋体" w:cs="宋体"/>
                <w:i w:val="0"/>
                <w:iCs w:val="0"/>
                <w:color w:val="000000"/>
                <w:sz w:val="18"/>
                <w:szCs w:val="18"/>
                <w:u w:val="none"/>
              </w:rPr>
            </w:pPr>
          </w:p>
        </w:tc>
      </w:tr>
      <w:tr w14:paraId="1D7F8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5953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7094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68F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名称：立杆（L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规格：竖壁八棱、热镀锌、喷塑，高6米（450*380*10.0mm），横臂长 18 米（370*100*8.0-5.0mm）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41A8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EA2A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22,400.00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2067FC">
            <w:pPr>
              <w:jc w:val="left"/>
              <w:rPr>
                <w:rFonts w:hint="eastAsia" w:ascii="宋体" w:hAnsi="宋体" w:eastAsia="宋体" w:cs="宋体"/>
                <w:i w:val="0"/>
                <w:iCs w:val="0"/>
                <w:color w:val="000000"/>
                <w:sz w:val="18"/>
                <w:szCs w:val="18"/>
                <w:u w:val="none"/>
              </w:rPr>
            </w:pPr>
          </w:p>
        </w:tc>
      </w:tr>
      <w:tr w14:paraId="48BA9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E4F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6F6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B3C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名称：立杆（T型）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规格：竖壁八棱、热镀锌、喷塑，高6米（280*240*6.0mm），横臂长5米(160*100*4.0mm)+3米(160*100*4.0mm)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ED9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D832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5,880.00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28417C">
            <w:pPr>
              <w:jc w:val="left"/>
              <w:rPr>
                <w:rFonts w:hint="eastAsia" w:ascii="宋体" w:hAnsi="宋体" w:eastAsia="宋体" w:cs="宋体"/>
                <w:i w:val="0"/>
                <w:iCs w:val="0"/>
                <w:color w:val="000000"/>
                <w:sz w:val="18"/>
                <w:szCs w:val="18"/>
                <w:u w:val="none"/>
              </w:rPr>
            </w:pPr>
          </w:p>
        </w:tc>
      </w:tr>
      <w:tr w14:paraId="09A6F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FF56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29B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221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名称：立杆（T型）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规格：竖壁八棱、热镀锌、喷塑，高6米（280*240*6.0mm），横臂长7米(226*100*4.0mm)+4米(160*100*4.0mm)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DFE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579F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9,180.00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D1AE74">
            <w:pPr>
              <w:jc w:val="left"/>
              <w:rPr>
                <w:rFonts w:hint="eastAsia" w:ascii="宋体" w:hAnsi="宋体" w:eastAsia="宋体" w:cs="宋体"/>
                <w:i w:val="0"/>
                <w:iCs w:val="0"/>
                <w:color w:val="000000"/>
                <w:sz w:val="18"/>
                <w:szCs w:val="18"/>
                <w:u w:val="none"/>
              </w:rPr>
            </w:pPr>
          </w:p>
        </w:tc>
      </w:tr>
      <w:tr w14:paraId="5F329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B741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2BC9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FE8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名称：立杆（T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规格：竖壁八棱、热镀锌、喷塑，高6米（280*240*6.0mm），横臂长8米(240*100*4.0mm)+3米(160*100*4.0mm)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9A6A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79E7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8,485.00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5BDF76">
            <w:pPr>
              <w:jc w:val="left"/>
              <w:rPr>
                <w:rFonts w:hint="eastAsia" w:ascii="宋体" w:hAnsi="宋体" w:eastAsia="宋体" w:cs="宋体"/>
                <w:i w:val="0"/>
                <w:iCs w:val="0"/>
                <w:color w:val="000000"/>
                <w:sz w:val="18"/>
                <w:szCs w:val="18"/>
                <w:u w:val="none"/>
              </w:rPr>
            </w:pPr>
          </w:p>
        </w:tc>
      </w:tr>
      <w:tr w14:paraId="6332A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9E26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0FCF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B7C5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名称：立杆（T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规格：竖壁八棱、热镀锌、喷塑，高6米（320*280*6.0mm），横臂长10米(280*100*5.0mm)+4米(160*100*4.0mm)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34D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D354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11,900.00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9C06BC">
            <w:pPr>
              <w:jc w:val="left"/>
              <w:rPr>
                <w:rFonts w:hint="eastAsia" w:ascii="宋体" w:hAnsi="宋体" w:eastAsia="宋体" w:cs="宋体"/>
                <w:i w:val="0"/>
                <w:iCs w:val="0"/>
                <w:color w:val="000000"/>
                <w:sz w:val="18"/>
                <w:szCs w:val="18"/>
                <w:u w:val="none"/>
              </w:rPr>
            </w:pPr>
          </w:p>
        </w:tc>
      </w:tr>
      <w:tr w14:paraId="176FA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6E5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2C4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E17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名称：立杆（T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规格：竖壁八棱、热镀锌、喷塑，高6米（360*300*6.0mm），横臂长12米(280*100*6.0+4.0mm)+4米(160*100*4.0mm)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32FF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E1B8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12,840.00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0971D3">
            <w:pPr>
              <w:jc w:val="left"/>
              <w:rPr>
                <w:rFonts w:hint="eastAsia" w:ascii="宋体" w:hAnsi="宋体" w:eastAsia="宋体" w:cs="宋体"/>
                <w:i w:val="0"/>
                <w:iCs w:val="0"/>
                <w:color w:val="000000"/>
                <w:sz w:val="18"/>
                <w:szCs w:val="18"/>
                <w:u w:val="none"/>
              </w:rPr>
            </w:pPr>
          </w:p>
        </w:tc>
      </w:tr>
      <w:tr w14:paraId="24935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860F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85B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1B0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名称：立杆（T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规格：竖壁八棱、热镀锌、喷塑，高6米（400*340*8.0mm），横臂长14米(310*100*6.0+5.0mm)+4米(160*100*4.0mm)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949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77DE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14,500.00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FC357F">
            <w:pPr>
              <w:jc w:val="left"/>
              <w:rPr>
                <w:rFonts w:hint="eastAsia" w:ascii="宋体" w:hAnsi="宋体" w:eastAsia="宋体" w:cs="宋体"/>
                <w:i w:val="0"/>
                <w:iCs w:val="0"/>
                <w:color w:val="000000"/>
                <w:sz w:val="18"/>
                <w:szCs w:val="18"/>
                <w:u w:val="none"/>
              </w:rPr>
            </w:pPr>
          </w:p>
        </w:tc>
      </w:tr>
      <w:tr w14:paraId="1E8EE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291F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EB85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DDC2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名称：立杆（T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规格：竖壁八棱、热镀锌、喷塑，高6米（450*380*10.0mm），横臂长16米(340*100*8.0+5.0mm)+4米(160*100*4.0mm)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049E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7156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16,450.00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4714AA">
            <w:pPr>
              <w:jc w:val="left"/>
              <w:rPr>
                <w:rFonts w:hint="eastAsia" w:ascii="宋体" w:hAnsi="宋体" w:eastAsia="宋体" w:cs="宋体"/>
                <w:i w:val="0"/>
                <w:iCs w:val="0"/>
                <w:color w:val="000000"/>
                <w:sz w:val="18"/>
                <w:szCs w:val="18"/>
                <w:u w:val="none"/>
              </w:rPr>
            </w:pPr>
          </w:p>
        </w:tc>
      </w:tr>
      <w:tr w14:paraId="1D108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1CA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7DA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道路交通信息发布显示屏立杆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6C33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名称：立杆（F 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规格：镀锌、喷塑，高7.5米（273*6.0mm），屏幕外框2504*1928mm;横梁:方矩管100*200*4mm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26A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38E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25,800.00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29EE49">
            <w:pPr>
              <w:jc w:val="left"/>
              <w:rPr>
                <w:rFonts w:hint="eastAsia" w:ascii="宋体" w:hAnsi="宋体" w:eastAsia="宋体" w:cs="宋体"/>
                <w:i w:val="0"/>
                <w:iCs w:val="0"/>
                <w:color w:val="000000"/>
                <w:sz w:val="18"/>
                <w:szCs w:val="18"/>
                <w:u w:val="none"/>
              </w:rPr>
            </w:pPr>
          </w:p>
        </w:tc>
      </w:tr>
      <w:tr w14:paraId="1AD17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6A1C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81A7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警示屏立杆</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805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853F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4E40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3,500.00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15DE0C">
            <w:pPr>
              <w:rPr>
                <w:rFonts w:hint="eastAsia" w:ascii="宋体" w:hAnsi="宋体" w:eastAsia="宋体" w:cs="宋体"/>
                <w:i w:val="0"/>
                <w:iCs w:val="0"/>
                <w:color w:val="000000"/>
                <w:sz w:val="18"/>
                <w:szCs w:val="18"/>
                <w:u w:val="none"/>
              </w:rPr>
            </w:pPr>
          </w:p>
        </w:tc>
      </w:tr>
      <w:tr w14:paraId="2DF1E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DE61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81A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室外防水防雨设备箱</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A77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净空间尺寸：400mm*500mm*600mm，冷轧钢板纯厚度1.2mm，喷塑，防撬、防雨、防尘设计；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采取后下侧进线，与立杆硬连接设计，预防线缆被从连接处盗割；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箱体达到IP54防护等级；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机箱应能适应室外抗高温环境，机箱侧面设计换气百叶窗并做防潮、防尘设计；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安装挂板一个，隔板一个；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机箱大门采用防雨锁，密封性能卓越；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两个散热窗外加装上侧及左右侧封闭，下侧开口的盖板；</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516D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CE330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690.00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91836">
            <w:pPr>
              <w:rPr>
                <w:rFonts w:hint="eastAsia" w:ascii="宋体" w:hAnsi="宋体" w:eastAsia="宋体" w:cs="宋体"/>
                <w:i w:val="0"/>
                <w:iCs w:val="0"/>
                <w:color w:val="000000"/>
                <w:sz w:val="18"/>
                <w:szCs w:val="18"/>
                <w:u w:val="none"/>
              </w:rPr>
            </w:pPr>
          </w:p>
        </w:tc>
      </w:tr>
      <w:tr w14:paraId="5B7F9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B580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CBA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前端接地</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435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定制（防雷接地及避雷针）</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36D9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951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490.00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CD3093">
            <w:pPr>
              <w:jc w:val="left"/>
              <w:rPr>
                <w:rFonts w:hint="eastAsia" w:ascii="宋体" w:hAnsi="宋体" w:eastAsia="宋体" w:cs="宋体"/>
                <w:i w:val="0"/>
                <w:iCs w:val="0"/>
                <w:color w:val="000000"/>
                <w:sz w:val="18"/>
                <w:szCs w:val="18"/>
                <w:u w:val="none"/>
              </w:rPr>
            </w:pPr>
          </w:p>
        </w:tc>
      </w:tr>
      <w:tr w14:paraId="2E835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5FA1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CCD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立杆基础</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3E5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1、基础开挖 2、渣土清运 3、地表原貌恢复 4、C25砼混凝土预制、围挡及安全防护设施等</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B1A4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立方米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4136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1,150.00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828CE4">
            <w:pPr>
              <w:jc w:val="left"/>
              <w:rPr>
                <w:rFonts w:hint="eastAsia" w:ascii="宋体" w:hAnsi="宋体" w:eastAsia="宋体" w:cs="宋体"/>
                <w:i w:val="0"/>
                <w:iCs w:val="0"/>
                <w:color w:val="000000"/>
                <w:sz w:val="18"/>
                <w:szCs w:val="18"/>
                <w:u w:val="none"/>
              </w:rPr>
            </w:pPr>
          </w:p>
        </w:tc>
      </w:tr>
      <w:tr w14:paraId="0AFA8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17DB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524A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水泥窨井</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747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使用600*600水泥井盖进行砌筑（挖坑+砖/水泥砌筑+井盖）</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CBC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0CAC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558.00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446FDF2">
            <w:pPr>
              <w:jc w:val="left"/>
              <w:rPr>
                <w:rFonts w:hint="eastAsia" w:ascii="宋体" w:hAnsi="宋体" w:eastAsia="宋体" w:cs="宋体"/>
                <w:i w:val="0"/>
                <w:iCs w:val="0"/>
                <w:color w:val="000000"/>
                <w:sz w:val="18"/>
                <w:szCs w:val="18"/>
                <w:u w:val="none"/>
              </w:rPr>
            </w:pPr>
          </w:p>
        </w:tc>
      </w:tr>
      <w:tr w14:paraId="254EF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13DF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6012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水泥路面恢复</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8E2A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水泥或大理石路面，按0.5米宽计算</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024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61FE5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89.00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138C21">
            <w:pPr>
              <w:jc w:val="left"/>
              <w:rPr>
                <w:rFonts w:hint="eastAsia" w:ascii="宋体" w:hAnsi="宋体" w:eastAsia="宋体" w:cs="宋体"/>
                <w:i w:val="0"/>
                <w:iCs w:val="0"/>
                <w:color w:val="000000"/>
                <w:sz w:val="18"/>
                <w:szCs w:val="18"/>
                <w:u w:val="none"/>
              </w:rPr>
            </w:pPr>
          </w:p>
        </w:tc>
      </w:tr>
      <w:tr w14:paraId="17F17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9E14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8867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人行地板砖恢复</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35B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人行地砖，按 0.5 宽计算</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27F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747A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514DB7">
            <w:pPr>
              <w:jc w:val="left"/>
              <w:rPr>
                <w:rFonts w:hint="eastAsia" w:ascii="宋体" w:hAnsi="宋体" w:eastAsia="宋体" w:cs="宋体"/>
                <w:i w:val="0"/>
                <w:iCs w:val="0"/>
                <w:color w:val="000000"/>
                <w:sz w:val="18"/>
                <w:szCs w:val="18"/>
                <w:u w:val="none"/>
              </w:rPr>
            </w:pPr>
          </w:p>
        </w:tc>
      </w:tr>
      <w:tr w14:paraId="13B12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6859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1920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水泥路面管道敷设（顶管/破路）</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2CB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¢40的PE管</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883F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191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93.50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108595">
            <w:pPr>
              <w:jc w:val="left"/>
              <w:rPr>
                <w:rFonts w:hint="eastAsia" w:ascii="宋体" w:hAnsi="宋体" w:eastAsia="宋体" w:cs="宋体"/>
                <w:i w:val="0"/>
                <w:iCs w:val="0"/>
                <w:color w:val="000000"/>
                <w:sz w:val="18"/>
                <w:szCs w:val="18"/>
                <w:u w:val="none"/>
              </w:rPr>
            </w:pPr>
          </w:p>
        </w:tc>
      </w:tr>
      <w:tr w14:paraId="2C3E2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8F5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699E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非水泥路面管道敷设/架空钢缆敷设</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2B6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非水泥路面管道敷设/架空钢缆敷设</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3D5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6B61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42.00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3A37D6">
            <w:pPr>
              <w:jc w:val="left"/>
              <w:rPr>
                <w:rFonts w:hint="eastAsia" w:ascii="宋体" w:hAnsi="宋体" w:eastAsia="宋体" w:cs="宋体"/>
                <w:i w:val="0"/>
                <w:iCs w:val="0"/>
                <w:color w:val="000000"/>
                <w:sz w:val="18"/>
                <w:szCs w:val="18"/>
                <w:u w:val="none"/>
              </w:rPr>
            </w:pPr>
          </w:p>
        </w:tc>
      </w:tr>
      <w:tr w14:paraId="46BFE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901D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FE2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杆件拆除</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F2F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φ114≤竖杆直径＜φ200的杆件，需机械辅助的（含杆上设备拆除、吊车费、运输费）；</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95F2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C2C2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745.00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095A61">
            <w:pPr>
              <w:jc w:val="left"/>
              <w:rPr>
                <w:rFonts w:hint="eastAsia" w:ascii="宋体" w:hAnsi="宋体" w:eastAsia="宋体" w:cs="宋体"/>
                <w:i w:val="0"/>
                <w:iCs w:val="0"/>
                <w:color w:val="000000"/>
                <w:sz w:val="18"/>
                <w:szCs w:val="18"/>
                <w:u w:val="none"/>
              </w:rPr>
            </w:pPr>
          </w:p>
        </w:tc>
      </w:tr>
      <w:tr w14:paraId="31D44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776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998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杆件拆除</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264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φ200≤竖杆直径＜φ240的杆件，需机械辅助的（含杆上设备拆除、吊车费、运输费）；</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1B9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949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938.00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3B84E9">
            <w:pPr>
              <w:jc w:val="left"/>
              <w:rPr>
                <w:rFonts w:hint="eastAsia" w:ascii="宋体" w:hAnsi="宋体" w:eastAsia="宋体" w:cs="宋体"/>
                <w:i w:val="0"/>
                <w:iCs w:val="0"/>
                <w:color w:val="000000"/>
                <w:sz w:val="18"/>
                <w:szCs w:val="18"/>
                <w:u w:val="none"/>
              </w:rPr>
            </w:pPr>
          </w:p>
        </w:tc>
      </w:tr>
      <w:tr w14:paraId="65F2F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978B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C3B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杆件拆除</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7B3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φ240≤竖杆直径＜φ300的杆件，需机械辅助的（含杆上设备拆除、吊车费、运输费）；</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7566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FCBB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1,220.00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852457">
            <w:pPr>
              <w:jc w:val="left"/>
              <w:rPr>
                <w:rFonts w:hint="eastAsia" w:ascii="宋体" w:hAnsi="宋体" w:eastAsia="宋体" w:cs="宋体"/>
                <w:i w:val="0"/>
                <w:iCs w:val="0"/>
                <w:color w:val="000000"/>
                <w:sz w:val="18"/>
                <w:szCs w:val="18"/>
                <w:u w:val="none"/>
              </w:rPr>
            </w:pPr>
          </w:p>
        </w:tc>
      </w:tr>
      <w:tr w14:paraId="4E281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C6E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159D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杆件拆除</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FD7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φ300≤竖杆直径＜φ380的杆件，需机械辅助的（含杆上设备拆除、吊车费、运输费）；</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1FC0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A006C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1,580.00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756E9A">
            <w:pPr>
              <w:jc w:val="left"/>
              <w:rPr>
                <w:rFonts w:hint="eastAsia" w:ascii="宋体" w:hAnsi="宋体" w:eastAsia="宋体" w:cs="宋体"/>
                <w:i w:val="0"/>
                <w:iCs w:val="0"/>
                <w:color w:val="000000"/>
                <w:sz w:val="18"/>
                <w:szCs w:val="18"/>
                <w:u w:val="none"/>
              </w:rPr>
            </w:pPr>
          </w:p>
        </w:tc>
      </w:tr>
      <w:tr w14:paraId="081F4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A17C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3F02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设备拆除</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A24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保护性拆除频闪灯/闪光灯/摄像机/配电箱/雷达等设备，需机械辅助的（含升降车费）；</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1BE7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85C7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138.00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ED5D46">
            <w:pPr>
              <w:jc w:val="left"/>
              <w:rPr>
                <w:rFonts w:hint="eastAsia" w:ascii="宋体" w:hAnsi="宋体" w:eastAsia="宋体" w:cs="宋体"/>
                <w:i w:val="0"/>
                <w:iCs w:val="0"/>
                <w:color w:val="000000"/>
                <w:sz w:val="18"/>
                <w:szCs w:val="18"/>
                <w:u w:val="none"/>
              </w:rPr>
            </w:pPr>
          </w:p>
        </w:tc>
      </w:tr>
      <w:tr w14:paraId="42E86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4BC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5D9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架空钢缆敷设</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3B0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架设高度不低于6米</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F72C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7A2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42.00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5FE1B6">
            <w:pPr>
              <w:jc w:val="left"/>
              <w:rPr>
                <w:rFonts w:hint="eastAsia" w:ascii="宋体" w:hAnsi="宋体" w:eastAsia="宋体" w:cs="宋体"/>
                <w:i w:val="0"/>
                <w:iCs w:val="0"/>
                <w:color w:val="000000"/>
                <w:sz w:val="18"/>
                <w:szCs w:val="18"/>
                <w:u w:val="none"/>
              </w:rPr>
            </w:pPr>
          </w:p>
        </w:tc>
      </w:tr>
      <w:tr w14:paraId="14004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18B9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66F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顶管</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FCFD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顶管费用</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7F1C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77AA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144.00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A37CA8">
            <w:pPr>
              <w:jc w:val="left"/>
              <w:rPr>
                <w:rFonts w:hint="eastAsia" w:ascii="宋体" w:hAnsi="宋体" w:eastAsia="宋体" w:cs="宋体"/>
                <w:i w:val="0"/>
                <w:iCs w:val="0"/>
                <w:color w:val="000000"/>
                <w:sz w:val="18"/>
                <w:szCs w:val="18"/>
                <w:u w:val="none"/>
              </w:rPr>
            </w:pPr>
          </w:p>
        </w:tc>
      </w:tr>
      <w:tr w14:paraId="069E2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2588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4E9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护管</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9C9C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C25混凝土，护管厚度15cm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591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FCE5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38972C">
            <w:pPr>
              <w:jc w:val="left"/>
              <w:rPr>
                <w:rFonts w:hint="eastAsia" w:ascii="宋体" w:hAnsi="宋体" w:eastAsia="宋体" w:cs="宋体"/>
                <w:i w:val="0"/>
                <w:iCs w:val="0"/>
                <w:color w:val="000000"/>
                <w:sz w:val="18"/>
                <w:szCs w:val="18"/>
                <w:u w:val="none"/>
              </w:rPr>
            </w:pPr>
          </w:p>
        </w:tc>
      </w:tr>
      <w:tr w14:paraId="53C94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124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9D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信号灯网络服务费</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7CF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100兆数据传输线路，具有独立IP地址，专线建设符合国际电信级运营标准，监控点位*元/年/点</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DE8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年/点</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60AF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1,692.00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9A72DB">
            <w:pPr>
              <w:jc w:val="left"/>
              <w:rPr>
                <w:rFonts w:hint="eastAsia" w:ascii="宋体" w:hAnsi="宋体" w:eastAsia="宋体" w:cs="宋体"/>
                <w:i w:val="0"/>
                <w:iCs w:val="0"/>
                <w:color w:val="000000"/>
                <w:sz w:val="18"/>
                <w:szCs w:val="18"/>
                <w:u w:val="none"/>
              </w:rPr>
            </w:pPr>
          </w:p>
        </w:tc>
      </w:tr>
      <w:tr w14:paraId="045C6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C02E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7F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电子警察网络服务费</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D85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1000兆数据传输线路，具有独立IP地址，专线建设符合国际电信级运营标准，监控点位*元/年/点</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21D8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年/点</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AB9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3,268.00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F2589C">
            <w:pPr>
              <w:jc w:val="left"/>
              <w:rPr>
                <w:rFonts w:hint="eastAsia" w:ascii="宋体" w:hAnsi="宋体" w:eastAsia="宋体" w:cs="宋体"/>
                <w:i w:val="0"/>
                <w:iCs w:val="0"/>
                <w:color w:val="000000"/>
                <w:sz w:val="18"/>
                <w:szCs w:val="18"/>
                <w:u w:val="none"/>
              </w:rPr>
            </w:pPr>
          </w:p>
        </w:tc>
      </w:tr>
      <w:tr w14:paraId="098D8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7891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800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网络接入调试服务费</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DA1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限第三方设备接入服务</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6D1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路口</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765D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FA7437">
            <w:pPr>
              <w:jc w:val="left"/>
              <w:rPr>
                <w:rFonts w:hint="eastAsia" w:ascii="宋体" w:hAnsi="宋体" w:eastAsia="宋体" w:cs="宋体"/>
                <w:i w:val="0"/>
                <w:iCs w:val="0"/>
                <w:color w:val="000000"/>
                <w:sz w:val="18"/>
                <w:szCs w:val="18"/>
                <w:u w:val="none"/>
              </w:rPr>
            </w:pPr>
          </w:p>
        </w:tc>
      </w:tr>
      <w:tr w14:paraId="58ABD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ED74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8E7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光纤熔接费</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A502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光纤熔接费</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72D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C0F74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1D456E">
            <w:pPr>
              <w:jc w:val="left"/>
              <w:rPr>
                <w:rFonts w:hint="eastAsia" w:ascii="宋体" w:hAnsi="宋体" w:eastAsia="宋体" w:cs="宋体"/>
                <w:i w:val="0"/>
                <w:iCs w:val="0"/>
                <w:color w:val="000000"/>
                <w:sz w:val="18"/>
                <w:szCs w:val="18"/>
                <w:u w:val="none"/>
              </w:rPr>
            </w:pPr>
          </w:p>
        </w:tc>
      </w:tr>
      <w:tr w14:paraId="40ECB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9838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C5C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电子警察供电费</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2EA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电子警察供电费（取电由乙方挂表情况）</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4EF6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度</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0116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1.33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C5BC7F6">
            <w:pPr>
              <w:jc w:val="left"/>
              <w:rPr>
                <w:rFonts w:hint="eastAsia" w:ascii="宋体" w:hAnsi="宋体" w:eastAsia="宋体" w:cs="宋体"/>
                <w:i w:val="0"/>
                <w:iCs w:val="0"/>
                <w:color w:val="000000"/>
                <w:sz w:val="18"/>
                <w:szCs w:val="18"/>
                <w:u w:val="none"/>
              </w:rPr>
            </w:pPr>
          </w:p>
        </w:tc>
      </w:tr>
      <w:tr w14:paraId="0E875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139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B65B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违章图片自动录入系统每年升级许可</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16A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自动查询车籍档案、自动录入机动车违章图片、录入信息监督管理，系统使用需随公安网升级而升级更新。</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7261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FDC25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B37CCD">
            <w:pPr>
              <w:jc w:val="left"/>
              <w:rPr>
                <w:rFonts w:hint="eastAsia" w:ascii="宋体" w:hAnsi="宋体" w:eastAsia="宋体" w:cs="宋体"/>
                <w:i w:val="0"/>
                <w:iCs w:val="0"/>
                <w:color w:val="000000"/>
                <w:sz w:val="18"/>
                <w:szCs w:val="18"/>
                <w:u w:val="none"/>
              </w:rPr>
            </w:pPr>
          </w:p>
        </w:tc>
      </w:tr>
      <w:tr w14:paraId="2D550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9A07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8EF7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车辆云分析系统升级许可</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715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车辆云分析系统升级服务许可；</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2E7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82D8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28,500.00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809657">
            <w:pPr>
              <w:jc w:val="left"/>
              <w:rPr>
                <w:rFonts w:hint="eastAsia" w:ascii="宋体" w:hAnsi="宋体" w:eastAsia="宋体" w:cs="宋体"/>
                <w:i w:val="0"/>
                <w:iCs w:val="0"/>
                <w:color w:val="000000"/>
                <w:sz w:val="18"/>
                <w:szCs w:val="18"/>
                <w:u w:val="none"/>
              </w:rPr>
            </w:pPr>
          </w:p>
        </w:tc>
      </w:tr>
      <w:tr w14:paraId="01F46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428C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D3A5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图片二次分析系统升级许可</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EDB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图片二次分析系统升级服务许可；</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39C6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CAECF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17,600.00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58F780">
            <w:pPr>
              <w:jc w:val="left"/>
              <w:rPr>
                <w:rFonts w:hint="eastAsia" w:ascii="宋体" w:hAnsi="宋体" w:eastAsia="宋体" w:cs="宋体"/>
                <w:i w:val="0"/>
                <w:iCs w:val="0"/>
                <w:color w:val="000000"/>
                <w:sz w:val="18"/>
                <w:szCs w:val="18"/>
                <w:u w:val="none"/>
              </w:rPr>
            </w:pPr>
          </w:p>
        </w:tc>
      </w:tr>
      <w:tr w14:paraId="157D6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4CB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D0E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维护人工费</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68D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含每人的工资、社保、奖金、福利、食宿等费用</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72A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元/月/人</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8B5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6,767.00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F36E10">
            <w:pPr>
              <w:jc w:val="left"/>
              <w:rPr>
                <w:rFonts w:hint="eastAsia" w:ascii="宋体" w:hAnsi="宋体" w:eastAsia="宋体" w:cs="宋体"/>
                <w:i w:val="0"/>
                <w:iCs w:val="0"/>
                <w:color w:val="000000"/>
                <w:sz w:val="18"/>
                <w:szCs w:val="18"/>
                <w:u w:val="none"/>
              </w:rPr>
            </w:pPr>
          </w:p>
        </w:tc>
      </w:tr>
      <w:tr w14:paraId="73CEB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CE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6B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车辆燃油费</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B8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包含每辆升降车每月燃油费、车辆保险费、车辆折旧等</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71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月/车</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3D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2,990.00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0B086">
            <w:pPr>
              <w:jc w:val="left"/>
              <w:rPr>
                <w:rFonts w:hint="eastAsia" w:ascii="宋体" w:hAnsi="宋体" w:eastAsia="宋体" w:cs="宋体"/>
                <w:i w:val="0"/>
                <w:iCs w:val="0"/>
                <w:color w:val="000000"/>
                <w:sz w:val="18"/>
                <w:szCs w:val="18"/>
                <w:u w:val="none"/>
              </w:rPr>
            </w:pPr>
          </w:p>
        </w:tc>
      </w:tr>
      <w:tr w14:paraId="71D0A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F95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D2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车辆维修费</w:t>
            </w:r>
          </w:p>
        </w:tc>
        <w:tc>
          <w:tcPr>
            <w:tcW w:w="4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22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每辆车全年维修保养等费用（因车辆违章或交通事故产生损失和费用由乙方负责）</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1B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年/车</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25D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3,990.00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6A20E">
            <w:pPr>
              <w:jc w:val="left"/>
              <w:rPr>
                <w:rFonts w:hint="eastAsia" w:ascii="宋体" w:hAnsi="宋体" w:eastAsia="宋体" w:cs="宋体"/>
                <w:i w:val="0"/>
                <w:iCs w:val="0"/>
                <w:color w:val="000000"/>
                <w:sz w:val="18"/>
                <w:szCs w:val="18"/>
                <w:u w:val="none"/>
              </w:rPr>
            </w:pPr>
          </w:p>
        </w:tc>
      </w:tr>
      <w:tr w14:paraId="05B05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DE6E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723F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交通技术监控镜头</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3EA0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交通技术监控镜头</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693A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84BD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3,785.00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C38F3">
            <w:pPr>
              <w:rPr>
                <w:rFonts w:hint="eastAsia" w:ascii="宋体" w:hAnsi="宋体" w:eastAsia="宋体" w:cs="宋体"/>
                <w:i w:val="0"/>
                <w:iCs w:val="0"/>
                <w:color w:val="000000"/>
                <w:sz w:val="18"/>
                <w:szCs w:val="18"/>
                <w:u w:val="none"/>
              </w:rPr>
            </w:pPr>
          </w:p>
        </w:tc>
      </w:tr>
      <w:tr w14:paraId="00A63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3530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6B0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核心交换机业务板1</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CDC6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24口千兆电口板</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2A5D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83E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7,000.00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6763B">
            <w:pPr>
              <w:rPr>
                <w:rFonts w:hint="eastAsia" w:ascii="宋体" w:hAnsi="宋体" w:eastAsia="宋体" w:cs="宋体"/>
                <w:i w:val="0"/>
                <w:iCs w:val="0"/>
                <w:color w:val="000000"/>
                <w:sz w:val="18"/>
                <w:szCs w:val="18"/>
                <w:u w:val="none"/>
              </w:rPr>
            </w:pPr>
          </w:p>
        </w:tc>
      </w:tr>
      <w:tr w14:paraId="0F971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AA58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A19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核心交换机业务板2</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5488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16口万兆光口板</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C52A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3B1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14,000.00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1C5293">
            <w:pPr>
              <w:jc w:val="left"/>
              <w:rPr>
                <w:rFonts w:hint="eastAsia" w:ascii="宋体" w:hAnsi="宋体" w:eastAsia="宋体" w:cs="宋体"/>
                <w:i w:val="0"/>
                <w:iCs w:val="0"/>
                <w:color w:val="000000"/>
                <w:sz w:val="18"/>
                <w:szCs w:val="18"/>
                <w:u w:val="none"/>
              </w:rPr>
            </w:pPr>
          </w:p>
        </w:tc>
      </w:tr>
      <w:tr w14:paraId="482CC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2A10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8BC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光模块</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49A0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多模双纤万兆模块</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11E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1E15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BB55B6">
            <w:pPr>
              <w:jc w:val="left"/>
              <w:rPr>
                <w:rFonts w:hint="eastAsia" w:ascii="宋体" w:hAnsi="宋体" w:eastAsia="宋体" w:cs="宋体"/>
                <w:i w:val="0"/>
                <w:iCs w:val="0"/>
                <w:color w:val="000000"/>
                <w:sz w:val="18"/>
                <w:szCs w:val="18"/>
                <w:u w:val="none"/>
              </w:rPr>
            </w:pPr>
          </w:p>
        </w:tc>
      </w:tr>
      <w:tr w14:paraId="537DB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4420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1692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电池架（柜）</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277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32个电池位</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9EC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8AF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1,160.00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899D03">
            <w:pPr>
              <w:jc w:val="left"/>
              <w:rPr>
                <w:rFonts w:hint="eastAsia" w:ascii="宋体" w:hAnsi="宋体" w:eastAsia="宋体" w:cs="宋体"/>
                <w:i w:val="0"/>
                <w:iCs w:val="0"/>
                <w:color w:val="000000"/>
                <w:sz w:val="18"/>
                <w:szCs w:val="18"/>
                <w:u w:val="none"/>
              </w:rPr>
            </w:pPr>
          </w:p>
        </w:tc>
      </w:tr>
      <w:tr w14:paraId="5D912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7782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DCE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蓄电池</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7E8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12V/100AH</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E472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节</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795D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BCB409">
            <w:pPr>
              <w:jc w:val="left"/>
              <w:rPr>
                <w:rFonts w:hint="eastAsia" w:ascii="宋体" w:hAnsi="宋体" w:eastAsia="宋体" w:cs="宋体"/>
                <w:i w:val="0"/>
                <w:iCs w:val="0"/>
                <w:color w:val="000000"/>
                <w:sz w:val="18"/>
                <w:szCs w:val="18"/>
                <w:u w:val="none"/>
              </w:rPr>
            </w:pPr>
          </w:p>
        </w:tc>
      </w:tr>
      <w:tr w14:paraId="6A3D0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2597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2D3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电池连接铜排</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BA0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电池连接铜排</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7E41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6E9B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165.00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9C20D4">
            <w:pPr>
              <w:jc w:val="left"/>
              <w:rPr>
                <w:rFonts w:hint="eastAsia" w:ascii="宋体" w:hAnsi="宋体" w:eastAsia="宋体" w:cs="宋体"/>
                <w:i w:val="0"/>
                <w:iCs w:val="0"/>
                <w:color w:val="000000"/>
                <w:sz w:val="18"/>
                <w:szCs w:val="18"/>
                <w:u w:val="none"/>
              </w:rPr>
            </w:pPr>
          </w:p>
        </w:tc>
      </w:tr>
      <w:tr w14:paraId="52201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EE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D2CF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UPS电池开关盒</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F57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F084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D8B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7,600.00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5D150">
            <w:pPr>
              <w:rPr>
                <w:rFonts w:hint="eastAsia" w:ascii="宋体" w:hAnsi="宋体" w:eastAsia="宋体" w:cs="宋体"/>
                <w:i w:val="0"/>
                <w:iCs w:val="0"/>
                <w:color w:val="000000"/>
                <w:sz w:val="18"/>
                <w:szCs w:val="18"/>
                <w:u w:val="none"/>
              </w:rPr>
            </w:pPr>
          </w:p>
        </w:tc>
      </w:tr>
      <w:tr w14:paraId="46444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6987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4D44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KVM四合一套件</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E7DF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适当的键盘、鼠标、显示器的配置，实现系统和网络的集中管理；提高系统的可管理性，提高系统管理员的工作效率；节约机房的面积，降低网络工程和服务器系统的总体拥有成本；避免使用多显示器产生的辐射，营建健康环保的机房；</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760A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22F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4,000.00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94E83">
            <w:pPr>
              <w:rPr>
                <w:rFonts w:hint="eastAsia" w:ascii="宋体" w:hAnsi="宋体" w:eastAsia="宋体" w:cs="宋体"/>
                <w:i w:val="0"/>
                <w:iCs w:val="0"/>
                <w:color w:val="000000"/>
                <w:sz w:val="18"/>
                <w:szCs w:val="18"/>
                <w:u w:val="none"/>
              </w:rPr>
            </w:pPr>
          </w:p>
        </w:tc>
      </w:tr>
      <w:tr w14:paraId="3AC7A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44CA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B27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ODF架</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FE6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ODF架</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2D53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11A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6,750.00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B90A3A">
            <w:pPr>
              <w:rPr>
                <w:rFonts w:hint="eastAsia" w:ascii="宋体" w:hAnsi="宋体" w:eastAsia="宋体" w:cs="宋体"/>
                <w:i w:val="0"/>
                <w:iCs w:val="0"/>
                <w:color w:val="000000"/>
                <w:sz w:val="18"/>
                <w:szCs w:val="18"/>
                <w:u w:val="none"/>
              </w:rPr>
            </w:pPr>
          </w:p>
        </w:tc>
      </w:tr>
      <w:tr w14:paraId="2B77D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408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C5F0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294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PE管敷设，直径50mm--100mm；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8727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B289E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38.00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9904F">
            <w:pPr>
              <w:rPr>
                <w:rFonts w:hint="eastAsia" w:ascii="宋体" w:hAnsi="宋体" w:eastAsia="宋体" w:cs="宋体"/>
                <w:i w:val="0"/>
                <w:iCs w:val="0"/>
                <w:color w:val="000000"/>
                <w:sz w:val="18"/>
                <w:szCs w:val="18"/>
                <w:u w:val="none"/>
              </w:rPr>
            </w:pPr>
          </w:p>
        </w:tc>
      </w:tr>
      <w:tr w14:paraId="57201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808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8066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PVC穿线管</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8E2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DN32</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F8E1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1D97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969A98">
            <w:pPr>
              <w:jc w:val="left"/>
              <w:rPr>
                <w:rFonts w:hint="eastAsia" w:ascii="宋体" w:hAnsi="宋体" w:eastAsia="宋体" w:cs="宋体"/>
                <w:i w:val="0"/>
                <w:iCs w:val="0"/>
                <w:color w:val="000000"/>
                <w:sz w:val="18"/>
                <w:szCs w:val="18"/>
                <w:u w:val="none"/>
              </w:rPr>
            </w:pPr>
          </w:p>
        </w:tc>
      </w:tr>
      <w:tr w14:paraId="751CF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208B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630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水泥井盖</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2A34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水泥600*600井盖</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2860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EE4B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215.00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21758E">
            <w:pPr>
              <w:jc w:val="left"/>
              <w:rPr>
                <w:rFonts w:hint="eastAsia" w:ascii="宋体" w:hAnsi="宋体" w:eastAsia="宋体" w:cs="宋体"/>
                <w:i w:val="0"/>
                <w:iCs w:val="0"/>
                <w:color w:val="000000"/>
                <w:sz w:val="18"/>
                <w:szCs w:val="18"/>
                <w:u w:val="none"/>
              </w:rPr>
            </w:pPr>
          </w:p>
        </w:tc>
      </w:tr>
      <w:tr w14:paraId="3B240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9A2C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57C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水晶头</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BA2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符合UL94V-0的高强度PC材料；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三插式针脚并配有固定线芯架；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插拔≥750次后，依然保证性能稳定；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运行温度：-30℃至60℃；</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6A1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A8A1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0.90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0AF2D">
            <w:pPr>
              <w:rPr>
                <w:rFonts w:hint="eastAsia" w:ascii="宋体" w:hAnsi="宋体" w:eastAsia="宋体" w:cs="宋体"/>
                <w:i w:val="0"/>
                <w:iCs w:val="0"/>
                <w:color w:val="000000"/>
                <w:sz w:val="18"/>
                <w:szCs w:val="18"/>
                <w:u w:val="none"/>
              </w:rPr>
            </w:pPr>
          </w:p>
        </w:tc>
      </w:tr>
      <w:tr w14:paraId="593E1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B26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FBE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支架</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31F0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卡口、电警三维万向节支架</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9C65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8E8B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74.00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E83EE4">
            <w:pPr>
              <w:jc w:val="left"/>
              <w:rPr>
                <w:rFonts w:hint="eastAsia" w:ascii="宋体" w:hAnsi="宋体" w:eastAsia="宋体" w:cs="宋体"/>
                <w:i w:val="0"/>
                <w:iCs w:val="0"/>
                <w:color w:val="000000"/>
                <w:sz w:val="18"/>
                <w:szCs w:val="18"/>
                <w:u w:val="none"/>
              </w:rPr>
            </w:pPr>
          </w:p>
        </w:tc>
      </w:tr>
      <w:tr w14:paraId="34C46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D530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3AD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相机支架固定支架</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C439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万向节及抓拍单元固定</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6060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8B9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178.00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7C38BB">
            <w:pPr>
              <w:jc w:val="left"/>
              <w:rPr>
                <w:rFonts w:hint="eastAsia" w:ascii="宋体" w:hAnsi="宋体" w:eastAsia="宋体" w:cs="宋体"/>
                <w:i w:val="0"/>
                <w:iCs w:val="0"/>
                <w:color w:val="000000"/>
                <w:sz w:val="18"/>
                <w:szCs w:val="18"/>
                <w:u w:val="none"/>
              </w:rPr>
            </w:pPr>
          </w:p>
        </w:tc>
      </w:tr>
      <w:tr w14:paraId="1F234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2D3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79C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抱箍</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F021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0-300mm</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73CD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288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12.60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48FBA9">
            <w:pPr>
              <w:jc w:val="left"/>
              <w:rPr>
                <w:rFonts w:hint="eastAsia" w:ascii="宋体" w:hAnsi="宋体" w:eastAsia="宋体" w:cs="宋体"/>
                <w:i w:val="0"/>
                <w:iCs w:val="0"/>
                <w:color w:val="000000"/>
                <w:sz w:val="18"/>
                <w:szCs w:val="18"/>
                <w:u w:val="none"/>
              </w:rPr>
            </w:pPr>
          </w:p>
        </w:tc>
      </w:tr>
      <w:tr w14:paraId="7F650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3AB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774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摄像机电源</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E7C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DC12V5A</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4E1C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229D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FD2D32">
            <w:pPr>
              <w:jc w:val="left"/>
              <w:rPr>
                <w:rFonts w:hint="eastAsia" w:ascii="宋体" w:hAnsi="宋体" w:eastAsia="宋体" w:cs="宋体"/>
                <w:i w:val="0"/>
                <w:iCs w:val="0"/>
                <w:color w:val="000000"/>
                <w:sz w:val="18"/>
                <w:szCs w:val="18"/>
                <w:u w:val="none"/>
              </w:rPr>
            </w:pPr>
          </w:p>
        </w:tc>
      </w:tr>
      <w:tr w14:paraId="7FC35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AF8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D15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球机电源</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195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24V交流电源</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A856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27851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230683">
            <w:pPr>
              <w:jc w:val="left"/>
              <w:rPr>
                <w:rFonts w:hint="eastAsia" w:ascii="宋体" w:hAnsi="宋体" w:eastAsia="宋体" w:cs="宋体"/>
                <w:i w:val="0"/>
                <w:iCs w:val="0"/>
                <w:color w:val="000000"/>
                <w:sz w:val="18"/>
                <w:szCs w:val="18"/>
                <w:u w:val="none"/>
              </w:rPr>
            </w:pPr>
          </w:p>
        </w:tc>
      </w:tr>
      <w:tr w14:paraId="5FA6C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E07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6C9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空开</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4021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2P16A</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CC72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DF9F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5BBBE4">
            <w:pPr>
              <w:jc w:val="left"/>
              <w:rPr>
                <w:rFonts w:hint="eastAsia" w:ascii="宋体" w:hAnsi="宋体" w:eastAsia="宋体" w:cs="宋体"/>
                <w:i w:val="0"/>
                <w:iCs w:val="0"/>
                <w:color w:val="000000"/>
                <w:sz w:val="18"/>
                <w:szCs w:val="18"/>
                <w:u w:val="none"/>
              </w:rPr>
            </w:pPr>
          </w:p>
        </w:tc>
      </w:tr>
      <w:tr w14:paraId="67701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7834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3E0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电池直流空开</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407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4P150A(UPS用）</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EE8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BF0E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205.00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D6480A">
            <w:pPr>
              <w:jc w:val="left"/>
              <w:rPr>
                <w:rFonts w:hint="eastAsia" w:ascii="宋体" w:hAnsi="宋体" w:eastAsia="宋体" w:cs="宋体"/>
                <w:i w:val="0"/>
                <w:iCs w:val="0"/>
                <w:color w:val="000000"/>
                <w:sz w:val="18"/>
                <w:szCs w:val="18"/>
                <w:u w:val="none"/>
              </w:rPr>
            </w:pPr>
          </w:p>
        </w:tc>
      </w:tr>
      <w:tr w14:paraId="4A5D6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5D3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F410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插排、插板</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BD1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12孔插排插板</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B763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A8BB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5E2FA9">
            <w:pPr>
              <w:jc w:val="left"/>
              <w:rPr>
                <w:rFonts w:hint="eastAsia" w:ascii="宋体" w:hAnsi="宋体" w:eastAsia="宋体" w:cs="宋体"/>
                <w:i w:val="0"/>
                <w:iCs w:val="0"/>
                <w:color w:val="000000"/>
                <w:sz w:val="18"/>
                <w:szCs w:val="18"/>
                <w:u w:val="none"/>
              </w:rPr>
            </w:pPr>
          </w:p>
        </w:tc>
      </w:tr>
      <w:tr w14:paraId="7421F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6D08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A77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分线接线箱（盒）</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18A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光纤终端盒</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D4AE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DC32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E95BD4">
            <w:pPr>
              <w:jc w:val="left"/>
              <w:rPr>
                <w:rFonts w:hint="eastAsia" w:ascii="宋体" w:hAnsi="宋体" w:eastAsia="宋体" w:cs="宋体"/>
                <w:i w:val="0"/>
                <w:iCs w:val="0"/>
                <w:color w:val="000000"/>
                <w:sz w:val="18"/>
                <w:szCs w:val="18"/>
                <w:u w:val="none"/>
              </w:rPr>
            </w:pPr>
          </w:p>
        </w:tc>
      </w:tr>
      <w:tr w14:paraId="024DC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32D3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0B8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走线槽</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61A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300*200*5</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61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1084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D59E3D">
            <w:pPr>
              <w:jc w:val="left"/>
              <w:rPr>
                <w:rFonts w:hint="eastAsia" w:ascii="宋体" w:hAnsi="宋体" w:eastAsia="宋体" w:cs="宋体"/>
                <w:i w:val="0"/>
                <w:iCs w:val="0"/>
                <w:color w:val="000000"/>
                <w:sz w:val="18"/>
                <w:szCs w:val="18"/>
                <w:u w:val="none"/>
              </w:rPr>
            </w:pPr>
          </w:p>
        </w:tc>
      </w:tr>
      <w:tr w14:paraId="55F64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8A8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105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铝合金走线架</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0115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600双层</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79DC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B65D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F718E0">
            <w:pPr>
              <w:jc w:val="left"/>
              <w:rPr>
                <w:rFonts w:hint="eastAsia" w:ascii="宋体" w:hAnsi="宋体" w:eastAsia="宋体" w:cs="宋体"/>
                <w:i w:val="0"/>
                <w:iCs w:val="0"/>
                <w:color w:val="000000"/>
                <w:sz w:val="18"/>
                <w:szCs w:val="18"/>
                <w:u w:val="none"/>
              </w:rPr>
            </w:pPr>
          </w:p>
        </w:tc>
      </w:tr>
      <w:tr w14:paraId="0C192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0FC5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5F5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理线架</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64F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1U理线架</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A184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F8B8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14.50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988DED">
            <w:pPr>
              <w:rPr>
                <w:rFonts w:hint="eastAsia" w:ascii="宋体" w:hAnsi="宋体" w:eastAsia="宋体" w:cs="宋体"/>
                <w:i w:val="0"/>
                <w:iCs w:val="0"/>
                <w:color w:val="000000"/>
                <w:sz w:val="18"/>
                <w:szCs w:val="18"/>
                <w:u w:val="none"/>
              </w:rPr>
            </w:pPr>
          </w:p>
        </w:tc>
      </w:tr>
      <w:tr w14:paraId="64A2B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684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031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PDU</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DDED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机柜专用插板</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64F1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4DC3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296.00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A178F8">
            <w:pPr>
              <w:jc w:val="left"/>
              <w:rPr>
                <w:rFonts w:hint="eastAsia" w:ascii="宋体" w:hAnsi="宋体" w:eastAsia="宋体" w:cs="宋体"/>
                <w:i w:val="0"/>
                <w:iCs w:val="0"/>
                <w:color w:val="000000"/>
                <w:sz w:val="18"/>
                <w:szCs w:val="18"/>
                <w:u w:val="none"/>
              </w:rPr>
            </w:pPr>
          </w:p>
        </w:tc>
      </w:tr>
      <w:tr w14:paraId="47609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AEB9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AB6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电源防雷器</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8F0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电源防雷</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4921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ACC6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196.00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4C9FE9">
            <w:pPr>
              <w:jc w:val="left"/>
              <w:rPr>
                <w:rFonts w:hint="eastAsia" w:ascii="宋体" w:hAnsi="宋体" w:eastAsia="宋体" w:cs="宋体"/>
                <w:i w:val="0"/>
                <w:iCs w:val="0"/>
                <w:color w:val="000000"/>
                <w:sz w:val="18"/>
                <w:szCs w:val="18"/>
                <w:u w:val="none"/>
              </w:rPr>
            </w:pPr>
          </w:p>
        </w:tc>
      </w:tr>
      <w:tr w14:paraId="4A70E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1F1E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681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网络防雷器</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76A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网络防雷</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CD13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DF3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155.00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A910DF">
            <w:pPr>
              <w:jc w:val="left"/>
              <w:rPr>
                <w:rFonts w:hint="eastAsia" w:ascii="宋体" w:hAnsi="宋体" w:eastAsia="宋体" w:cs="宋体"/>
                <w:i w:val="0"/>
                <w:iCs w:val="0"/>
                <w:color w:val="000000"/>
                <w:sz w:val="18"/>
                <w:szCs w:val="18"/>
                <w:u w:val="none"/>
              </w:rPr>
            </w:pPr>
          </w:p>
        </w:tc>
      </w:tr>
      <w:tr w14:paraId="2CD55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715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896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电表箱</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B2A6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电表专用箱</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61EA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5FF69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4FF0E8">
            <w:pPr>
              <w:jc w:val="left"/>
              <w:rPr>
                <w:rFonts w:hint="eastAsia" w:ascii="宋体" w:hAnsi="宋体" w:eastAsia="宋体" w:cs="宋体"/>
                <w:i w:val="0"/>
                <w:iCs w:val="0"/>
                <w:color w:val="000000"/>
                <w:sz w:val="18"/>
                <w:szCs w:val="18"/>
                <w:u w:val="none"/>
              </w:rPr>
            </w:pPr>
          </w:p>
        </w:tc>
      </w:tr>
      <w:tr w14:paraId="0C5E7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48E3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CC6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电表</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A9A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电表</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BD9C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090A2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D01CD4">
            <w:pPr>
              <w:jc w:val="left"/>
              <w:rPr>
                <w:rFonts w:hint="eastAsia" w:ascii="宋体" w:hAnsi="宋体" w:eastAsia="宋体" w:cs="宋体"/>
                <w:i w:val="0"/>
                <w:iCs w:val="0"/>
                <w:color w:val="000000"/>
                <w:sz w:val="18"/>
                <w:szCs w:val="18"/>
                <w:u w:val="none"/>
              </w:rPr>
            </w:pPr>
          </w:p>
        </w:tc>
      </w:tr>
      <w:tr w14:paraId="6ECFB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E47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441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防水配电柜</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8B91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交通诱导复合屏控制系统，含远程上电、防雷、交通诱导屏发送卡。</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B6AF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5C3D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7,500.00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D8550">
            <w:pPr>
              <w:rPr>
                <w:rFonts w:hint="eastAsia" w:ascii="宋体" w:hAnsi="宋体" w:eastAsia="宋体" w:cs="宋体"/>
                <w:i w:val="0"/>
                <w:iCs w:val="0"/>
                <w:color w:val="000000"/>
                <w:sz w:val="18"/>
                <w:szCs w:val="18"/>
                <w:u w:val="none"/>
              </w:rPr>
            </w:pPr>
          </w:p>
        </w:tc>
      </w:tr>
      <w:tr w14:paraId="4BDC0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2C4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C33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检修孔盖板</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DFB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检修孔盖板</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6A15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A4355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35.00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E4F15">
            <w:pPr>
              <w:jc w:val="left"/>
              <w:rPr>
                <w:rFonts w:hint="eastAsia" w:ascii="宋体" w:hAnsi="宋体" w:eastAsia="宋体" w:cs="宋体"/>
                <w:i w:val="0"/>
                <w:iCs w:val="0"/>
                <w:color w:val="000000"/>
                <w:sz w:val="18"/>
                <w:szCs w:val="18"/>
                <w:u w:val="none"/>
              </w:rPr>
            </w:pPr>
          </w:p>
        </w:tc>
      </w:tr>
      <w:tr w14:paraId="114B1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75F1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8F0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摄像机支架</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585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摄像机支架</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E9F5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5088A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ABC26CC">
            <w:pPr>
              <w:jc w:val="left"/>
              <w:rPr>
                <w:rFonts w:hint="eastAsia" w:ascii="宋体" w:hAnsi="宋体" w:eastAsia="宋体" w:cs="宋体"/>
                <w:i w:val="0"/>
                <w:iCs w:val="0"/>
                <w:color w:val="000000"/>
                <w:sz w:val="18"/>
                <w:szCs w:val="18"/>
                <w:u w:val="none"/>
              </w:rPr>
            </w:pPr>
          </w:p>
        </w:tc>
      </w:tr>
      <w:tr w14:paraId="09562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670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353B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精密空调维保</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5DDE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型号：EM30U1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制冷剂：R22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1、室内滤网每年更换4次(每台空调含有4个滤网)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2、室外主机每年清洗2次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3、巡检排查故障每年4次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4、每台空调需要一名保养人员</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2AD4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184AF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6,000.00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E5B800">
            <w:pPr>
              <w:jc w:val="left"/>
              <w:rPr>
                <w:rFonts w:hint="eastAsia" w:ascii="宋体" w:hAnsi="宋体" w:eastAsia="宋体" w:cs="宋体"/>
                <w:i w:val="0"/>
                <w:iCs w:val="0"/>
                <w:color w:val="000000"/>
                <w:sz w:val="18"/>
                <w:szCs w:val="18"/>
                <w:u w:val="none"/>
              </w:rPr>
            </w:pPr>
          </w:p>
        </w:tc>
      </w:tr>
      <w:tr w14:paraId="24C32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7987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568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智慧感知一体机</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E9B0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设备采用视频和雷达一体化设计；高精度毫米波雷达 &amp; 400万低照度摄像机。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★目标检测功能检验：可对双向最多8车道的128个移动目标（人、车）进行检测并框选跟踪，纵向检测长度可达300m。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★目标定位功能检查：支持输出检测目标的GPS定位信息（经纬度坐标）。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★常亮灯亮度控制功能检查：可以通过占空比调节外接常亮灯的亮度。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雷达数据列表显示功能检查：雷达数据列表可显示编号(ID)、位置坐标、车道号、速度、航向角、经纬度、角度等，可设置某个ID的信息置顶显示。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目标跟踪功能检查：视频预览画面内可叠加车辆跟踪框，实时显示每个目标的运行情况，包含车牌号码、速度、车型、位置坐标。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抓拍图片延时试验：支持通过浏览器或客户端手动抓拍图片，或当视频画面出现车辆时自动抓拍图片，或外部触发接口抓拍图片，图片格式为JPEG,图片质量可设。抓拍图片从触发到输出的延时不高于57ms。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★检测目标数量试验：支持对不少于260个车辆目标进行检测，可对车辆目标进行轨迹跟踪。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★同步要求试验：检测器宜支持网络时间协议（NTP）或精确时间协议（PTP）时间同步功能，从外部时间同步系统获得授时，时间同步误差不大于10ms。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★距离检测精度功能检查：距离检测精度0.25米。</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AC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F6027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13,600.00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4B9B6">
            <w:pPr>
              <w:rPr>
                <w:rFonts w:hint="eastAsia" w:ascii="宋体" w:hAnsi="宋体" w:eastAsia="宋体" w:cs="宋体"/>
                <w:i w:val="0"/>
                <w:iCs w:val="0"/>
                <w:color w:val="000000"/>
                <w:sz w:val="18"/>
                <w:szCs w:val="18"/>
                <w:u w:val="none"/>
              </w:rPr>
            </w:pPr>
          </w:p>
        </w:tc>
      </w:tr>
      <w:tr w14:paraId="02030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B14D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0D8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智能信号控制机</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1251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符合GB 25280-2016《道路交通信号控制机》各项要求；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1、功能参数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(1)集中协调式信号机，模块化设计， 4U标准机架式设计；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(2)每板可控制4路独立灯组输出，整机可选择4路*（1-4）组输出，每组信号灯有独立的灯组输出控制，信号控制相位可任意设置为机动车、非机动车、行人相位；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(3)有手动控制面板，可只选阶段1-6，黄闪等，具有行人过街按钮连接接口；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(4)具备“节假日”、“星期”和“普通”三种模式共48个时段和255种配时方案（包括多时段、线圈感应控制）功能；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(5)采用工业级控制时钟，日误差小于1秒，并可远程通过控制中心校正时间；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(6)最小控制时间为1秒，红黄绿输出0~99秒可调；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(7)最大绿、最小绿时间可调；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(8)支持最多32路线圈检测；支持饱和度检测、类饱和度；支持线圈占有率检测；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(9)具备RS-232/485、RJ45接口，支持手持终端、笔记本对信号机现场调试；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(10)具备故障检测、自我诊断和自我保护功能；支持故障自动降级控制功能，并保证信号灯能正常工作；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2、电气性能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(1)信号机电源额定电压：AC 176V~264V，50Hz±2Hz；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(2)驱动功率：信号机每路的最大驱动功率为：800W；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(3)信号机整机功耗为：50W（不含灯具消耗功率）；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(4)信号机绝缘电阻大于10MΩ；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(5)易触及部件之间施加1500V、50Hz 电压，不出现击穿现象；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(6)在静电放电、快速瞬变脉冲群 、浪涌、电压短时中断等电磁骚扰环境下不出现电气故障；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3、机箱材质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(1)机箱表面采用喷塑工艺处理，锁具、门轴坚实牢固，使用寿命在十年以上；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(2)机箱板材厚度不小于2.0毫米，并具有防鼠功能；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4、工作环境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工作温度：-40℃～70℃；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工作湿度：≤95%RH[(40±2)℃,无凝露]；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正常工作时防雨淋，机柜内部无渗水或积水现象。</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E474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4C3D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23,200.00 </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0074669">
            <w:pPr>
              <w:jc w:val="left"/>
              <w:rPr>
                <w:rFonts w:hint="eastAsia" w:ascii="宋体" w:hAnsi="宋体" w:eastAsia="宋体" w:cs="宋体"/>
                <w:i w:val="0"/>
                <w:iCs w:val="0"/>
                <w:color w:val="000000"/>
                <w:sz w:val="18"/>
                <w:szCs w:val="18"/>
                <w:u w:val="none"/>
              </w:rPr>
            </w:pPr>
          </w:p>
        </w:tc>
      </w:tr>
      <w:tr w14:paraId="5782F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92DC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8F7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门禁系统</w:t>
            </w:r>
          </w:p>
        </w:tc>
        <w:tc>
          <w:tcPr>
            <w:tcW w:w="43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486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国密加密：内置国密SE加密芯片，支持SM1、SM4加密方式加密处理；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屏幕参数： 7英寸触摸显示屏，屏幕比例9:16，屏幕分辨率600*1024；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摄像头参数：采用宽动态200万双目摄像头；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认证方式：支持人脸、刷卡（国密CPU卡）、指纹、密码认证方式；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人脸验证：采用深度学习算法，支持人脸比对功能；支持照片、视频防假；1:N人脸比对速度≤0.2s，人脸验证准确率≥99%；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存储容量：本地支持2万人脸库、5万张卡，1万枚指纹，15万条事件记录；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可视对讲：支持和云眸/云帆、4200客户端、室内机、管理机进行可视对讲；支持配置一键呼叫室内机或管理机；支持副门口机或围墙机模式；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视频预览：支持管理中心远程视频预览，支持接入NVR设备，实现视频监控录像，编码格式H.264或H.265；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识别界面可配：识别主界面的“呼叫”、“二维码”、“密码”的按键图标可分别配置是否显示；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认证结果显示可配：支持认证成功界面的“照片”、“姓名”、“工号”信息可配置是否显示；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认证结果语音自定义：集成文字转语音（TTS）和语音合成技术，认证成功和认证失败的语音可以分别配置4个时间段进行自定义播报，同时认证成功的语音可叠加播报姓名；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外接读卡器：支持通过RS485外接1个国密读卡器；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组合认证：刷卡+密码、刷卡+人脸、人脸+密码等组合认证方式；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多重认证：支持多个人员认证（人脸、刷卡、指纹等）通过后才开门；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设备支持GM/T 0028《密码模块安全技术要求》安全二级，并支持在商用密码检测中心官网查询证书有效性。</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2224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3583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3,875.00 </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1ED2E0">
            <w:pPr>
              <w:jc w:val="left"/>
              <w:rPr>
                <w:rFonts w:hint="eastAsia" w:ascii="宋体" w:hAnsi="宋体" w:eastAsia="宋体" w:cs="宋体"/>
                <w:i w:val="0"/>
                <w:iCs w:val="0"/>
                <w:color w:val="000000"/>
                <w:sz w:val="18"/>
                <w:szCs w:val="18"/>
                <w:u w:val="none"/>
              </w:rPr>
            </w:pPr>
          </w:p>
        </w:tc>
      </w:tr>
      <w:tr w14:paraId="7DDA1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6203"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2A52B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单价合计</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83C154">
            <w:pPr>
              <w:jc w:val="center"/>
              <w:rPr>
                <w:rFonts w:hint="eastAsia" w:ascii="宋体" w:hAnsi="宋体" w:eastAsia="宋体" w:cs="宋体"/>
                <w:i w:val="0"/>
                <w:iCs w:val="0"/>
                <w:color w:val="000000"/>
                <w:sz w:val="18"/>
                <w:szCs w:val="18"/>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C15D8">
            <w:pPr>
              <w:keepNext w:val="0"/>
              <w:keepLines w:val="0"/>
              <w:widowControl/>
              <w:suppressLineNumbers w:val="0"/>
              <w:jc w:val="righ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1,980,369.49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D70D5">
            <w:pPr>
              <w:rPr>
                <w:rFonts w:hint="eastAsia" w:ascii="宋体" w:hAnsi="宋体" w:eastAsia="宋体" w:cs="宋体"/>
                <w:i w:val="0"/>
                <w:iCs w:val="0"/>
                <w:color w:val="000000"/>
                <w:sz w:val="18"/>
                <w:szCs w:val="18"/>
                <w:u w:val="none"/>
              </w:rPr>
            </w:pPr>
          </w:p>
        </w:tc>
      </w:tr>
    </w:tbl>
    <w:p w14:paraId="43374DD8">
      <w:pPr>
        <w:pStyle w:val="16"/>
        <w:ind w:left="0" w:leftChars="0" w:firstLine="0" w:firstLineChars="0"/>
        <w:rPr>
          <w:rFonts w:hint="eastAsia"/>
          <w:lang w:val="en-US" w:eastAsia="zh-CN"/>
        </w:rPr>
      </w:pPr>
      <w:r>
        <w:rPr>
          <w:rFonts w:hint="eastAsia"/>
          <w:lang w:val="en-US" w:eastAsia="zh-CN"/>
        </w:rPr>
        <w:t>说明:①本项目为单价招标，单价最高限价合计为:1980369.49元。②以上各项目单价为综合单价，除项目本身外还包含材料费用、运输费用、安装费用、人工费用、机械费用、安全费用及税费等。</w:t>
      </w:r>
    </w:p>
    <w:p w14:paraId="7A0431BB">
      <w:pPr>
        <w:rPr>
          <w:rFonts w:hint="eastAsia" w:eastAsiaTheme="minorEastAsia"/>
          <w:b/>
          <w:bCs/>
          <w:lang w:val="en-US" w:eastAsia="zh-CN"/>
        </w:rPr>
      </w:pPr>
    </w:p>
    <w:p w14:paraId="665A6D24">
      <w:pPr>
        <w:spacing w:line="251" w:lineRule="auto"/>
        <w:rPr>
          <w:rFonts w:ascii="Arial"/>
          <w:sz w:val="21"/>
        </w:rPr>
      </w:pPr>
    </w:p>
    <w:p w14:paraId="7EF79212">
      <w:pPr>
        <w:spacing w:line="251" w:lineRule="auto"/>
        <w:rPr>
          <w:rFonts w:ascii="Arial"/>
          <w:sz w:val="21"/>
        </w:rPr>
      </w:pPr>
    </w:p>
    <w:p w14:paraId="5D0461AE">
      <w:pPr>
        <w:spacing w:line="251" w:lineRule="auto"/>
        <w:rPr>
          <w:rFonts w:ascii="Arial"/>
          <w:sz w:val="21"/>
        </w:rPr>
      </w:pPr>
    </w:p>
    <w:p w14:paraId="32009F51">
      <w:pPr>
        <w:spacing w:line="251" w:lineRule="auto"/>
        <w:rPr>
          <w:rFonts w:ascii="Arial"/>
          <w:sz w:val="21"/>
        </w:rPr>
      </w:pPr>
    </w:p>
    <w:p w14:paraId="470EFF3E">
      <w:pPr>
        <w:spacing w:line="251" w:lineRule="auto"/>
        <w:rPr>
          <w:rFonts w:ascii="Arial"/>
          <w:sz w:val="21"/>
        </w:rPr>
      </w:pPr>
    </w:p>
    <w:p w14:paraId="7D9E679B">
      <w:pPr>
        <w:spacing w:line="251" w:lineRule="auto"/>
        <w:rPr>
          <w:rFonts w:ascii="Arial"/>
          <w:sz w:val="21"/>
        </w:rPr>
      </w:pPr>
    </w:p>
    <w:p w14:paraId="41C85942">
      <w:pPr>
        <w:spacing w:line="251" w:lineRule="auto"/>
        <w:rPr>
          <w:rFonts w:ascii="Arial"/>
          <w:sz w:val="21"/>
        </w:rPr>
      </w:pPr>
    </w:p>
    <w:p w14:paraId="7B538695">
      <w:pPr>
        <w:spacing w:line="251" w:lineRule="auto"/>
        <w:rPr>
          <w:rFonts w:ascii="Arial"/>
          <w:sz w:val="21"/>
        </w:rPr>
      </w:pPr>
    </w:p>
    <w:p w14:paraId="256DEC8D">
      <w:pPr>
        <w:spacing w:line="251" w:lineRule="auto"/>
        <w:rPr>
          <w:rFonts w:ascii="Arial"/>
          <w:sz w:val="21"/>
        </w:rPr>
      </w:pPr>
    </w:p>
    <w:p w14:paraId="12AA5013">
      <w:pPr>
        <w:pStyle w:val="20"/>
        <w:rPr>
          <w:rFonts w:ascii="Arial"/>
          <w:sz w:val="21"/>
        </w:rPr>
      </w:pPr>
    </w:p>
    <w:p w14:paraId="740BDB32">
      <w:pPr>
        <w:pStyle w:val="20"/>
        <w:rPr>
          <w:rFonts w:ascii="Arial"/>
          <w:sz w:val="21"/>
        </w:rPr>
      </w:pPr>
    </w:p>
    <w:p w14:paraId="529D100C">
      <w:pPr>
        <w:pStyle w:val="20"/>
        <w:rPr>
          <w:rFonts w:ascii="Arial"/>
          <w:sz w:val="21"/>
        </w:rPr>
      </w:pPr>
    </w:p>
    <w:p w14:paraId="45C8339F">
      <w:pPr>
        <w:pStyle w:val="20"/>
        <w:rPr>
          <w:rFonts w:ascii="Arial"/>
          <w:sz w:val="21"/>
        </w:rPr>
      </w:pPr>
    </w:p>
    <w:p w14:paraId="290933E4">
      <w:pPr>
        <w:pStyle w:val="20"/>
        <w:rPr>
          <w:rFonts w:ascii="Arial"/>
          <w:sz w:val="21"/>
        </w:rPr>
      </w:pPr>
    </w:p>
    <w:p w14:paraId="158793C3">
      <w:pPr>
        <w:pStyle w:val="20"/>
        <w:rPr>
          <w:rFonts w:ascii="Arial"/>
          <w:sz w:val="21"/>
        </w:rPr>
      </w:pPr>
    </w:p>
    <w:p w14:paraId="1C0008F8">
      <w:pPr>
        <w:pStyle w:val="20"/>
        <w:rPr>
          <w:rFonts w:ascii="Arial"/>
          <w:sz w:val="21"/>
        </w:rPr>
      </w:pPr>
    </w:p>
    <w:p w14:paraId="1327000D">
      <w:pPr>
        <w:pStyle w:val="20"/>
        <w:rPr>
          <w:rFonts w:ascii="Arial"/>
          <w:sz w:val="21"/>
        </w:rPr>
      </w:pPr>
    </w:p>
    <w:p w14:paraId="1CDBE5DC">
      <w:pPr>
        <w:pStyle w:val="20"/>
        <w:rPr>
          <w:rFonts w:ascii="Arial"/>
          <w:sz w:val="21"/>
        </w:rPr>
      </w:pPr>
    </w:p>
    <w:p w14:paraId="71088E5E">
      <w:pPr>
        <w:pStyle w:val="20"/>
        <w:rPr>
          <w:rFonts w:ascii="Arial"/>
          <w:sz w:val="21"/>
        </w:rPr>
      </w:pPr>
    </w:p>
    <w:p w14:paraId="4634A8FF">
      <w:pPr>
        <w:pStyle w:val="20"/>
        <w:rPr>
          <w:rFonts w:ascii="Arial"/>
          <w:sz w:val="21"/>
        </w:rPr>
      </w:pPr>
    </w:p>
    <w:p w14:paraId="0790F08F">
      <w:pPr>
        <w:pStyle w:val="20"/>
        <w:rPr>
          <w:rFonts w:ascii="Arial"/>
          <w:sz w:val="21"/>
        </w:rPr>
      </w:pPr>
    </w:p>
    <w:p w14:paraId="77002981">
      <w:pPr>
        <w:spacing w:line="251" w:lineRule="auto"/>
        <w:rPr>
          <w:rFonts w:ascii="Arial"/>
          <w:sz w:val="21"/>
        </w:rPr>
      </w:pPr>
    </w:p>
    <w:p w14:paraId="63D84831">
      <w:pPr>
        <w:spacing w:line="251" w:lineRule="auto"/>
        <w:rPr>
          <w:rFonts w:ascii="Arial"/>
          <w:sz w:val="21"/>
        </w:rPr>
      </w:pPr>
    </w:p>
    <w:p w14:paraId="3A37476A">
      <w:pPr>
        <w:spacing w:line="251" w:lineRule="auto"/>
        <w:rPr>
          <w:rFonts w:ascii="Arial"/>
          <w:sz w:val="21"/>
        </w:rPr>
      </w:pPr>
    </w:p>
    <w:p w14:paraId="29F86F44">
      <w:pPr>
        <w:pStyle w:val="3"/>
        <w:spacing w:before="104" w:line="220" w:lineRule="auto"/>
        <w:ind w:left="2620"/>
        <w:rPr>
          <w:sz w:val="32"/>
          <w:szCs w:val="32"/>
        </w:rPr>
      </w:pPr>
      <w:r>
        <w:rPr>
          <w:spacing w:val="-1"/>
          <w:sz w:val="32"/>
          <w:szCs w:val="32"/>
          <w14:textOutline w14:w="5805">
            <w14:solidFill>
              <w14:srgbClr w14:val="000000"/>
            </w14:solidFill>
            <w14:prstDash w14:val="solid"/>
            <w14:miter w14:val="0"/>
          </w14:textOutline>
        </w:rPr>
        <w:t>第</w:t>
      </w:r>
      <w:r>
        <w:rPr>
          <w:rFonts w:hint="eastAsia"/>
          <w:spacing w:val="-1"/>
          <w:sz w:val="32"/>
          <w:szCs w:val="32"/>
          <w:lang w:val="en-US" w:eastAsia="zh-CN"/>
          <w14:textOutline w14:w="5805">
            <w14:solidFill>
              <w14:srgbClr w14:val="000000"/>
            </w14:solidFill>
            <w14:prstDash w14:val="solid"/>
            <w14:miter w14:val="0"/>
          </w14:textOutline>
        </w:rPr>
        <w:t>六</w:t>
      </w:r>
      <w:r>
        <w:rPr>
          <w:spacing w:val="-1"/>
          <w:sz w:val="32"/>
          <w:szCs w:val="32"/>
          <w14:textOutline w14:w="5805">
            <w14:solidFill>
              <w14:srgbClr w14:val="000000"/>
            </w14:solidFill>
            <w14:prstDash w14:val="solid"/>
            <w14:miter w14:val="0"/>
          </w14:textOutline>
        </w:rPr>
        <w:t>章</w:t>
      </w:r>
      <w:r>
        <w:rPr>
          <w:spacing w:val="-1"/>
          <w:sz w:val="32"/>
          <w:szCs w:val="32"/>
        </w:rPr>
        <w:t xml:space="preserve">  </w:t>
      </w:r>
      <w:r>
        <w:rPr>
          <w:spacing w:val="-1"/>
          <w:sz w:val="32"/>
          <w:szCs w:val="32"/>
          <w14:textOutline w14:w="5805">
            <w14:solidFill>
              <w14:srgbClr w14:val="000000"/>
            </w14:solidFill>
            <w14:prstDash w14:val="solid"/>
            <w14:miter w14:val="0"/>
          </w14:textOutline>
        </w:rPr>
        <w:t>合同条款（格式）</w:t>
      </w:r>
    </w:p>
    <w:p w14:paraId="123327FF">
      <w:pPr>
        <w:spacing w:line="241" w:lineRule="auto"/>
        <w:rPr>
          <w:rFonts w:ascii="Arial"/>
          <w:sz w:val="21"/>
        </w:rPr>
      </w:pPr>
    </w:p>
    <w:p w14:paraId="3E9C0D04">
      <w:pPr>
        <w:spacing w:line="242" w:lineRule="auto"/>
        <w:rPr>
          <w:rFonts w:ascii="Arial"/>
          <w:sz w:val="21"/>
        </w:rPr>
      </w:pPr>
    </w:p>
    <w:p w14:paraId="3D222705">
      <w:pPr>
        <w:pStyle w:val="3"/>
        <w:spacing w:before="78" w:line="620" w:lineRule="exact"/>
        <w:ind w:right="40"/>
        <w:jc w:val="right"/>
        <w:rPr>
          <w:sz w:val="24"/>
          <w:szCs w:val="24"/>
        </w:rPr>
      </w:pPr>
      <w:r>
        <w:rPr>
          <w:spacing w:val="-1"/>
          <w:position w:val="29"/>
          <w:sz w:val="24"/>
          <w:szCs w:val="24"/>
        </w:rPr>
        <w:t>注：本合同条款内容仅供参考，最终以甲方提供</w:t>
      </w:r>
      <w:r>
        <w:rPr>
          <w:spacing w:val="-2"/>
          <w:position w:val="29"/>
          <w:sz w:val="24"/>
          <w:szCs w:val="24"/>
        </w:rPr>
        <w:t>的合同样本并经双方协商一致后签</w:t>
      </w:r>
    </w:p>
    <w:p w14:paraId="47072B29">
      <w:pPr>
        <w:pStyle w:val="3"/>
        <w:spacing w:line="221" w:lineRule="auto"/>
        <w:ind w:left="12"/>
        <w:rPr>
          <w:sz w:val="24"/>
          <w:szCs w:val="24"/>
        </w:rPr>
      </w:pPr>
      <w:r>
        <w:rPr>
          <w:spacing w:val="-6"/>
          <w:sz w:val="24"/>
          <w:szCs w:val="24"/>
        </w:rPr>
        <w:t>订的合同为准。</w:t>
      </w:r>
    </w:p>
    <w:p w14:paraId="77A9C509">
      <w:pPr>
        <w:spacing w:line="221" w:lineRule="auto"/>
        <w:rPr>
          <w:sz w:val="24"/>
          <w:szCs w:val="24"/>
        </w:rPr>
        <w:sectPr>
          <w:footerReference r:id="rId9" w:type="default"/>
          <w:pgSz w:w="11905" w:h="16838"/>
          <w:pgMar w:top="841" w:right="1368" w:bottom="799" w:left="1417" w:header="0" w:footer="548" w:gutter="0"/>
          <w:pgNumType w:fmt="decimal"/>
          <w:cols w:space="720" w:num="1"/>
        </w:sectPr>
      </w:pPr>
    </w:p>
    <w:p w14:paraId="708AFBD7">
      <w:pPr>
        <w:pStyle w:val="3"/>
        <w:spacing w:before="351" w:line="220" w:lineRule="auto"/>
        <w:ind w:left="2342"/>
      </w:pPr>
      <w:r>
        <w:pict>
          <v:rect id="_x0000_s1040" o:spid="_x0000_s1040" o:spt="1" style="position:absolute;left:0pt;margin-left:70.85pt;margin-top:784.8pt;height:0.45pt;width:453.95pt;mso-position-horizontal-relative:page;mso-position-vertical-relative:page;z-index:251663360;mso-width-relative:page;mso-height-relative:page;" fillcolor="#000000" filled="t" stroked="f" coordsize="21600,21600" o:allowincell="f">
            <v:path/>
            <v:fill on="t" focussize="0,0"/>
            <v:stroke on="f"/>
            <v:imagedata o:title=""/>
            <o:lock v:ext="edit"/>
          </v:rect>
        </w:pict>
      </w:r>
      <w:r>
        <w:rPr>
          <w:spacing w:val="-1"/>
          <w14:textOutline w14:w="7982">
            <w14:solidFill>
              <w14:srgbClr w14:val="000000"/>
            </w14:solidFill>
            <w14:prstDash w14:val="solid"/>
            <w14:miter w14:val="0"/>
          </w14:textOutline>
        </w:rPr>
        <w:t>政府采购合同参考范本</w:t>
      </w:r>
    </w:p>
    <w:p w14:paraId="1E392986">
      <w:pPr>
        <w:spacing w:line="252" w:lineRule="auto"/>
        <w:rPr>
          <w:rFonts w:ascii="Arial"/>
          <w:sz w:val="21"/>
        </w:rPr>
      </w:pPr>
    </w:p>
    <w:p w14:paraId="145C5825">
      <w:pPr>
        <w:spacing w:line="253" w:lineRule="auto"/>
        <w:rPr>
          <w:rFonts w:ascii="Arial"/>
          <w:sz w:val="21"/>
        </w:rPr>
      </w:pPr>
    </w:p>
    <w:p w14:paraId="39C2219E">
      <w:pPr>
        <w:pStyle w:val="3"/>
        <w:spacing w:before="78" w:line="220" w:lineRule="auto"/>
        <w:ind w:left="3948"/>
        <w:rPr>
          <w:sz w:val="24"/>
          <w:szCs w:val="24"/>
        </w:rPr>
      </w:pPr>
      <w:r>
        <w:rPr>
          <w:spacing w:val="-3"/>
          <w:sz w:val="24"/>
          <w:szCs w:val="24"/>
          <w14:textOutline w14:w="4354">
            <w14:solidFill>
              <w14:srgbClr w14:val="000000"/>
            </w14:solidFill>
            <w14:prstDash w14:val="solid"/>
            <w14:miter w14:val="0"/>
          </w14:textOutline>
        </w:rPr>
        <w:t>（</w:t>
      </w:r>
      <w:r>
        <w:rPr>
          <w:rFonts w:hint="eastAsia"/>
          <w:spacing w:val="-3"/>
          <w:sz w:val="24"/>
          <w:szCs w:val="24"/>
          <w:lang w:val="en-US" w:eastAsia="zh-CN"/>
          <w14:textOutline w14:w="4354">
            <w14:solidFill>
              <w14:srgbClr w14:val="000000"/>
            </w14:solidFill>
            <w14:prstDash w14:val="solid"/>
            <w14:miter w14:val="0"/>
          </w14:textOutline>
        </w:rPr>
        <w:t>采购</w:t>
      </w:r>
      <w:r>
        <w:rPr>
          <w:spacing w:val="-3"/>
          <w:sz w:val="24"/>
          <w:szCs w:val="24"/>
          <w14:textOutline w14:w="4354">
            <w14:solidFill>
              <w14:srgbClr w14:val="000000"/>
            </w14:solidFill>
            <w14:prstDash w14:val="solid"/>
            <w14:miter w14:val="0"/>
          </w14:textOutline>
        </w:rPr>
        <w:t>类）</w:t>
      </w:r>
    </w:p>
    <w:p w14:paraId="19F1931B">
      <w:pPr>
        <w:spacing w:line="220" w:lineRule="auto"/>
        <w:rPr>
          <w:sz w:val="24"/>
          <w:szCs w:val="24"/>
        </w:rPr>
        <w:sectPr>
          <w:footerReference r:id="rId10" w:type="default"/>
          <w:pgSz w:w="11905" w:h="16838"/>
          <w:pgMar w:top="841" w:right="1368" w:bottom="799" w:left="1417" w:header="0" w:footer="548" w:gutter="0"/>
          <w:pgNumType w:fmt="decimal"/>
          <w:cols w:space="720" w:num="1"/>
        </w:sectPr>
      </w:pPr>
    </w:p>
    <w:p w14:paraId="16DBDDD7">
      <w:pPr>
        <w:pStyle w:val="3"/>
        <w:spacing w:line="220" w:lineRule="auto"/>
        <w:ind w:left="10"/>
        <w:rPr>
          <w:sz w:val="24"/>
          <w:szCs w:val="24"/>
        </w:rPr>
      </w:pPr>
      <w:r>
        <w:pict>
          <v:rect id="_x0000_s1041" o:spid="_x0000_s1041" o:spt="1" style="position:absolute;left:0pt;margin-left:70.85pt;margin-top:784.8pt;height:0.45pt;width:453.95pt;mso-position-horizontal-relative:page;mso-position-vertical-relative:page;z-index:251664384;mso-width-relative:page;mso-height-relative:page;" fillcolor="#000000" filled="t" stroked="f" coordsize="21600,21600" o:allowincell="f">
            <v:path/>
            <v:fill on="t" focussize="0,0"/>
            <v:stroke on="f"/>
            <v:imagedata o:title=""/>
            <o:lock v:ext="edit"/>
          </v:rect>
        </w:pict>
      </w:r>
      <w:r>
        <w:rPr>
          <w:spacing w:val="-30"/>
          <w:sz w:val="24"/>
          <w:szCs w:val="24"/>
        </w:rPr>
        <w:t>合同编号：</w:t>
      </w:r>
      <w:r>
        <w:rPr>
          <w:spacing w:val="18"/>
          <w:sz w:val="24"/>
          <w:szCs w:val="24"/>
        </w:rPr>
        <w:t xml:space="preserve"> </w:t>
      </w:r>
      <w:r>
        <w:rPr>
          <w:sz w:val="24"/>
          <w:szCs w:val="24"/>
          <w:u w:val="single" w:color="auto"/>
        </w:rPr>
        <w:t xml:space="preserve">           </w:t>
      </w:r>
    </w:p>
    <w:p w14:paraId="15457570">
      <w:pPr>
        <w:spacing w:line="255" w:lineRule="auto"/>
        <w:rPr>
          <w:rFonts w:ascii="Arial"/>
          <w:sz w:val="21"/>
        </w:rPr>
      </w:pPr>
    </w:p>
    <w:p w14:paraId="43E438E9">
      <w:pPr>
        <w:jc w:val="center"/>
        <w:rPr>
          <w:b/>
          <w:sz w:val="44"/>
          <w:szCs w:val="44"/>
        </w:rPr>
      </w:pPr>
      <w:r>
        <w:rPr>
          <w:spacing w:val="-1"/>
          <w:sz w:val="24"/>
          <w:szCs w:val="24"/>
          <w14:textOutline w14:w="4354">
            <w14:solidFill>
              <w14:srgbClr w14:val="000000"/>
            </w14:solidFill>
            <w14:prstDash w14:val="solid"/>
            <w14:miter w14:val="0"/>
          </w14:textOutline>
        </w:rPr>
        <w:t>第一部分</w:t>
      </w:r>
      <w:r>
        <w:rPr>
          <w:rFonts w:hint="eastAsia" w:eastAsia="宋体"/>
          <w:spacing w:val="-1"/>
          <w:sz w:val="24"/>
          <w:szCs w:val="24"/>
          <w:lang w:val="en-US" w:eastAsia="zh-CN"/>
          <w14:textOutline w14:w="4354">
            <w14:solidFill>
              <w14:srgbClr w14:val="000000"/>
            </w14:solidFill>
            <w14:prstDash w14:val="solid"/>
            <w14:miter w14:val="0"/>
          </w14:textOutline>
        </w:rPr>
        <w:t xml:space="preserve"> </w:t>
      </w:r>
      <w:r>
        <w:rPr>
          <w:rFonts w:hint="eastAsia"/>
          <w:spacing w:val="-1"/>
          <w:sz w:val="24"/>
          <w:szCs w:val="24"/>
          <w14:textOutline w14:w="4354">
            <w14:solidFill>
              <w14:srgbClr w14:val="000000"/>
            </w14:solidFill>
            <w14:prstDash w14:val="solid"/>
            <w14:miter w14:val="0"/>
          </w14:textOutline>
        </w:rPr>
        <w:t>合</w:t>
      </w:r>
      <w:r>
        <w:rPr>
          <w:spacing w:val="-1"/>
          <w:sz w:val="24"/>
          <w:szCs w:val="24"/>
          <w14:textOutline w14:w="4354">
            <w14:solidFill>
              <w14:srgbClr w14:val="000000"/>
            </w14:solidFill>
            <w14:prstDash w14:val="solid"/>
            <w14:miter w14:val="0"/>
          </w14:textOutline>
        </w:rPr>
        <w:t xml:space="preserve">  </w:t>
      </w:r>
      <w:r>
        <w:rPr>
          <w:rFonts w:hint="eastAsia"/>
          <w:spacing w:val="-1"/>
          <w:sz w:val="24"/>
          <w:szCs w:val="24"/>
          <w14:textOutline w14:w="4354">
            <w14:solidFill>
              <w14:srgbClr w14:val="000000"/>
            </w14:solidFill>
            <w14:prstDash w14:val="solid"/>
            <w14:miter w14:val="0"/>
          </w14:textOutline>
        </w:rPr>
        <w:t>同</w:t>
      </w:r>
      <w:r>
        <w:rPr>
          <w:spacing w:val="-1"/>
          <w:sz w:val="24"/>
          <w:szCs w:val="24"/>
          <w14:textOutline w14:w="4354">
            <w14:solidFill>
              <w14:srgbClr w14:val="000000"/>
            </w14:solidFill>
            <w14:prstDash w14:val="solid"/>
            <w14:miter w14:val="0"/>
          </w14:textOutline>
        </w:rPr>
        <w:t xml:space="preserve">  </w:t>
      </w:r>
      <w:r>
        <w:rPr>
          <w:rFonts w:hint="eastAsia"/>
          <w:spacing w:val="-1"/>
          <w:sz w:val="24"/>
          <w:szCs w:val="24"/>
          <w14:textOutline w14:w="4354">
            <w14:solidFill>
              <w14:srgbClr w14:val="000000"/>
            </w14:solidFill>
            <w14:prstDash w14:val="solid"/>
            <w14:miter w14:val="0"/>
          </w14:textOutline>
        </w:rPr>
        <w:t>书</w:t>
      </w:r>
    </w:p>
    <w:p w14:paraId="3C8A5381">
      <w:pPr>
        <w:spacing w:after="0" w:line="400" w:lineRule="exact"/>
        <w:rPr>
          <w:rFonts w:asciiTheme="minorEastAsia" w:hAnsiTheme="minorEastAsia"/>
          <w:szCs w:val="21"/>
        </w:rPr>
      </w:pPr>
      <w:r>
        <w:rPr>
          <w:rFonts w:asciiTheme="minorEastAsia" w:hAnsiTheme="minorEastAsia"/>
          <w:szCs w:val="21"/>
        </w:rPr>
        <w:t>发包人</w:t>
      </w:r>
      <w:r>
        <w:rPr>
          <w:rFonts w:hint="eastAsia" w:asciiTheme="minorEastAsia" w:hAnsiTheme="minorEastAsia"/>
          <w:szCs w:val="21"/>
        </w:rPr>
        <w:t>：                                        （以下简称甲方）</w:t>
      </w:r>
    </w:p>
    <w:p w14:paraId="3CEBDD1D">
      <w:pPr>
        <w:spacing w:after="0" w:line="400" w:lineRule="exact"/>
        <w:rPr>
          <w:rFonts w:asciiTheme="minorEastAsia" w:hAnsiTheme="minorEastAsia"/>
          <w:szCs w:val="21"/>
        </w:rPr>
      </w:pPr>
      <w:r>
        <w:rPr>
          <w:rFonts w:asciiTheme="minorEastAsia" w:hAnsiTheme="minorEastAsia"/>
          <w:szCs w:val="21"/>
        </w:rPr>
        <w:t>承包人</w:t>
      </w:r>
      <w:r>
        <w:rPr>
          <w:rFonts w:hint="eastAsia" w:asciiTheme="minorEastAsia" w:hAnsiTheme="minorEastAsia"/>
          <w:szCs w:val="21"/>
        </w:rPr>
        <w:t>：                                        （以下简称乙方）</w:t>
      </w:r>
    </w:p>
    <w:p w14:paraId="2443B70A">
      <w:pPr>
        <w:autoSpaceDE w:val="0"/>
        <w:spacing w:after="0" w:line="400" w:lineRule="exact"/>
        <w:ind w:firstLine="420" w:firstLineChars="200"/>
        <w:rPr>
          <w:rFonts w:ascii="宋体" w:hAnsi="宋体"/>
        </w:rPr>
      </w:pPr>
      <w:r>
        <w:rPr>
          <w:rFonts w:hint="eastAsia" w:asciiTheme="minorEastAsia" w:hAnsiTheme="minorEastAsia"/>
          <w:szCs w:val="21"/>
        </w:rPr>
        <w:t xml:space="preserve">   </w:t>
      </w:r>
      <w:r>
        <w:rPr>
          <w:rFonts w:hint="eastAsia" w:ascii="宋体" w:hAnsi="宋体"/>
        </w:rPr>
        <w:t>根据《中华人民共和国合同法》、《中华人民共和国政府采购法》、《成交（中标）通知书》，本着平等互利的原则，为明确甲乙双方的权利和义务，确保林州市道路交通技术监控设备的正常运行，经双方友好协商，达成如下协议：</w:t>
      </w:r>
    </w:p>
    <w:p w14:paraId="3CE796F8">
      <w:pPr>
        <w:autoSpaceDE w:val="0"/>
        <w:spacing w:after="0" w:line="400" w:lineRule="exact"/>
        <w:rPr>
          <w:rFonts w:ascii="宋体" w:hAnsi="宋体"/>
        </w:rPr>
      </w:pPr>
      <w:r>
        <w:rPr>
          <w:rFonts w:hint="eastAsia" w:ascii="宋体" w:hAnsi="宋体"/>
        </w:rPr>
        <w:t>一、项目需求</w:t>
      </w:r>
    </w:p>
    <w:p w14:paraId="232B5E61">
      <w:pPr>
        <w:spacing w:after="0" w:line="400" w:lineRule="exact"/>
        <w:ind w:firstLine="420" w:firstLineChars="200"/>
        <w:rPr>
          <w:rFonts w:ascii="宋体" w:hAnsi="宋体"/>
          <w:color w:val="000000" w:themeColor="text1"/>
          <w:kern w:val="0"/>
          <w14:textFill>
            <w14:solidFill>
              <w14:schemeClr w14:val="tx1"/>
            </w14:solidFill>
          </w14:textFill>
        </w:rPr>
      </w:pPr>
      <w:r>
        <w:rPr>
          <w:rFonts w:hint="eastAsia" w:ascii="宋体" w:hAnsi="宋体"/>
          <w:color w:val="000000"/>
          <w:kern w:val="0"/>
        </w:rPr>
        <w:t>乙方要确保甲方所有设备的正常运行使用，</w:t>
      </w:r>
      <w:r>
        <w:rPr>
          <w:rFonts w:hint="eastAsia" w:ascii="宋体" w:hAnsi="宋体"/>
          <w:color w:val="000000" w:themeColor="text1"/>
          <w:kern w:val="0"/>
          <w14:textFill>
            <w14:solidFill>
              <w14:schemeClr w14:val="tx1"/>
            </w14:solidFill>
          </w14:textFill>
        </w:rPr>
        <w:t>负责所有</w:t>
      </w:r>
      <w:r>
        <w:rPr>
          <w:rFonts w:hint="eastAsia" w:asciiTheme="minorEastAsia" w:hAnsiTheme="minorEastAsia"/>
          <w:color w:val="000000" w:themeColor="text1"/>
          <w:szCs w:val="21"/>
          <w14:textFill>
            <w14:solidFill>
              <w14:schemeClr w14:val="tx1"/>
            </w14:solidFill>
          </w14:textFill>
        </w:rPr>
        <w:t>权属归属于</w:t>
      </w:r>
      <w:r>
        <w:rPr>
          <w:rFonts w:asciiTheme="minorEastAsia" w:hAnsiTheme="minorEastAsia"/>
          <w:color w:val="000000" w:themeColor="text1"/>
          <w:szCs w:val="21"/>
          <w14:textFill>
            <w14:solidFill>
              <w14:schemeClr w14:val="tx1"/>
            </w14:solidFill>
          </w14:textFill>
        </w:rPr>
        <w:t>甲方</w:t>
      </w:r>
      <w:r>
        <w:rPr>
          <w:rFonts w:hint="eastAsia" w:asciiTheme="minorEastAsia" w:hAnsiTheme="minorEastAsia"/>
          <w:color w:val="000000" w:themeColor="text1"/>
          <w:szCs w:val="21"/>
          <w14:textFill>
            <w14:solidFill>
              <w14:schemeClr w14:val="tx1"/>
            </w14:solidFill>
          </w14:textFill>
        </w:rPr>
        <w:t>的</w:t>
      </w:r>
      <w:r>
        <w:rPr>
          <w:rFonts w:asciiTheme="minorEastAsia" w:hAnsiTheme="minorEastAsia"/>
          <w:color w:val="000000" w:themeColor="text1"/>
          <w:szCs w:val="21"/>
          <w14:textFill>
            <w14:solidFill>
              <w14:schemeClr w14:val="tx1"/>
            </w14:solidFill>
          </w14:textFill>
        </w:rPr>
        <w:t>道路交通技术</w:t>
      </w:r>
      <w:r>
        <w:rPr>
          <w:rFonts w:hint="eastAsia" w:asciiTheme="minorEastAsia" w:hAnsiTheme="minorEastAsia"/>
          <w:color w:val="000000" w:themeColor="text1"/>
          <w:szCs w:val="21"/>
          <w14:textFill>
            <w14:solidFill>
              <w14:schemeClr w14:val="tx1"/>
            </w14:solidFill>
          </w14:textFill>
        </w:rPr>
        <w:t>监控设备</w:t>
      </w:r>
      <w:r>
        <w:rPr>
          <w:rFonts w:hint="eastAsia" w:ascii="宋体" w:hAnsi="宋体"/>
          <w:color w:val="000000" w:themeColor="text1"/>
          <w:kern w:val="0"/>
          <w14:textFill>
            <w14:solidFill>
              <w14:schemeClr w14:val="tx1"/>
            </w14:solidFill>
          </w14:textFill>
        </w:rPr>
        <w:t>的维修</w:t>
      </w:r>
      <w:r>
        <w:rPr>
          <w:rFonts w:hint="eastAsia" w:asciiTheme="minorEastAsia" w:hAnsiTheme="minorEastAsia"/>
          <w:color w:val="000000" w:themeColor="text1"/>
          <w:szCs w:val="21"/>
          <w14:textFill>
            <w14:solidFill>
              <w14:schemeClr w14:val="tx1"/>
            </w14:solidFill>
          </w14:textFill>
        </w:rPr>
        <w:t>维护、保养、</w:t>
      </w:r>
      <w:r>
        <w:rPr>
          <w:rFonts w:hint="eastAsia" w:eastAsia="宋体" w:asciiTheme="minorEastAsia" w:hAnsiTheme="minorEastAsia"/>
          <w:color w:val="000000" w:themeColor="text1"/>
          <w:szCs w:val="21"/>
          <w:lang w:eastAsia="zh-CN"/>
          <w14:textFill>
            <w14:solidFill>
              <w14:schemeClr w14:val="tx1"/>
            </w14:solidFill>
          </w14:textFill>
        </w:rPr>
        <w:t>更新、</w:t>
      </w:r>
      <w:r>
        <w:rPr>
          <w:rFonts w:hint="eastAsia" w:asciiTheme="minorEastAsia" w:hAnsiTheme="minorEastAsia"/>
          <w:color w:val="000000" w:themeColor="text1"/>
          <w:szCs w:val="21"/>
          <w14:textFill>
            <w14:solidFill>
              <w14:schemeClr w14:val="tx1"/>
            </w14:solidFill>
          </w14:textFill>
        </w:rPr>
        <w:t>升级、</w:t>
      </w:r>
      <w:r>
        <w:rPr>
          <w:rFonts w:asciiTheme="minorEastAsia" w:hAnsiTheme="minorEastAsia"/>
          <w:color w:val="000000" w:themeColor="text1"/>
          <w:szCs w:val="21"/>
          <w14:textFill>
            <w14:solidFill>
              <w14:schemeClr w14:val="tx1"/>
            </w14:solidFill>
          </w14:textFill>
        </w:rPr>
        <w:t>信息系统集成、优化、</w:t>
      </w:r>
      <w:r>
        <w:rPr>
          <w:rFonts w:hint="eastAsia" w:asciiTheme="minorEastAsia" w:hAnsiTheme="minorEastAsia"/>
          <w:color w:val="000000" w:themeColor="text1"/>
          <w:szCs w:val="21"/>
          <w14:textFill>
            <w14:solidFill>
              <w14:schemeClr w14:val="tx1"/>
            </w14:solidFill>
          </w14:textFill>
        </w:rPr>
        <w:t>服务等，</w:t>
      </w:r>
      <w:r>
        <w:rPr>
          <w:rFonts w:hint="eastAsia" w:ascii="宋体" w:hAnsi="宋体"/>
          <w:color w:val="000000" w:themeColor="text1"/>
          <w:kern w:val="0"/>
          <w14:textFill>
            <w14:solidFill>
              <w14:schemeClr w14:val="tx1"/>
            </w14:solidFill>
          </w14:textFill>
        </w:rPr>
        <w:t>确保甲方资产不受损失。</w:t>
      </w:r>
    </w:p>
    <w:p w14:paraId="08ED39EF">
      <w:pPr>
        <w:spacing w:after="0" w:line="400" w:lineRule="exact"/>
        <w:rPr>
          <w:rFonts w:asciiTheme="minorEastAsia" w:hAnsiTheme="minorEastAsia"/>
          <w:szCs w:val="21"/>
        </w:rPr>
      </w:pPr>
      <w:r>
        <w:rPr>
          <w:rFonts w:hint="eastAsia" w:asciiTheme="minorEastAsia" w:hAnsiTheme="minorEastAsia"/>
          <w:szCs w:val="21"/>
        </w:rPr>
        <w:t>二、</w:t>
      </w:r>
      <w:r>
        <w:rPr>
          <w:rFonts w:hint="eastAsia" w:eastAsia="宋体" w:asciiTheme="minorEastAsia" w:hAnsiTheme="minorEastAsia"/>
          <w:szCs w:val="21"/>
          <w:lang w:val="en-US" w:eastAsia="zh-CN"/>
        </w:rPr>
        <w:t>服务</w:t>
      </w:r>
      <w:r>
        <w:rPr>
          <w:rFonts w:hint="eastAsia" w:asciiTheme="minorEastAsia" w:hAnsiTheme="minorEastAsia"/>
          <w:szCs w:val="21"/>
        </w:rPr>
        <w:t>范围</w:t>
      </w:r>
    </w:p>
    <w:p w14:paraId="7C55BE23">
      <w:pPr>
        <w:spacing w:after="0" w:line="400" w:lineRule="exact"/>
        <w:rPr>
          <w:rFonts w:asciiTheme="minorEastAsia" w:hAnsiTheme="minorEastAsia"/>
          <w:szCs w:val="21"/>
        </w:rPr>
      </w:pPr>
      <w:r>
        <w:rPr>
          <w:rFonts w:hint="eastAsia" w:asciiTheme="minorEastAsia" w:hAnsiTheme="minorEastAsia"/>
          <w:szCs w:val="21"/>
        </w:rPr>
        <w:t xml:space="preserve">   乙方为甲方提供道路交通技术监控（电子警察）维护、保养、</w:t>
      </w:r>
      <w:r>
        <w:rPr>
          <w:rFonts w:hint="eastAsia" w:eastAsia="宋体" w:asciiTheme="minorEastAsia" w:hAnsiTheme="minorEastAsia"/>
          <w:szCs w:val="21"/>
          <w:lang w:eastAsia="zh-CN"/>
        </w:rPr>
        <w:t>更新、</w:t>
      </w:r>
      <w:r>
        <w:rPr>
          <w:rFonts w:hint="eastAsia" w:asciiTheme="minorEastAsia" w:hAnsiTheme="minorEastAsia"/>
          <w:szCs w:val="21"/>
        </w:rPr>
        <w:t>升级、</w:t>
      </w:r>
      <w:r>
        <w:rPr>
          <w:rFonts w:asciiTheme="minorEastAsia" w:hAnsiTheme="minorEastAsia"/>
          <w:szCs w:val="21"/>
        </w:rPr>
        <w:t>信息系统集成、优化、</w:t>
      </w:r>
      <w:r>
        <w:rPr>
          <w:rFonts w:hint="eastAsia" w:asciiTheme="minorEastAsia" w:hAnsiTheme="minorEastAsia"/>
          <w:szCs w:val="21"/>
        </w:rPr>
        <w:t>服务等，包括：</w:t>
      </w:r>
    </w:p>
    <w:p w14:paraId="751231C9">
      <w:pPr>
        <w:spacing w:after="0" w:line="400" w:lineRule="exact"/>
        <w:ind w:firstLine="420" w:firstLineChars="200"/>
        <w:rPr>
          <w:rFonts w:asciiTheme="minorEastAsia" w:hAnsiTheme="minorEastAsia"/>
          <w:szCs w:val="21"/>
        </w:rPr>
      </w:pPr>
      <w:r>
        <w:rPr>
          <w:rFonts w:hint="eastAsia" w:asciiTheme="minorEastAsia" w:hAnsiTheme="minorEastAsia"/>
          <w:szCs w:val="21"/>
        </w:rPr>
        <w:t>1、道路交通技术监控系统。</w:t>
      </w:r>
    </w:p>
    <w:p w14:paraId="68FC5A65">
      <w:pPr>
        <w:spacing w:after="0" w:line="400" w:lineRule="exact"/>
        <w:ind w:firstLine="420" w:firstLineChars="200"/>
        <w:rPr>
          <w:rFonts w:asciiTheme="minorEastAsia" w:hAnsiTheme="minorEastAsia"/>
          <w:szCs w:val="21"/>
        </w:rPr>
      </w:pPr>
      <w:r>
        <w:rPr>
          <w:rFonts w:hint="eastAsia" w:asciiTheme="minorEastAsia" w:hAnsiTheme="minorEastAsia"/>
          <w:szCs w:val="21"/>
        </w:rPr>
        <w:t>a、</w:t>
      </w:r>
      <w:r>
        <w:rPr>
          <w:rFonts w:hint="eastAsia" w:eastAsia="宋体" w:asciiTheme="minorEastAsia" w:hAnsiTheme="minorEastAsia"/>
          <w:szCs w:val="21"/>
          <w:lang w:val="en-US" w:eastAsia="zh-CN"/>
        </w:rPr>
        <w:t>2018</w:t>
      </w:r>
      <w:r>
        <w:rPr>
          <w:rFonts w:hint="eastAsia" w:asciiTheme="minorEastAsia" w:hAnsiTheme="minorEastAsia"/>
          <w:szCs w:val="21"/>
        </w:rPr>
        <w:t>年</w:t>
      </w:r>
      <w:r>
        <w:rPr>
          <w:rFonts w:asciiTheme="minorEastAsia" w:hAnsiTheme="minorEastAsia"/>
          <w:szCs w:val="21"/>
        </w:rPr>
        <w:t>林州道路</w:t>
      </w:r>
      <w:r>
        <w:rPr>
          <w:rFonts w:hint="eastAsia" w:asciiTheme="minorEastAsia" w:hAnsiTheme="minorEastAsia"/>
          <w:szCs w:val="21"/>
        </w:rPr>
        <w:t>交通大提升</w:t>
      </w:r>
      <w:r>
        <w:rPr>
          <w:rFonts w:asciiTheme="minorEastAsia" w:hAnsiTheme="minorEastAsia"/>
          <w:szCs w:val="21"/>
        </w:rPr>
        <w:t>项目</w:t>
      </w:r>
      <w:r>
        <w:rPr>
          <w:rFonts w:hint="eastAsia" w:asciiTheme="minorEastAsia" w:hAnsiTheme="minorEastAsia"/>
          <w:szCs w:val="21"/>
        </w:rPr>
        <w:t>C包所有建设项目；</w:t>
      </w:r>
    </w:p>
    <w:p w14:paraId="44ED382C">
      <w:pPr>
        <w:spacing w:after="0" w:line="400" w:lineRule="exact"/>
        <w:ind w:firstLine="420" w:firstLineChars="200"/>
        <w:rPr>
          <w:rFonts w:asciiTheme="minorEastAsia" w:hAnsiTheme="minorEastAsia"/>
          <w:szCs w:val="21"/>
        </w:rPr>
      </w:pPr>
      <w:r>
        <w:rPr>
          <w:rFonts w:hint="eastAsia" w:asciiTheme="minorEastAsia" w:hAnsiTheme="minorEastAsia"/>
          <w:szCs w:val="21"/>
        </w:rPr>
        <w:t>b、</w:t>
      </w:r>
      <w:r>
        <w:rPr>
          <w:rFonts w:hint="eastAsia" w:eastAsia="宋体" w:asciiTheme="minorEastAsia" w:hAnsiTheme="minorEastAsia"/>
          <w:szCs w:val="21"/>
          <w:lang w:val="en-US" w:eastAsia="zh-CN"/>
        </w:rPr>
        <w:t>2018</w:t>
      </w:r>
      <w:r>
        <w:rPr>
          <w:rFonts w:hint="eastAsia" w:asciiTheme="minorEastAsia" w:hAnsiTheme="minorEastAsia"/>
          <w:szCs w:val="21"/>
        </w:rPr>
        <w:t>年</w:t>
      </w:r>
      <w:r>
        <w:rPr>
          <w:rFonts w:asciiTheme="minorEastAsia" w:hAnsiTheme="minorEastAsia"/>
          <w:szCs w:val="21"/>
        </w:rPr>
        <w:t>林州道路</w:t>
      </w:r>
      <w:r>
        <w:rPr>
          <w:rFonts w:hint="eastAsia" w:asciiTheme="minorEastAsia" w:hAnsiTheme="minorEastAsia"/>
          <w:szCs w:val="21"/>
        </w:rPr>
        <w:t>交通大提升</w:t>
      </w:r>
      <w:r>
        <w:rPr>
          <w:rFonts w:asciiTheme="minorEastAsia" w:hAnsiTheme="minorEastAsia"/>
          <w:szCs w:val="21"/>
        </w:rPr>
        <w:t>项目</w:t>
      </w:r>
      <w:r>
        <w:rPr>
          <w:rFonts w:hint="eastAsia" w:asciiTheme="minorEastAsia" w:hAnsiTheme="minorEastAsia"/>
          <w:szCs w:val="21"/>
        </w:rPr>
        <w:t>C包之前，</w:t>
      </w:r>
      <w:r>
        <w:rPr>
          <w:rFonts w:asciiTheme="minorEastAsia" w:hAnsiTheme="minorEastAsia"/>
          <w:szCs w:val="21"/>
        </w:rPr>
        <w:t>甲方</w:t>
      </w:r>
      <w:r>
        <w:rPr>
          <w:rFonts w:hint="eastAsia" w:asciiTheme="minorEastAsia" w:hAnsiTheme="minorEastAsia"/>
          <w:szCs w:val="21"/>
        </w:rPr>
        <w:t>所有建设的电子警察</w:t>
      </w:r>
      <w:r>
        <w:rPr>
          <w:rFonts w:asciiTheme="minorEastAsia" w:hAnsiTheme="minorEastAsia"/>
          <w:szCs w:val="21"/>
        </w:rPr>
        <w:t>项目</w:t>
      </w:r>
      <w:r>
        <w:rPr>
          <w:rFonts w:hint="eastAsia" w:asciiTheme="minorEastAsia" w:hAnsiTheme="minorEastAsia"/>
          <w:szCs w:val="21"/>
        </w:rPr>
        <w:t>（包括后台系统）；</w:t>
      </w:r>
    </w:p>
    <w:p w14:paraId="2EB582F7">
      <w:pPr>
        <w:spacing w:after="0" w:line="400" w:lineRule="exact"/>
        <w:ind w:firstLine="420" w:firstLineChars="200"/>
        <w:rPr>
          <w:rFonts w:asciiTheme="minorEastAsia" w:hAnsiTheme="minorEastAsia"/>
          <w:szCs w:val="21"/>
        </w:rPr>
      </w:pPr>
      <w:r>
        <w:rPr>
          <w:rFonts w:hint="eastAsia" w:asciiTheme="minorEastAsia" w:hAnsiTheme="minorEastAsia"/>
          <w:szCs w:val="21"/>
        </w:rPr>
        <w:t>c、林州市“天眼”工程移交给甲方的所有设备；</w:t>
      </w:r>
    </w:p>
    <w:p w14:paraId="6D69BA7A">
      <w:pPr>
        <w:spacing w:after="0" w:line="400" w:lineRule="exact"/>
        <w:ind w:firstLine="420" w:firstLineChars="200"/>
        <w:rPr>
          <w:rFonts w:asciiTheme="minorEastAsia" w:hAnsiTheme="minorEastAsia"/>
          <w:szCs w:val="21"/>
        </w:rPr>
      </w:pPr>
      <w:r>
        <w:rPr>
          <w:rFonts w:hint="eastAsia" w:asciiTheme="minorEastAsia" w:hAnsiTheme="minorEastAsia"/>
          <w:szCs w:val="21"/>
        </w:rPr>
        <w:t>d、通过交警大队验收许可，接入的其他单位新建的道路交通技术监控设备。</w:t>
      </w:r>
    </w:p>
    <w:p w14:paraId="288F673F">
      <w:pPr>
        <w:tabs>
          <w:tab w:val="left" w:pos="267"/>
        </w:tabs>
        <w:spacing w:after="0" w:line="400" w:lineRule="exact"/>
        <w:ind w:firstLine="420" w:firstLineChars="200"/>
        <w:rPr>
          <w:rFonts w:asciiTheme="minorEastAsia" w:hAnsiTheme="minorEastAsia"/>
          <w:szCs w:val="21"/>
        </w:rPr>
      </w:pPr>
      <w:r>
        <w:rPr>
          <w:rFonts w:hint="eastAsia" w:asciiTheme="minorEastAsia" w:hAnsiTheme="minorEastAsia"/>
          <w:szCs w:val="21"/>
        </w:rPr>
        <w:t>2、电子诱导屏系统</w:t>
      </w:r>
      <w:r>
        <w:rPr>
          <w:rFonts w:asciiTheme="minorEastAsia" w:hAnsiTheme="minorEastAsia"/>
          <w:szCs w:val="21"/>
        </w:rPr>
        <w:t>。</w:t>
      </w:r>
    </w:p>
    <w:p w14:paraId="1B19A366">
      <w:pPr>
        <w:tabs>
          <w:tab w:val="left" w:pos="267"/>
        </w:tabs>
        <w:spacing w:after="0" w:line="400" w:lineRule="exact"/>
        <w:ind w:firstLine="420" w:firstLineChars="200"/>
        <w:rPr>
          <w:rFonts w:asciiTheme="minorEastAsia" w:hAnsiTheme="minorEastAsia"/>
          <w:szCs w:val="21"/>
        </w:rPr>
      </w:pPr>
      <w:r>
        <w:rPr>
          <w:rFonts w:hint="eastAsia" w:asciiTheme="minorEastAsia" w:hAnsiTheme="minorEastAsia"/>
          <w:szCs w:val="21"/>
        </w:rPr>
        <w:t>3、</w:t>
      </w:r>
      <w:r>
        <w:rPr>
          <w:rFonts w:hint="eastAsia" w:eastAsia="宋体" w:asciiTheme="minorEastAsia" w:hAnsiTheme="minorEastAsia"/>
          <w:szCs w:val="21"/>
          <w:lang w:eastAsia="zh-CN"/>
        </w:rPr>
        <w:t>更新、</w:t>
      </w:r>
      <w:r>
        <w:rPr>
          <w:rFonts w:hint="eastAsia" w:asciiTheme="minorEastAsia" w:hAnsiTheme="minorEastAsia"/>
          <w:szCs w:val="21"/>
        </w:rPr>
        <w:t>升级、</w:t>
      </w:r>
      <w:r>
        <w:rPr>
          <w:rFonts w:asciiTheme="minorEastAsia" w:hAnsiTheme="minorEastAsia"/>
          <w:szCs w:val="21"/>
        </w:rPr>
        <w:t>信息系统集成、</w:t>
      </w:r>
      <w:r>
        <w:rPr>
          <w:rFonts w:hint="eastAsia" w:asciiTheme="minorEastAsia" w:hAnsiTheme="minorEastAsia"/>
          <w:szCs w:val="21"/>
        </w:rPr>
        <w:t>保养、</w:t>
      </w:r>
      <w:r>
        <w:rPr>
          <w:rFonts w:asciiTheme="minorEastAsia" w:hAnsiTheme="minorEastAsia"/>
          <w:szCs w:val="21"/>
        </w:rPr>
        <w:t>优化、</w:t>
      </w:r>
      <w:r>
        <w:rPr>
          <w:rFonts w:hint="eastAsia" w:asciiTheme="minorEastAsia" w:hAnsiTheme="minorEastAsia"/>
          <w:szCs w:val="21"/>
        </w:rPr>
        <w:t>服务等</w:t>
      </w:r>
      <w:r>
        <w:rPr>
          <w:rFonts w:asciiTheme="minorEastAsia" w:hAnsiTheme="minorEastAsia"/>
          <w:szCs w:val="21"/>
        </w:rPr>
        <w:t>。</w:t>
      </w:r>
    </w:p>
    <w:p w14:paraId="14A1F7D1">
      <w:pPr>
        <w:tabs>
          <w:tab w:val="left" w:pos="267"/>
        </w:tabs>
        <w:spacing w:after="0" w:line="400" w:lineRule="exact"/>
        <w:ind w:firstLine="420" w:firstLineChars="200"/>
        <w:rPr>
          <w:rFonts w:asciiTheme="minorEastAsia" w:hAnsiTheme="minorEastAsia"/>
          <w:szCs w:val="21"/>
        </w:rPr>
      </w:pPr>
      <w:r>
        <w:rPr>
          <w:rFonts w:hint="eastAsia" w:asciiTheme="minorEastAsia" w:hAnsiTheme="minorEastAsia"/>
          <w:szCs w:val="21"/>
        </w:rPr>
        <w:t>4、所有网络接入及维修（详见附件2）。</w:t>
      </w:r>
    </w:p>
    <w:p w14:paraId="27E7D5A9">
      <w:pPr>
        <w:tabs>
          <w:tab w:val="left" w:pos="267"/>
        </w:tabs>
        <w:spacing w:after="0" w:line="400" w:lineRule="exact"/>
        <w:ind w:firstLine="420" w:firstLineChars="200"/>
        <w:rPr>
          <w:rFonts w:asciiTheme="minorEastAsia" w:hAnsiTheme="minorEastAsia"/>
          <w:szCs w:val="21"/>
        </w:rPr>
      </w:pPr>
      <w:r>
        <w:rPr>
          <w:rFonts w:hint="eastAsia" w:asciiTheme="minorEastAsia" w:hAnsiTheme="minorEastAsia"/>
          <w:szCs w:val="21"/>
        </w:rPr>
        <w:t>5、权属归属于</w:t>
      </w:r>
      <w:r>
        <w:rPr>
          <w:rFonts w:asciiTheme="minorEastAsia" w:hAnsiTheme="minorEastAsia"/>
          <w:szCs w:val="21"/>
        </w:rPr>
        <w:t>甲方</w:t>
      </w:r>
      <w:r>
        <w:rPr>
          <w:rFonts w:hint="eastAsia" w:asciiTheme="minorEastAsia" w:hAnsiTheme="minorEastAsia"/>
          <w:szCs w:val="21"/>
        </w:rPr>
        <w:t>的其</w:t>
      </w:r>
      <w:r>
        <w:rPr>
          <w:rFonts w:asciiTheme="minorEastAsia" w:hAnsiTheme="minorEastAsia"/>
          <w:szCs w:val="21"/>
        </w:rPr>
        <w:t>它道路交通技术</w:t>
      </w:r>
      <w:r>
        <w:rPr>
          <w:rFonts w:hint="eastAsia" w:asciiTheme="minorEastAsia" w:hAnsiTheme="minorEastAsia"/>
          <w:szCs w:val="21"/>
        </w:rPr>
        <w:t>监控设备</w:t>
      </w:r>
      <w:r>
        <w:rPr>
          <w:rFonts w:asciiTheme="minorEastAsia" w:hAnsiTheme="minorEastAsia"/>
          <w:szCs w:val="21"/>
        </w:rPr>
        <w:t>。</w:t>
      </w:r>
    </w:p>
    <w:p w14:paraId="42899280">
      <w:pPr>
        <w:spacing w:after="0" w:line="400" w:lineRule="exact"/>
        <w:rPr>
          <w:rFonts w:asciiTheme="minorEastAsia" w:hAnsiTheme="minorEastAsia"/>
          <w:szCs w:val="21"/>
        </w:rPr>
      </w:pPr>
      <w:r>
        <w:rPr>
          <w:rFonts w:hint="eastAsia" w:asciiTheme="minorEastAsia" w:hAnsiTheme="minorEastAsia"/>
          <w:szCs w:val="21"/>
        </w:rPr>
        <w:t>三、维保内容</w:t>
      </w:r>
    </w:p>
    <w:p w14:paraId="2C46DE17">
      <w:pPr>
        <w:spacing w:after="0" w:line="400" w:lineRule="exact"/>
        <w:ind w:firstLine="420" w:firstLineChars="200"/>
        <w:rPr>
          <w:rFonts w:asciiTheme="minorEastAsia" w:hAnsiTheme="minorEastAsia"/>
          <w:szCs w:val="21"/>
        </w:rPr>
      </w:pPr>
      <w:r>
        <w:rPr>
          <w:rFonts w:hint="eastAsia" w:asciiTheme="minorEastAsia" w:hAnsiTheme="minorEastAsia"/>
          <w:szCs w:val="21"/>
        </w:rPr>
        <w:t>维</w:t>
      </w:r>
      <w:r>
        <w:rPr>
          <w:rFonts w:asciiTheme="minorEastAsia" w:hAnsiTheme="minorEastAsia"/>
          <w:szCs w:val="21"/>
        </w:rPr>
        <w:t>保</w:t>
      </w:r>
      <w:r>
        <w:rPr>
          <w:rFonts w:hint="eastAsia" w:asciiTheme="minorEastAsia" w:hAnsiTheme="minorEastAsia"/>
          <w:szCs w:val="21"/>
        </w:rPr>
        <w:t>内容主要包括故障</w:t>
      </w:r>
      <w:r>
        <w:rPr>
          <w:rFonts w:asciiTheme="minorEastAsia" w:hAnsiTheme="minorEastAsia"/>
          <w:szCs w:val="21"/>
        </w:rPr>
        <w:t>维护</w:t>
      </w:r>
      <w:r>
        <w:rPr>
          <w:rFonts w:hint="eastAsia" w:asciiTheme="minorEastAsia" w:hAnsiTheme="minorEastAsia"/>
          <w:szCs w:val="21"/>
        </w:rPr>
        <w:t>、应急抢修和日常保养</w:t>
      </w:r>
      <w:r>
        <w:rPr>
          <w:rFonts w:asciiTheme="minorEastAsia" w:hAnsiTheme="minorEastAsia"/>
          <w:szCs w:val="21"/>
        </w:rPr>
        <w:t>维护</w:t>
      </w:r>
      <w:r>
        <w:rPr>
          <w:rFonts w:hint="eastAsia" w:asciiTheme="minorEastAsia" w:hAnsiTheme="minorEastAsia"/>
          <w:szCs w:val="21"/>
        </w:rPr>
        <w:t>三部分（详见附件1），具体内容如下：</w:t>
      </w:r>
    </w:p>
    <w:p w14:paraId="6CB16FBF">
      <w:pPr>
        <w:spacing w:after="0" w:line="400" w:lineRule="exact"/>
        <w:ind w:firstLine="420" w:firstLineChars="200"/>
        <w:rPr>
          <w:rFonts w:asciiTheme="minorEastAsia" w:hAnsiTheme="minorEastAsia"/>
          <w:szCs w:val="21"/>
        </w:rPr>
      </w:pPr>
      <w:r>
        <w:rPr>
          <w:rFonts w:hint="eastAsia" w:asciiTheme="minorEastAsia" w:hAnsiTheme="minorEastAsia"/>
          <w:szCs w:val="21"/>
        </w:rPr>
        <w:t>1、前端设备（前端抓拍单元、球机、补光灯、闪光灯、雷达等）的日常维保巡检、应急抢修，每月清理一次；</w:t>
      </w:r>
    </w:p>
    <w:p w14:paraId="0C6FF4FD">
      <w:pPr>
        <w:spacing w:after="0" w:line="400" w:lineRule="exact"/>
        <w:ind w:firstLine="420" w:firstLineChars="200"/>
        <w:rPr>
          <w:rFonts w:asciiTheme="minorEastAsia" w:hAnsiTheme="minorEastAsia"/>
          <w:szCs w:val="21"/>
        </w:rPr>
      </w:pPr>
      <w:r>
        <w:rPr>
          <w:rFonts w:hint="eastAsia" w:asciiTheme="minorEastAsia" w:hAnsiTheme="minorEastAsia"/>
          <w:szCs w:val="21"/>
        </w:rPr>
        <w:t>2、后端设施（交换机、服务器、数据库、存储阵列等）的日常维保、巡检、应急抢修和机房保洁；</w:t>
      </w:r>
    </w:p>
    <w:p w14:paraId="6F407141">
      <w:pPr>
        <w:spacing w:after="0" w:line="400" w:lineRule="exact"/>
        <w:ind w:firstLine="420" w:firstLineChars="200"/>
        <w:rPr>
          <w:rFonts w:asciiTheme="minorEastAsia" w:hAnsiTheme="minorEastAsia"/>
          <w:szCs w:val="21"/>
        </w:rPr>
      </w:pPr>
      <w:r>
        <w:rPr>
          <w:rFonts w:hint="eastAsia" w:asciiTheme="minorEastAsia" w:hAnsiTheme="minorEastAsia"/>
          <w:szCs w:val="21"/>
        </w:rPr>
        <w:t>3、应用软件（图片二次分析、智能交通综合管理平台等）的日常维保；</w:t>
      </w:r>
    </w:p>
    <w:p w14:paraId="61436837">
      <w:pPr>
        <w:spacing w:after="0" w:line="400" w:lineRule="exact"/>
        <w:ind w:firstLine="420" w:firstLineChars="200"/>
        <w:rPr>
          <w:rFonts w:asciiTheme="minorEastAsia" w:hAnsiTheme="minorEastAsia"/>
          <w:szCs w:val="21"/>
        </w:rPr>
      </w:pPr>
      <w:r>
        <w:rPr>
          <w:rFonts w:hint="eastAsia" w:asciiTheme="minorEastAsia" w:hAnsiTheme="minorEastAsia"/>
          <w:szCs w:val="21"/>
        </w:rPr>
        <w:t>4、监控中心运行保障；</w:t>
      </w:r>
    </w:p>
    <w:p w14:paraId="0D645E75">
      <w:pPr>
        <w:spacing w:after="0" w:line="400" w:lineRule="exact"/>
        <w:ind w:firstLine="420" w:firstLineChars="200"/>
      </w:pPr>
      <w:r>
        <w:rPr>
          <w:rFonts w:hint="eastAsia" w:asciiTheme="minorEastAsia" w:hAnsiTheme="minorEastAsia"/>
          <w:szCs w:val="21"/>
        </w:rPr>
        <w:t>5、重大活动及事件应急保障；</w:t>
      </w:r>
    </w:p>
    <w:p w14:paraId="54A4B174">
      <w:pPr>
        <w:spacing w:after="0" w:line="400" w:lineRule="exact"/>
        <w:ind w:firstLine="420" w:firstLineChars="200"/>
      </w:pPr>
      <w:r>
        <w:rPr>
          <w:rFonts w:hint="eastAsia"/>
        </w:rPr>
        <w:t>6、按照国家、行业相关规定进行前端设备和中心平台设备、软件的升级，并对甲方要求的功能进行优化完善。</w:t>
      </w:r>
    </w:p>
    <w:p w14:paraId="5F17DB26">
      <w:pPr>
        <w:spacing w:after="0" w:line="400" w:lineRule="exact"/>
        <w:ind w:firstLine="420" w:firstLineChars="200"/>
        <w:rPr>
          <w:rFonts w:asciiTheme="minorEastAsia" w:hAnsiTheme="minorEastAsia"/>
          <w:szCs w:val="21"/>
        </w:rPr>
      </w:pPr>
      <w:r>
        <w:rPr>
          <w:rFonts w:hint="eastAsia" w:asciiTheme="minorEastAsia" w:hAnsiTheme="minorEastAsia"/>
          <w:szCs w:val="21"/>
        </w:rPr>
        <w:t>7、加强平台数据库维护管理，随时做好移交工作；</w:t>
      </w:r>
    </w:p>
    <w:p w14:paraId="74F0272A">
      <w:pPr>
        <w:spacing w:after="0" w:line="400" w:lineRule="exact"/>
        <w:ind w:firstLine="420" w:firstLineChars="200"/>
        <w:rPr>
          <w:rFonts w:asciiTheme="minorEastAsia" w:hAnsiTheme="minorEastAsia"/>
          <w:szCs w:val="21"/>
        </w:rPr>
      </w:pPr>
      <w:r>
        <w:rPr>
          <w:rFonts w:hint="eastAsia" w:asciiTheme="minorEastAsia" w:hAnsiTheme="minorEastAsia"/>
          <w:szCs w:val="21"/>
        </w:rPr>
        <w:t>8、</w:t>
      </w:r>
      <w:r>
        <w:rPr>
          <w:rFonts w:asciiTheme="minorEastAsia" w:hAnsiTheme="minorEastAsia"/>
          <w:szCs w:val="21"/>
        </w:rPr>
        <w:t>甲</w:t>
      </w:r>
      <w:r>
        <w:rPr>
          <w:rFonts w:hint="eastAsia" w:asciiTheme="minorEastAsia" w:hAnsiTheme="minorEastAsia"/>
          <w:szCs w:val="21"/>
        </w:rPr>
        <w:t>方承建和整合的所有系统及软硬件均在维保范围内。</w:t>
      </w:r>
    </w:p>
    <w:p w14:paraId="0C2D35F2">
      <w:pPr>
        <w:spacing w:after="0" w:line="400" w:lineRule="exact"/>
        <w:rPr>
          <w:rFonts w:asciiTheme="minorEastAsia" w:hAnsiTheme="minorEastAsia"/>
          <w:szCs w:val="21"/>
        </w:rPr>
      </w:pPr>
      <w:r>
        <w:rPr>
          <w:rFonts w:hint="eastAsia" w:asciiTheme="minorEastAsia" w:hAnsiTheme="minorEastAsia"/>
          <w:szCs w:val="21"/>
        </w:rPr>
        <w:t>四、维保方式</w:t>
      </w:r>
    </w:p>
    <w:p w14:paraId="6FF54E32">
      <w:pPr>
        <w:spacing w:after="0" w:line="400" w:lineRule="exact"/>
        <w:ind w:firstLine="420" w:firstLineChars="200"/>
        <w:rPr>
          <w:rFonts w:asciiTheme="minorEastAsia" w:hAnsiTheme="minorEastAsia"/>
          <w:szCs w:val="21"/>
        </w:rPr>
      </w:pPr>
      <w:r>
        <w:rPr>
          <w:rFonts w:hint="eastAsia" w:asciiTheme="minorEastAsia" w:hAnsiTheme="minorEastAsia"/>
          <w:szCs w:val="21"/>
        </w:rPr>
        <w:t>1、依据</w:t>
      </w:r>
      <w:r>
        <w:rPr>
          <w:rFonts w:asciiTheme="minorEastAsia" w:hAnsiTheme="minorEastAsia"/>
          <w:szCs w:val="21"/>
        </w:rPr>
        <w:t>GA/T1043-</w:t>
      </w:r>
      <w:r>
        <w:rPr>
          <w:rFonts w:hint="eastAsia" w:asciiTheme="minorEastAsia" w:hAnsiTheme="minorEastAsia"/>
          <w:szCs w:val="21"/>
        </w:rPr>
        <w:t>2013</w:t>
      </w:r>
      <w:r>
        <w:rPr>
          <w:rFonts w:asciiTheme="minorEastAsia" w:hAnsiTheme="minorEastAsia"/>
          <w:szCs w:val="21"/>
        </w:rPr>
        <w:t>《</w:t>
      </w:r>
      <w:r>
        <w:rPr>
          <w:rFonts w:hint="eastAsia" w:asciiTheme="minorEastAsia" w:hAnsiTheme="minorEastAsia"/>
          <w:szCs w:val="21"/>
        </w:rPr>
        <w:t>中华人民共和国</w:t>
      </w:r>
      <w:r>
        <w:rPr>
          <w:rFonts w:asciiTheme="minorEastAsia" w:hAnsiTheme="minorEastAsia"/>
          <w:szCs w:val="21"/>
        </w:rPr>
        <w:t>公共安全行业规范》</w:t>
      </w:r>
      <w:r>
        <w:rPr>
          <w:rFonts w:hint="eastAsia" w:asciiTheme="minorEastAsia" w:hAnsiTheme="minorEastAsia"/>
          <w:szCs w:val="21"/>
        </w:rPr>
        <w:t>对道路交通技术监控设备运行维护规范，结合林州实际情况进行调研，为节省开支，降低维修成本和开支，以人员车辆定编维保为宜，通过考察和研究，确定机房</w:t>
      </w:r>
      <w:r>
        <w:rPr>
          <w:rFonts w:asciiTheme="minorEastAsia" w:hAnsiTheme="minorEastAsia"/>
          <w:szCs w:val="21"/>
        </w:rPr>
        <w:t>巡检维保</w:t>
      </w:r>
      <w:r>
        <w:rPr>
          <w:rFonts w:hint="eastAsia" w:asciiTheme="minorEastAsia" w:hAnsiTheme="minorEastAsia"/>
          <w:szCs w:val="21"/>
        </w:rPr>
        <w:t>3人，每班1人</w:t>
      </w:r>
      <w:r>
        <w:rPr>
          <w:rFonts w:asciiTheme="minorEastAsia" w:hAnsiTheme="minorEastAsia"/>
          <w:szCs w:val="21"/>
        </w:rPr>
        <w:t>，</w:t>
      </w:r>
      <w:r>
        <w:rPr>
          <w:rFonts w:hint="eastAsia" w:asciiTheme="minorEastAsia" w:hAnsiTheme="minorEastAsia"/>
          <w:szCs w:val="21"/>
        </w:rPr>
        <w:t>采取</w:t>
      </w:r>
      <w:r>
        <w:rPr>
          <w:rFonts w:hint="eastAsia" w:eastAsia="宋体" w:asciiTheme="minorEastAsia" w:hAnsiTheme="minorEastAsia"/>
          <w:szCs w:val="21"/>
          <w:lang w:val="en-US" w:eastAsia="zh-CN"/>
        </w:rPr>
        <w:t>24小时应急值班</w:t>
      </w:r>
      <w:r>
        <w:rPr>
          <w:rFonts w:hint="eastAsia" w:asciiTheme="minorEastAsia" w:hAnsiTheme="minorEastAsia"/>
          <w:szCs w:val="21"/>
        </w:rPr>
        <w:t>，负责机房安全和日常管理，及时处理突发性问题，不得擅自离开工作岗位。</w:t>
      </w:r>
    </w:p>
    <w:p w14:paraId="66BAE64B">
      <w:pPr>
        <w:spacing w:after="0" w:line="400" w:lineRule="exact"/>
        <w:ind w:firstLine="420" w:firstLineChars="200"/>
        <w:rPr>
          <w:rFonts w:asciiTheme="minorEastAsia" w:hAnsiTheme="minorEastAsia"/>
          <w:szCs w:val="21"/>
        </w:rPr>
      </w:pPr>
      <w:r>
        <w:rPr>
          <w:rFonts w:hint="eastAsia" w:asciiTheme="minorEastAsia" w:hAnsiTheme="minorEastAsia"/>
          <w:szCs w:val="21"/>
        </w:rPr>
        <w:t>2、机房外</w:t>
      </w:r>
      <w:r>
        <w:rPr>
          <w:rFonts w:asciiTheme="minorEastAsia" w:hAnsiTheme="minorEastAsia"/>
          <w:szCs w:val="21"/>
        </w:rPr>
        <w:t>维护人员4</w:t>
      </w:r>
      <w:r>
        <w:rPr>
          <w:rFonts w:hint="eastAsia" w:asciiTheme="minorEastAsia" w:hAnsiTheme="minorEastAsia"/>
          <w:szCs w:val="21"/>
        </w:rPr>
        <w:t>人</w:t>
      </w:r>
      <w:r>
        <w:rPr>
          <w:rFonts w:asciiTheme="minorEastAsia" w:hAnsiTheme="minorEastAsia"/>
          <w:szCs w:val="21"/>
        </w:rPr>
        <w:t>，</w:t>
      </w:r>
      <w:r>
        <w:rPr>
          <w:rFonts w:hint="eastAsia" w:asciiTheme="minorEastAsia" w:hAnsiTheme="minorEastAsia"/>
          <w:szCs w:val="21"/>
        </w:rPr>
        <w:t>以长春大道为南北分界线(长春大道包含在市区以南)，长春大道以南确定维修人员2人工作车辆一部，长春大道以北确定维修人员2人工作车辆一部。</w:t>
      </w:r>
    </w:p>
    <w:p w14:paraId="2BF54ABB">
      <w:pPr>
        <w:spacing w:after="0" w:line="400" w:lineRule="exact"/>
        <w:ind w:firstLine="420" w:firstLineChars="200"/>
        <w:rPr>
          <w:rFonts w:asciiTheme="minorEastAsia" w:hAnsiTheme="minorEastAsia"/>
          <w:szCs w:val="21"/>
        </w:rPr>
      </w:pPr>
      <w:r>
        <w:rPr>
          <w:rFonts w:hint="eastAsia" w:asciiTheme="minorEastAsia" w:hAnsiTheme="minorEastAsia"/>
          <w:szCs w:val="21"/>
        </w:rPr>
        <w:t>3、派驻人员要积极主动与甲方取得联系，按照附件5的人员、车辆落实到位。</w:t>
      </w:r>
    </w:p>
    <w:p w14:paraId="7F8EF536">
      <w:pPr>
        <w:spacing w:after="0" w:line="400" w:lineRule="exact"/>
        <w:ind w:firstLine="420" w:firstLineChars="200"/>
        <w:rPr>
          <w:rFonts w:asciiTheme="minorEastAsia" w:hAnsiTheme="minorEastAsia"/>
          <w:szCs w:val="21"/>
        </w:rPr>
      </w:pPr>
      <w:r>
        <w:rPr>
          <w:rFonts w:hint="eastAsia" w:asciiTheme="minorEastAsia" w:hAnsiTheme="minorEastAsia"/>
          <w:szCs w:val="21"/>
        </w:rPr>
        <w:t>4、派驻人员要精通业务，具有相关的专业知识，履行管理制度（见附件3）。</w:t>
      </w:r>
    </w:p>
    <w:p w14:paraId="436B7E69">
      <w:pPr>
        <w:pStyle w:val="16"/>
        <w:spacing w:after="0" w:line="400" w:lineRule="exact"/>
        <w:ind w:left="0" w:leftChars="0"/>
        <w:rPr>
          <w:rFonts w:asciiTheme="minorEastAsia" w:hAnsiTheme="minorEastAsia"/>
          <w:szCs w:val="21"/>
        </w:rPr>
      </w:pPr>
      <w:r>
        <w:rPr>
          <w:rFonts w:hint="eastAsia" w:asciiTheme="minorEastAsia" w:hAnsiTheme="minorEastAsia"/>
          <w:szCs w:val="21"/>
        </w:rPr>
        <w:t>5、维保人员依照本合同实施开展各项工作，对工作不负责任，给甲方造成损失的视情况对乙方进行</w:t>
      </w:r>
      <w:r>
        <w:rPr>
          <w:rFonts w:asciiTheme="minorEastAsia" w:hAnsiTheme="minorEastAsia"/>
          <w:szCs w:val="21"/>
        </w:rPr>
        <w:t>经济</w:t>
      </w:r>
      <w:r>
        <w:rPr>
          <w:rFonts w:hint="eastAsia" w:asciiTheme="minorEastAsia" w:hAnsiTheme="minorEastAsia"/>
          <w:szCs w:val="21"/>
        </w:rPr>
        <w:t>处罚。</w:t>
      </w:r>
    </w:p>
    <w:p w14:paraId="546C4360">
      <w:pPr>
        <w:spacing w:after="0" w:line="400" w:lineRule="exact"/>
        <w:ind w:firstLine="420" w:firstLineChars="200"/>
        <w:rPr>
          <w:rFonts w:asciiTheme="minorEastAsia" w:hAnsiTheme="minorEastAsia"/>
          <w:szCs w:val="21"/>
        </w:rPr>
      </w:pPr>
      <w:r>
        <w:rPr>
          <w:rFonts w:hint="eastAsia" w:asciiTheme="minorEastAsia" w:hAnsiTheme="minorEastAsia"/>
          <w:szCs w:val="21"/>
        </w:rPr>
        <w:t>6、遇有重特大事件时，乙方要启动抢修预案积极应对（重特大事件及意外突发状况应急预案，详见附件4）。</w:t>
      </w:r>
    </w:p>
    <w:p w14:paraId="5F797F3D">
      <w:pPr>
        <w:spacing w:after="0" w:line="400" w:lineRule="exact"/>
        <w:ind w:firstLine="420" w:firstLineChars="200"/>
        <w:rPr>
          <w:rFonts w:asciiTheme="minorEastAsia" w:hAnsiTheme="minorEastAsia"/>
          <w:szCs w:val="21"/>
        </w:rPr>
      </w:pPr>
      <w:r>
        <w:rPr>
          <w:rFonts w:hint="eastAsia" w:asciiTheme="minorEastAsia" w:hAnsiTheme="minorEastAsia"/>
          <w:szCs w:val="21"/>
        </w:rPr>
        <w:t>7、在免费质保期内，所有设备维修由原承建方负责。超过质保期后，确需更换的设备由科技中队相关人员或乙方维修人员提出书面申请，经科技中队负责人及大队领导批准之后实施并报设施中队备案。</w:t>
      </w:r>
    </w:p>
    <w:p w14:paraId="155AF91D">
      <w:pPr>
        <w:spacing w:after="0" w:line="400" w:lineRule="exact"/>
        <w:rPr>
          <w:rFonts w:asciiTheme="minorEastAsia" w:hAnsiTheme="minorEastAsia"/>
          <w:szCs w:val="21"/>
        </w:rPr>
      </w:pPr>
      <w:r>
        <w:rPr>
          <w:rFonts w:hint="eastAsia" w:asciiTheme="minorEastAsia" w:hAnsiTheme="minorEastAsia"/>
          <w:szCs w:val="21"/>
        </w:rPr>
        <w:t>五、结算费用</w:t>
      </w:r>
    </w:p>
    <w:p w14:paraId="3C0F3239">
      <w:pPr>
        <w:spacing w:after="0" w:line="400" w:lineRule="exact"/>
        <w:ind w:firstLine="420" w:firstLineChars="200"/>
        <w:rPr>
          <w:rFonts w:asciiTheme="minorEastAsia" w:hAnsiTheme="minorEastAsia"/>
          <w:szCs w:val="21"/>
        </w:rPr>
      </w:pPr>
      <w:r>
        <w:rPr>
          <w:rFonts w:hint="eastAsia" w:asciiTheme="minorEastAsia" w:hAnsiTheme="minorEastAsia"/>
          <w:szCs w:val="21"/>
        </w:rPr>
        <w:t>依据</w:t>
      </w:r>
      <w:r>
        <w:rPr>
          <w:rFonts w:asciiTheme="minorEastAsia" w:hAnsiTheme="minorEastAsia"/>
          <w:szCs w:val="21"/>
        </w:rPr>
        <w:t>GA/T1043-</w:t>
      </w:r>
      <w:r>
        <w:rPr>
          <w:rFonts w:hint="eastAsia" w:asciiTheme="minorEastAsia" w:hAnsiTheme="minorEastAsia"/>
          <w:szCs w:val="21"/>
        </w:rPr>
        <w:t>2013</w:t>
      </w:r>
      <w:r>
        <w:rPr>
          <w:rFonts w:asciiTheme="minorEastAsia" w:hAnsiTheme="minorEastAsia"/>
          <w:szCs w:val="21"/>
        </w:rPr>
        <w:t>《</w:t>
      </w:r>
      <w:r>
        <w:rPr>
          <w:rFonts w:hint="eastAsia" w:asciiTheme="minorEastAsia" w:hAnsiTheme="minorEastAsia"/>
          <w:szCs w:val="21"/>
        </w:rPr>
        <w:t>中华人民共和国</w:t>
      </w:r>
      <w:r>
        <w:rPr>
          <w:rFonts w:asciiTheme="minorEastAsia" w:hAnsiTheme="minorEastAsia"/>
          <w:szCs w:val="21"/>
        </w:rPr>
        <w:t>公共安全行业规范》</w:t>
      </w:r>
      <w:r>
        <w:rPr>
          <w:rFonts w:hint="eastAsia" w:asciiTheme="minorEastAsia" w:hAnsiTheme="minorEastAsia"/>
          <w:szCs w:val="21"/>
        </w:rPr>
        <w:t>对道路交通技术监控设备运行维护规范，维护成本高，结算费用较多，结合林州实际情况进行调研，为节省开支，降低维修成本和开支，以人员车辆定编维保为宜，单价招标审批更换设备或升级新建的方式进行费用结算。</w:t>
      </w:r>
    </w:p>
    <w:p w14:paraId="30E4C92F">
      <w:pPr>
        <w:numPr>
          <w:ilvl w:val="0"/>
          <w:numId w:val="7"/>
        </w:numPr>
        <w:spacing w:after="0" w:line="400" w:lineRule="exact"/>
        <w:ind w:firstLine="420" w:firstLineChars="200"/>
      </w:pPr>
      <w:r>
        <w:rPr>
          <w:rFonts w:hint="eastAsia" w:asciiTheme="minorEastAsia" w:hAnsiTheme="minorEastAsia"/>
          <w:szCs w:val="21"/>
        </w:rPr>
        <w:t>人员车辆费用：维修人员每月工资7人*</w:t>
      </w:r>
      <w:r>
        <w:rPr>
          <w:rFonts w:hint="eastAsia" w:eastAsia="宋体" w:asciiTheme="minorEastAsia" w:hAnsiTheme="minorEastAsia"/>
          <w:szCs w:val="21"/>
          <w:lang w:val="en-US" w:eastAsia="zh-CN"/>
        </w:rPr>
        <w:t>XXXX</w:t>
      </w:r>
      <w:r>
        <w:rPr>
          <w:rFonts w:hint="eastAsia" w:asciiTheme="minorEastAsia" w:hAnsiTheme="minorEastAsia"/>
          <w:szCs w:val="21"/>
        </w:rPr>
        <w:t>元=</w:t>
      </w:r>
      <w:r>
        <w:rPr>
          <w:rFonts w:hint="eastAsia" w:eastAsia="宋体" w:asciiTheme="minorEastAsia" w:hAnsiTheme="minorEastAsia"/>
          <w:szCs w:val="21"/>
          <w:lang w:val="en-US" w:eastAsia="zh-CN"/>
        </w:rPr>
        <w:t>XXXX</w:t>
      </w:r>
      <w:r>
        <w:rPr>
          <w:rFonts w:hint="eastAsia" w:asciiTheme="minorEastAsia" w:hAnsiTheme="minorEastAsia"/>
          <w:szCs w:val="21"/>
        </w:rPr>
        <w:t>元（</w:t>
      </w:r>
      <w:r>
        <w:rPr>
          <w:rFonts w:hint="eastAsia" w:ascii="宋体" w:hAnsi="宋体" w:cs="宋体"/>
          <w:kern w:val="0"/>
          <w:szCs w:val="21"/>
        </w:rPr>
        <w:t>含社保、奖金、福利等费用);维修工作车辆每月燃油费2辆*</w:t>
      </w:r>
      <w:r>
        <w:rPr>
          <w:rFonts w:hint="eastAsia" w:ascii="宋体" w:hAnsi="宋体" w:eastAsia="宋体" w:cs="宋体"/>
          <w:kern w:val="0"/>
          <w:szCs w:val="21"/>
          <w:lang w:val="en-US" w:eastAsia="zh-CN"/>
        </w:rPr>
        <w:t>XXXX</w:t>
      </w:r>
      <w:r>
        <w:rPr>
          <w:rFonts w:hint="eastAsia" w:ascii="宋体" w:hAnsi="宋体" w:cs="宋体"/>
          <w:kern w:val="0"/>
          <w:szCs w:val="21"/>
        </w:rPr>
        <w:t>元=</w:t>
      </w:r>
      <w:r>
        <w:rPr>
          <w:rFonts w:hint="eastAsia" w:ascii="宋体" w:hAnsi="宋体" w:eastAsia="宋体" w:cs="宋体"/>
          <w:kern w:val="0"/>
          <w:szCs w:val="21"/>
          <w:lang w:val="en-US" w:eastAsia="zh-CN"/>
        </w:rPr>
        <w:t>XXXX</w:t>
      </w:r>
      <w:r>
        <w:rPr>
          <w:rFonts w:hint="eastAsia" w:ascii="宋体" w:hAnsi="宋体" w:cs="宋体"/>
          <w:kern w:val="0"/>
          <w:szCs w:val="21"/>
        </w:rPr>
        <w:t>元（含交强险）；维修工作车辆每年维修保养费2辆*</w:t>
      </w:r>
      <w:r>
        <w:rPr>
          <w:rFonts w:hint="eastAsia" w:ascii="宋体" w:hAnsi="宋体" w:eastAsia="宋体" w:cs="宋体"/>
          <w:kern w:val="0"/>
          <w:szCs w:val="21"/>
          <w:lang w:val="en-US" w:eastAsia="zh-CN"/>
        </w:rPr>
        <w:t>XXXX</w:t>
      </w:r>
      <w:r>
        <w:rPr>
          <w:rFonts w:hint="eastAsia" w:ascii="宋体" w:hAnsi="宋体" w:cs="宋体"/>
          <w:kern w:val="0"/>
          <w:szCs w:val="21"/>
        </w:rPr>
        <w:t>元=</w:t>
      </w:r>
      <w:r>
        <w:rPr>
          <w:rFonts w:hint="eastAsia" w:ascii="宋体" w:hAnsi="宋体" w:eastAsia="宋体" w:cs="宋体"/>
          <w:kern w:val="0"/>
          <w:szCs w:val="21"/>
          <w:lang w:val="en-US" w:eastAsia="zh-CN"/>
        </w:rPr>
        <w:t>XXXX</w:t>
      </w:r>
      <w:r>
        <w:rPr>
          <w:rFonts w:hint="eastAsia" w:ascii="宋体" w:hAnsi="宋体" w:cs="宋体"/>
          <w:kern w:val="0"/>
          <w:szCs w:val="21"/>
        </w:rPr>
        <w:t>元（此项每年12月份结算）。按照本次招标中标价格，据实结算。</w:t>
      </w:r>
    </w:p>
    <w:p w14:paraId="795F30F4">
      <w:pPr>
        <w:numPr>
          <w:ilvl w:val="0"/>
          <w:numId w:val="7"/>
        </w:numPr>
        <w:spacing w:after="0" w:line="400" w:lineRule="exact"/>
        <w:ind w:firstLine="420" w:firstLineChars="200"/>
        <w:rPr>
          <w:rFonts w:asciiTheme="minorEastAsia" w:hAnsiTheme="minorEastAsia"/>
          <w:szCs w:val="21"/>
        </w:rPr>
      </w:pPr>
      <w:r>
        <w:rPr>
          <w:rFonts w:hint="eastAsia"/>
        </w:rPr>
        <w:t>维修人员工资:维修人员在不影响采购方正常工作下，中标方可以妥善安排，组织人员调休，每人每月调休时间不得超过4天</w:t>
      </w:r>
      <w:r>
        <w:rPr>
          <w:rFonts w:hint="eastAsia" w:eastAsia="宋体"/>
          <w:lang w:eastAsia="zh-CN"/>
        </w:rPr>
        <w:t>（</w:t>
      </w:r>
      <w:r>
        <w:rPr>
          <w:rFonts w:hint="eastAsia"/>
        </w:rPr>
        <w:t>包括节假日</w:t>
      </w:r>
      <w:r>
        <w:rPr>
          <w:rFonts w:hint="eastAsia" w:eastAsia="宋体"/>
          <w:lang w:eastAsia="zh-CN"/>
        </w:rPr>
        <w:t>）</w:t>
      </w:r>
      <w:r>
        <w:rPr>
          <w:rFonts w:hint="eastAsia"/>
        </w:rPr>
        <w:t>，照此约定上班的维护人员，发全月工资，超出本约定时间多休，按照工资比例扣除。</w:t>
      </w:r>
    </w:p>
    <w:p w14:paraId="448664E9">
      <w:pPr>
        <w:numPr>
          <w:ilvl w:val="0"/>
          <w:numId w:val="7"/>
        </w:numPr>
        <w:spacing w:after="0" w:line="400" w:lineRule="exact"/>
        <w:ind w:firstLine="420" w:firstLineChars="200"/>
        <w:rPr>
          <w:rFonts w:asciiTheme="minorEastAsia" w:hAnsiTheme="minorEastAsia"/>
          <w:szCs w:val="21"/>
        </w:rPr>
      </w:pPr>
      <w:r>
        <w:rPr>
          <w:rFonts w:hint="eastAsia" w:asciiTheme="minorEastAsia" w:hAnsiTheme="minorEastAsia"/>
          <w:szCs w:val="21"/>
        </w:rPr>
        <w:t>设备更换：在免费维保期</w:t>
      </w:r>
      <w:r>
        <w:rPr>
          <w:rFonts w:asciiTheme="minorEastAsia" w:hAnsiTheme="minorEastAsia"/>
          <w:szCs w:val="21"/>
        </w:rPr>
        <w:t>限</w:t>
      </w:r>
      <w:r>
        <w:rPr>
          <w:rFonts w:hint="eastAsia" w:asciiTheme="minorEastAsia" w:hAnsiTheme="minorEastAsia"/>
          <w:szCs w:val="21"/>
        </w:rPr>
        <w:t>内，更换</w:t>
      </w:r>
      <w:r>
        <w:rPr>
          <w:rFonts w:asciiTheme="minorEastAsia" w:hAnsiTheme="minorEastAsia"/>
          <w:szCs w:val="21"/>
        </w:rPr>
        <w:t>的</w:t>
      </w:r>
      <w:r>
        <w:rPr>
          <w:rFonts w:hint="eastAsia" w:asciiTheme="minorEastAsia" w:hAnsiTheme="minorEastAsia"/>
          <w:szCs w:val="21"/>
        </w:rPr>
        <w:t>设备有承建方负责；已过质保期，经甲方确认后更换的设备依照本次中标单价，据实结算。</w:t>
      </w:r>
    </w:p>
    <w:p w14:paraId="342F049C">
      <w:pPr>
        <w:numPr>
          <w:ilvl w:val="0"/>
          <w:numId w:val="7"/>
        </w:numPr>
        <w:spacing w:after="0" w:line="400" w:lineRule="exact"/>
        <w:ind w:firstLine="420" w:firstLineChars="200"/>
        <w:rPr>
          <w:rFonts w:asciiTheme="minorEastAsia" w:hAnsiTheme="minorEastAsia"/>
          <w:szCs w:val="21"/>
        </w:rPr>
      </w:pPr>
      <w:r>
        <w:rPr>
          <w:rFonts w:hint="eastAsia" w:asciiTheme="minorEastAsia" w:hAnsiTheme="minorEastAsia"/>
          <w:szCs w:val="21"/>
        </w:rPr>
        <w:t>甲方增加</w:t>
      </w:r>
      <w:r>
        <w:rPr>
          <w:rFonts w:hint="eastAsia" w:eastAsia="宋体" w:asciiTheme="minorEastAsia" w:hAnsiTheme="minorEastAsia"/>
          <w:szCs w:val="21"/>
          <w:lang w:val="en-US" w:eastAsia="zh-CN"/>
        </w:rPr>
        <w:t>改</w:t>
      </w:r>
      <w:r>
        <w:rPr>
          <w:rFonts w:hint="eastAsia" w:asciiTheme="minorEastAsia" w:hAnsiTheme="minorEastAsia"/>
          <w:szCs w:val="21"/>
        </w:rPr>
        <w:t>建的新设备，验收通过后，依照本次中标</w:t>
      </w:r>
      <w:r>
        <w:rPr>
          <w:rFonts w:asciiTheme="minorEastAsia" w:hAnsiTheme="minorEastAsia"/>
          <w:szCs w:val="21"/>
        </w:rPr>
        <w:t>单价</w:t>
      </w:r>
      <w:r>
        <w:rPr>
          <w:rFonts w:hint="eastAsia" w:asciiTheme="minorEastAsia" w:hAnsiTheme="minorEastAsia"/>
          <w:szCs w:val="21"/>
        </w:rPr>
        <w:t>，据实结算。</w:t>
      </w:r>
    </w:p>
    <w:p w14:paraId="06114F03">
      <w:pPr>
        <w:numPr>
          <w:ilvl w:val="0"/>
          <w:numId w:val="7"/>
        </w:numPr>
        <w:spacing w:after="0" w:line="400" w:lineRule="exact"/>
        <w:ind w:firstLine="420" w:firstLineChars="200"/>
      </w:pPr>
      <w:r>
        <w:rPr>
          <w:rFonts w:hint="eastAsia" w:asciiTheme="minorEastAsia" w:hAnsiTheme="minorEastAsia"/>
          <w:szCs w:val="21"/>
        </w:rPr>
        <w:t>后台软件由中标单位与生产厂家加强合作，在交警大队科技中队的监督之下，及时升级至最新版本，升级费用须由科技中队确认，依照本次中标价，据实结算。</w:t>
      </w:r>
    </w:p>
    <w:p w14:paraId="2C3C7A07">
      <w:pPr>
        <w:numPr>
          <w:ilvl w:val="0"/>
          <w:numId w:val="7"/>
        </w:numPr>
        <w:spacing w:after="0" w:line="400" w:lineRule="exact"/>
        <w:ind w:firstLine="420" w:firstLineChars="200"/>
        <w:rPr>
          <w:rFonts w:asciiTheme="minorEastAsia" w:hAnsiTheme="minorEastAsia"/>
          <w:szCs w:val="21"/>
        </w:rPr>
      </w:pPr>
      <w:r>
        <w:rPr>
          <w:rFonts w:hint="eastAsia"/>
        </w:rPr>
        <w:t>网络费用：费用须由交警大队科技设施中队确认，按照（附表2）方案实施，依照本次招标的中标价，据实结算。</w:t>
      </w:r>
    </w:p>
    <w:p w14:paraId="560ECCD0">
      <w:pPr>
        <w:numPr>
          <w:ilvl w:val="0"/>
          <w:numId w:val="7"/>
        </w:numPr>
        <w:spacing w:after="0" w:line="400" w:lineRule="exact"/>
        <w:ind w:firstLine="420" w:firstLineChars="200"/>
        <w:rPr>
          <w:rFonts w:asciiTheme="minorEastAsia" w:hAnsiTheme="minorEastAsia"/>
          <w:szCs w:val="21"/>
        </w:rPr>
      </w:pPr>
      <w:r>
        <w:rPr>
          <w:rFonts w:hint="eastAsia"/>
        </w:rPr>
        <w:t>电子警察供电费：由乙方提供电源，为交警大队本标</w:t>
      </w:r>
      <w:r>
        <w:rPr>
          <w:rFonts w:hint="eastAsia" w:asciiTheme="minorEastAsia" w:hAnsiTheme="minorEastAsia"/>
          <w:szCs w:val="21"/>
        </w:rPr>
        <w:t>道路交通技术监控系统保障用电的，乙方提供相关证明，依照本次招标的中标价，据实结算。</w:t>
      </w:r>
    </w:p>
    <w:p w14:paraId="04028B03">
      <w:pPr>
        <w:pStyle w:val="16"/>
        <w:spacing w:after="0" w:line="400" w:lineRule="exact"/>
        <w:ind w:left="0" w:leftChars="0" w:firstLine="0" w:firstLineChars="0"/>
        <w:rPr>
          <w:rFonts w:asciiTheme="minorEastAsia" w:hAnsiTheme="minorEastAsia"/>
          <w:szCs w:val="21"/>
        </w:rPr>
      </w:pPr>
      <w:r>
        <w:rPr>
          <w:rFonts w:hint="eastAsia" w:asciiTheme="minorEastAsia" w:hAnsiTheme="minorEastAsia"/>
          <w:szCs w:val="21"/>
        </w:rPr>
        <w:t>六、支付方式</w:t>
      </w:r>
    </w:p>
    <w:p w14:paraId="0BA06BC1">
      <w:pPr>
        <w:pStyle w:val="16"/>
        <w:spacing w:after="0" w:line="400" w:lineRule="exact"/>
        <w:ind w:left="0" w:leftChars="0"/>
        <w:rPr>
          <w:rFonts w:asciiTheme="minorEastAsia" w:hAnsiTheme="minorEastAsia"/>
          <w:szCs w:val="21"/>
        </w:rPr>
      </w:pPr>
      <w:r>
        <w:rPr>
          <w:rFonts w:hint="eastAsia" w:asciiTheme="minorEastAsia" w:hAnsiTheme="minorEastAsia"/>
          <w:szCs w:val="21"/>
        </w:rPr>
        <w:t>1、本合同生效后，费用每季度支付一次，支付期限为甲方在该季度结束后30天内付清，季度结算费用 = 人员</w:t>
      </w:r>
      <w:r>
        <w:rPr>
          <w:rFonts w:asciiTheme="minorEastAsia" w:hAnsiTheme="minorEastAsia"/>
          <w:szCs w:val="21"/>
        </w:rPr>
        <w:t>车辆</w:t>
      </w:r>
      <w:r>
        <w:rPr>
          <w:rFonts w:hint="eastAsia" w:asciiTheme="minorEastAsia" w:hAnsiTheme="minorEastAsia"/>
          <w:szCs w:val="21"/>
        </w:rPr>
        <w:t>费用+设备更换费用+新建费用+后台软件升级费用+网络费用+电子警察供电费（结算只含当季度涉及到的费用）。</w:t>
      </w:r>
    </w:p>
    <w:p w14:paraId="571C0A10">
      <w:pPr>
        <w:spacing w:after="0" w:line="400" w:lineRule="exact"/>
        <w:ind w:firstLine="420" w:firstLineChars="200"/>
        <w:rPr>
          <w:rFonts w:asciiTheme="minorEastAsia" w:hAnsiTheme="minorEastAsia"/>
          <w:szCs w:val="21"/>
        </w:rPr>
      </w:pPr>
      <w:r>
        <w:rPr>
          <w:rFonts w:hint="eastAsia" w:asciiTheme="minorEastAsia" w:hAnsiTheme="minorEastAsia"/>
          <w:szCs w:val="21"/>
        </w:rPr>
        <w:t>2、对于需要纳入维保范围的新系统，不</w:t>
      </w:r>
      <w:r>
        <w:rPr>
          <w:rFonts w:asciiTheme="minorEastAsia" w:hAnsiTheme="minorEastAsia"/>
          <w:szCs w:val="21"/>
        </w:rPr>
        <w:t>再</w:t>
      </w:r>
      <w:r>
        <w:rPr>
          <w:rFonts w:hint="eastAsia" w:asciiTheme="minorEastAsia" w:hAnsiTheme="minorEastAsia"/>
          <w:szCs w:val="21"/>
        </w:rPr>
        <w:t>另行</w:t>
      </w:r>
      <w:r>
        <w:rPr>
          <w:rFonts w:asciiTheme="minorEastAsia" w:hAnsiTheme="minorEastAsia"/>
          <w:szCs w:val="21"/>
        </w:rPr>
        <w:t>增加维</w:t>
      </w:r>
      <w:r>
        <w:rPr>
          <w:rFonts w:hint="eastAsia" w:asciiTheme="minorEastAsia" w:hAnsiTheme="minorEastAsia"/>
          <w:szCs w:val="21"/>
        </w:rPr>
        <w:t>护人员工资及车辆燃油维修费用。</w:t>
      </w:r>
    </w:p>
    <w:p w14:paraId="1B3DA680">
      <w:pPr>
        <w:spacing w:after="0" w:line="400" w:lineRule="exact"/>
        <w:ind w:firstLine="420" w:firstLineChars="200"/>
        <w:rPr>
          <w:rFonts w:asciiTheme="minorEastAsia" w:hAnsiTheme="minorEastAsia"/>
          <w:szCs w:val="21"/>
        </w:rPr>
      </w:pPr>
      <w:r>
        <w:rPr>
          <w:rFonts w:hint="eastAsia" w:asciiTheme="minorEastAsia" w:hAnsiTheme="minorEastAsia"/>
          <w:szCs w:val="21"/>
        </w:rPr>
        <w:t>3、在维保过程中，需要更换的设备由乙方提出，甲方审批验收后</w:t>
      </w:r>
      <w:r>
        <w:rPr>
          <w:rFonts w:asciiTheme="minorEastAsia" w:hAnsiTheme="minorEastAsia"/>
          <w:szCs w:val="21"/>
        </w:rPr>
        <w:t>按中标价结算</w:t>
      </w:r>
      <w:r>
        <w:rPr>
          <w:rFonts w:hint="eastAsia" w:asciiTheme="minorEastAsia" w:hAnsiTheme="minorEastAsia"/>
          <w:szCs w:val="21"/>
        </w:rPr>
        <w:t>，损坏的设备由甲方登记保存。</w:t>
      </w:r>
    </w:p>
    <w:p w14:paraId="38CC76F5">
      <w:pPr>
        <w:spacing w:after="0" w:line="400" w:lineRule="exact"/>
        <w:ind w:firstLine="420" w:firstLineChars="200"/>
        <w:rPr>
          <w:rFonts w:asciiTheme="minorEastAsia" w:hAnsiTheme="minorEastAsia"/>
          <w:szCs w:val="21"/>
        </w:rPr>
      </w:pPr>
      <w:r>
        <w:rPr>
          <w:rFonts w:hint="eastAsia" w:asciiTheme="minorEastAsia" w:hAnsiTheme="minorEastAsia"/>
          <w:szCs w:val="21"/>
        </w:rPr>
        <w:t>4、因不可抗力</w:t>
      </w:r>
      <w:r>
        <w:rPr>
          <w:rFonts w:asciiTheme="minorEastAsia" w:hAnsiTheme="minorEastAsia"/>
          <w:szCs w:val="21"/>
        </w:rPr>
        <w:t>所发生的</w:t>
      </w:r>
      <w:r>
        <w:rPr>
          <w:rFonts w:hint="eastAsia" w:asciiTheme="minorEastAsia" w:hAnsiTheme="minorEastAsia"/>
          <w:szCs w:val="21"/>
        </w:rPr>
        <w:t>维护、更换设备费用</w:t>
      </w:r>
      <w:r>
        <w:rPr>
          <w:rFonts w:asciiTheme="minorEastAsia" w:hAnsiTheme="minorEastAsia"/>
          <w:szCs w:val="21"/>
        </w:rPr>
        <w:t>由甲方承担</w:t>
      </w:r>
      <w:r>
        <w:rPr>
          <w:rFonts w:hint="eastAsia" w:asciiTheme="minorEastAsia" w:hAnsiTheme="minorEastAsia"/>
          <w:szCs w:val="21"/>
        </w:rPr>
        <w:t>。</w:t>
      </w:r>
    </w:p>
    <w:p w14:paraId="68E954EB">
      <w:pPr>
        <w:pStyle w:val="16"/>
        <w:spacing w:after="0" w:line="400" w:lineRule="exact"/>
        <w:ind w:left="0" w:leftChars="0"/>
        <w:rPr>
          <w:rFonts w:asciiTheme="minorEastAsia" w:hAnsiTheme="minorEastAsia"/>
          <w:szCs w:val="21"/>
        </w:rPr>
      </w:pPr>
      <w:r>
        <w:rPr>
          <w:rFonts w:hint="eastAsia" w:asciiTheme="minorEastAsia" w:hAnsiTheme="minorEastAsia"/>
          <w:szCs w:val="21"/>
        </w:rPr>
        <w:t>5、设备由第三方损坏的，损失费用由责任方承担，乙方先行维修安装或更换同类产品到位，之后甲乙双方共同追偿。</w:t>
      </w:r>
    </w:p>
    <w:p w14:paraId="18D758E6">
      <w:pPr>
        <w:pStyle w:val="16"/>
        <w:spacing w:after="0" w:line="400" w:lineRule="exact"/>
        <w:ind w:left="0" w:leftChars="0"/>
        <w:rPr>
          <w:rFonts w:asciiTheme="minorEastAsia" w:hAnsiTheme="minorEastAsia"/>
          <w:szCs w:val="21"/>
        </w:rPr>
      </w:pPr>
      <w:r>
        <w:rPr>
          <w:rFonts w:hint="eastAsia" w:asciiTheme="minorEastAsia" w:hAnsiTheme="minorEastAsia"/>
          <w:szCs w:val="21"/>
        </w:rPr>
        <w:t>6、甲方对乙方实行维修维护满意度评分（排除电力、修路</w:t>
      </w:r>
      <w:r>
        <w:rPr>
          <w:rFonts w:asciiTheme="minorEastAsia" w:hAnsiTheme="minorEastAsia"/>
          <w:szCs w:val="21"/>
        </w:rPr>
        <w:t>、</w:t>
      </w:r>
      <w:r>
        <w:rPr>
          <w:rFonts w:hint="eastAsia" w:asciiTheme="minorEastAsia" w:hAnsiTheme="minorEastAsia"/>
          <w:szCs w:val="21"/>
        </w:rPr>
        <w:t>不可抗力等因素后），</w:t>
      </w:r>
      <w:r>
        <w:rPr>
          <w:rFonts w:asciiTheme="minorEastAsia" w:hAnsiTheme="minorEastAsia"/>
          <w:szCs w:val="21"/>
        </w:rPr>
        <w:t>在线</w:t>
      </w:r>
      <w:r>
        <w:rPr>
          <w:rFonts w:hint="eastAsia" w:asciiTheme="minorEastAsia" w:hAnsiTheme="minorEastAsia"/>
          <w:szCs w:val="21"/>
        </w:rPr>
        <w:t>率达不到95%，整改满意后付款，</w:t>
      </w:r>
      <w:r>
        <w:rPr>
          <w:rFonts w:asciiTheme="minorEastAsia" w:hAnsiTheme="minorEastAsia"/>
          <w:szCs w:val="21"/>
        </w:rPr>
        <w:t>在线</w:t>
      </w:r>
      <w:r>
        <w:rPr>
          <w:rFonts w:hint="eastAsia" w:asciiTheme="minorEastAsia" w:hAnsiTheme="minorEastAsia"/>
          <w:szCs w:val="21"/>
        </w:rPr>
        <w:t>率达不到90%，扣除当月维保费的</w:t>
      </w:r>
      <w:r>
        <w:rPr>
          <w:rFonts w:asciiTheme="minorEastAsia" w:hAnsiTheme="minorEastAsia"/>
          <w:szCs w:val="21"/>
        </w:rPr>
        <w:t>3</w:t>
      </w:r>
      <w:r>
        <w:rPr>
          <w:rFonts w:hint="eastAsia" w:asciiTheme="minorEastAsia" w:hAnsiTheme="minorEastAsia"/>
          <w:szCs w:val="21"/>
        </w:rPr>
        <w:t>0%，</w:t>
      </w:r>
      <w:r>
        <w:rPr>
          <w:rFonts w:asciiTheme="minorEastAsia" w:hAnsiTheme="minorEastAsia"/>
          <w:szCs w:val="21"/>
        </w:rPr>
        <w:t>在线</w:t>
      </w:r>
      <w:r>
        <w:rPr>
          <w:rFonts w:hint="eastAsia" w:asciiTheme="minorEastAsia" w:hAnsiTheme="minorEastAsia"/>
          <w:szCs w:val="21"/>
        </w:rPr>
        <w:t>率达不到75%，扣除当月全部维保费用，</w:t>
      </w:r>
      <w:r>
        <w:rPr>
          <w:rFonts w:asciiTheme="minorEastAsia" w:hAnsiTheme="minorEastAsia"/>
          <w:szCs w:val="21"/>
        </w:rPr>
        <w:t>在线</w:t>
      </w:r>
      <w:r>
        <w:rPr>
          <w:rFonts w:hint="eastAsia" w:asciiTheme="minorEastAsia" w:hAnsiTheme="minorEastAsia"/>
          <w:szCs w:val="21"/>
        </w:rPr>
        <w:t>率达不到60%，甲方有权解除合同，并向乙方追偿因此造成的直接和间接经济损失。</w:t>
      </w:r>
    </w:p>
    <w:p w14:paraId="20A31188">
      <w:pPr>
        <w:spacing w:after="0" w:line="400" w:lineRule="exact"/>
        <w:rPr>
          <w:rFonts w:asciiTheme="minorEastAsia" w:hAnsiTheme="minorEastAsia"/>
          <w:szCs w:val="21"/>
        </w:rPr>
      </w:pPr>
      <w:r>
        <w:rPr>
          <w:rFonts w:hint="eastAsia" w:asciiTheme="minorEastAsia" w:hAnsiTheme="minorEastAsia"/>
          <w:szCs w:val="21"/>
        </w:rPr>
        <w:t>七、双方义务</w:t>
      </w:r>
    </w:p>
    <w:p w14:paraId="52DE33F2">
      <w:pPr>
        <w:spacing w:after="0" w:line="400" w:lineRule="exact"/>
        <w:ind w:firstLine="420" w:firstLineChars="200"/>
        <w:rPr>
          <w:rFonts w:asciiTheme="minorEastAsia" w:hAnsiTheme="minorEastAsia"/>
          <w:szCs w:val="21"/>
        </w:rPr>
      </w:pPr>
      <w:r>
        <w:rPr>
          <w:rFonts w:hint="eastAsia" w:asciiTheme="minorEastAsia" w:hAnsiTheme="minorEastAsia"/>
          <w:szCs w:val="21"/>
        </w:rPr>
        <w:t>1、甲方的义务：</w:t>
      </w:r>
    </w:p>
    <w:p w14:paraId="1F0CF94F">
      <w:pPr>
        <w:spacing w:after="0" w:line="400" w:lineRule="exact"/>
        <w:ind w:firstLine="420" w:firstLineChars="200"/>
        <w:rPr>
          <w:rFonts w:asciiTheme="minorEastAsia" w:hAnsiTheme="minorEastAsia"/>
          <w:szCs w:val="21"/>
        </w:rPr>
      </w:pPr>
      <w:r>
        <w:rPr>
          <w:rFonts w:hint="eastAsia" w:asciiTheme="minorEastAsia" w:hAnsiTheme="minorEastAsia"/>
          <w:szCs w:val="21"/>
        </w:rPr>
        <w:t>a</w:t>
      </w:r>
      <w:r>
        <w:rPr>
          <w:rFonts w:asciiTheme="minorEastAsia" w:hAnsiTheme="minorEastAsia"/>
          <w:szCs w:val="21"/>
        </w:rPr>
        <w:t>、</w:t>
      </w:r>
      <w:r>
        <w:rPr>
          <w:rFonts w:hint="eastAsia" w:asciiTheme="minorEastAsia" w:hAnsiTheme="minorEastAsia"/>
          <w:szCs w:val="21"/>
        </w:rPr>
        <w:t>本合同中涉及的所有软硬件所有权均归属甲方所有，乙方使用成果须征得甲方同意。</w:t>
      </w:r>
    </w:p>
    <w:p w14:paraId="59877B99">
      <w:pPr>
        <w:spacing w:after="0" w:line="400" w:lineRule="exact"/>
        <w:ind w:firstLine="420" w:firstLineChars="200"/>
        <w:rPr>
          <w:rFonts w:asciiTheme="minorEastAsia" w:hAnsiTheme="minorEastAsia"/>
          <w:szCs w:val="21"/>
        </w:rPr>
      </w:pPr>
      <w:r>
        <w:rPr>
          <w:rFonts w:hint="eastAsia" w:asciiTheme="minorEastAsia" w:hAnsiTheme="minorEastAsia"/>
          <w:szCs w:val="21"/>
        </w:rPr>
        <w:t>b、甲方应对乙方工作的顺利开展提供便利条件，并指派专人负责。乙方的定期维护、保养计划要报甲方批准、备案。对于乙方的日常维保工作，甲方发现问题，立即通知乙方整改。</w:t>
      </w:r>
    </w:p>
    <w:p w14:paraId="61C028B3">
      <w:pPr>
        <w:spacing w:after="0" w:line="400" w:lineRule="exact"/>
        <w:ind w:firstLine="420" w:firstLineChars="200"/>
        <w:rPr>
          <w:rFonts w:asciiTheme="minorEastAsia" w:hAnsiTheme="minorEastAsia"/>
          <w:szCs w:val="21"/>
        </w:rPr>
      </w:pPr>
      <w:r>
        <w:rPr>
          <w:rFonts w:hint="eastAsia" w:asciiTheme="minorEastAsia" w:hAnsiTheme="minorEastAsia"/>
          <w:szCs w:val="21"/>
        </w:rPr>
        <w:t>2、乙方的义务：</w:t>
      </w:r>
    </w:p>
    <w:p w14:paraId="475FC6D9">
      <w:pPr>
        <w:spacing w:after="0" w:line="400" w:lineRule="exact"/>
        <w:ind w:firstLine="420" w:firstLineChars="200"/>
        <w:rPr>
          <w:rFonts w:asciiTheme="minorEastAsia" w:hAnsiTheme="minorEastAsia"/>
          <w:szCs w:val="21"/>
        </w:rPr>
      </w:pPr>
      <w:r>
        <w:rPr>
          <w:rFonts w:hint="eastAsia" w:asciiTheme="minorEastAsia" w:hAnsiTheme="minorEastAsia"/>
          <w:szCs w:val="21"/>
        </w:rPr>
        <w:t>a、乙方要做好系统设备的维保工作，负责对各系统的日常监测，保障各系统长期有效地运行。</w:t>
      </w:r>
    </w:p>
    <w:p w14:paraId="09030325">
      <w:pPr>
        <w:spacing w:after="0" w:line="400" w:lineRule="exact"/>
        <w:ind w:firstLine="420" w:firstLineChars="200"/>
        <w:rPr>
          <w:rFonts w:asciiTheme="minorEastAsia" w:hAnsiTheme="minorEastAsia"/>
          <w:szCs w:val="21"/>
        </w:rPr>
      </w:pPr>
      <w:r>
        <w:rPr>
          <w:rFonts w:hint="eastAsia" w:asciiTheme="minorEastAsia" w:hAnsiTheme="minorEastAsia"/>
          <w:szCs w:val="21"/>
        </w:rPr>
        <w:t>b、乙方必须配备检修、保养工作所用的交通工具，升降设备、监测设备、仪器仪表，对系统所需的常用配件需常年备货。</w:t>
      </w:r>
    </w:p>
    <w:p w14:paraId="2869FDAF">
      <w:pPr>
        <w:spacing w:after="0" w:line="400" w:lineRule="exact"/>
        <w:ind w:firstLine="420" w:firstLineChars="200"/>
        <w:rPr>
          <w:rFonts w:asciiTheme="minorEastAsia" w:hAnsiTheme="minorEastAsia"/>
          <w:szCs w:val="21"/>
        </w:rPr>
      </w:pPr>
      <w:r>
        <w:rPr>
          <w:rFonts w:hint="eastAsia" w:asciiTheme="minorEastAsia" w:hAnsiTheme="minorEastAsia"/>
          <w:szCs w:val="21"/>
        </w:rPr>
        <w:t>c、乙方必须建立一支有相关专业知识组成的专业技术队伍，提供24</w:t>
      </w:r>
      <w:r>
        <w:rPr>
          <w:rFonts w:hint="eastAsia" w:eastAsia="宋体" w:asciiTheme="minorEastAsia" w:hAnsiTheme="minorEastAsia"/>
          <w:szCs w:val="21"/>
          <w:lang w:val="en-US" w:eastAsia="zh-CN"/>
        </w:rPr>
        <w:t>小时</w:t>
      </w:r>
      <w:r>
        <w:rPr>
          <w:rFonts w:hint="eastAsia" w:asciiTheme="minorEastAsia" w:hAnsiTheme="minorEastAsia"/>
          <w:szCs w:val="21"/>
        </w:rPr>
        <w:t>服务。</w:t>
      </w:r>
    </w:p>
    <w:p w14:paraId="39F22543">
      <w:pPr>
        <w:spacing w:after="0" w:line="400" w:lineRule="exact"/>
        <w:ind w:firstLine="420" w:firstLineChars="200"/>
        <w:rPr>
          <w:rFonts w:asciiTheme="minorEastAsia" w:hAnsiTheme="minorEastAsia"/>
          <w:szCs w:val="21"/>
        </w:rPr>
      </w:pPr>
      <w:r>
        <w:rPr>
          <w:rFonts w:hint="eastAsia" w:asciiTheme="minorEastAsia" w:hAnsiTheme="minorEastAsia"/>
          <w:szCs w:val="21"/>
        </w:rPr>
        <w:t>d、乙方必须向甲方提交详细的工作计划与工作安排，对每次检修，保养工作认真做好记录，接受甲方的检查和指导。</w:t>
      </w:r>
    </w:p>
    <w:p w14:paraId="0E0560ED">
      <w:pPr>
        <w:spacing w:after="0" w:line="400" w:lineRule="exact"/>
        <w:rPr>
          <w:rFonts w:asciiTheme="minorEastAsia" w:hAnsiTheme="minorEastAsia"/>
          <w:szCs w:val="21"/>
        </w:rPr>
      </w:pPr>
      <w:r>
        <w:rPr>
          <w:rFonts w:hint="eastAsia" w:asciiTheme="minorEastAsia" w:hAnsiTheme="minorEastAsia"/>
          <w:szCs w:val="21"/>
        </w:rPr>
        <w:t>八、违约责任</w:t>
      </w:r>
    </w:p>
    <w:p w14:paraId="1532CBB7">
      <w:pPr>
        <w:spacing w:after="0" w:line="400" w:lineRule="exact"/>
        <w:ind w:firstLine="420" w:firstLineChars="200"/>
        <w:rPr>
          <w:rFonts w:asciiTheme="minorEastAsia" w:hAnsiTheme="minorEastAsia"/>
          <w:szCs w:val="21"/>
        </w:rPr>
      </w:pPr>
      <w:r>
        <w:rPr>
          <w:rFonts w:hint="eastAsia" w:asciiTheme="minorEastAsia" w:hAnsiTheme="minorEastAsia"/>
          <w:szCs w:val="21"/>
        </w:rPr>
        <w:t>1、维修人员每人月工资</w:t>
      </w:r>
      <w:r>
        <w:rPr>
          <w:rFonts w:hint="eastAsia" w:eastAsia="宋体" w:asciiTheme="minorEastAsia" w:hAnsiTheme="minorEastAsia"/>
          <w:szCs w:val="21"/>
          <w:lang w:val="en-US" w:eastAsia="zh-CN"/>
        </w:rPr>
        <w:t>××××</w:t>
      </w:r>
      <w:r>
        <w:rPr>
          <w:rFonts w:hint="eastAsia" w:asciiTheme="minorEastAsia" w:hAnsiTheme="minorEastAsia"/>
          <w:szCs w:val="21"/>
        </w:rPr>
        <w:t>元（</w:t>
      </w:r>
      <w:r>
        <w:rPr>
          <w:rFonts w:hint="eastAsia" w:ascii="宋体" w:hAnsi="宋体" w:cs="宋体"/>
          <w:kern w:val="0"/>
          <w:szCs w:val="21"/>
        </w:rPr>
        <w:t>含社保、奖金、福利等费用),如未达本标合同规定人数7人，由科技中队、设施中队核准之后，按照本标中标价格，以实有人数据实结算。每缺少一人，甲方将追究乙方违约责任，并按照1000元/人的标准扣除乙方当月总费用。维修工作车每辆车每月燃油费3000元（含交强险），如未达本标合同规定的车辆2部，由科技中队、设施中队核准之后，按照本标中标价格，以实有车辆数据实结算。每缺少一辆车，甲方将追究乙方违约责任，并按照1500元/辆的标准扣除乙方当月总费用。</w:t>
      </w:r>
    </w:p>
    <w:p w14:paraId="62EB377F">
      <w:pPr>
        <w:spacing w:after="0" w:line="400" w:lineRule="exact"/>
        <w:ind w:firstLine="420" w:firstLineChars="200"/>
        <w:rPr>
          <w:rFonts w:asciiTheme="minorEastAsia" w:hAnsiTheme="minorEastAsia"/>
          <w:color w:val="000000" w:themeColor="text1"/>
          <w:szCs w:val="21"/>
          <w14:textFill>
            <w14:solidFill>
              <w14:schemeClr w14:val="tx1"/>
            </w14:solidFill>
          </w14:textFill>
        </w:rPr>
      </w:pPr>
      <w:r>
        <w:rPr>
          <w:rFonts w:hint="eastAsia" w:asciiTheme="minorEastAsia" w:hAnsiTheme="minorEastAsia"/>
          <w:szCs w:val="21"/>
        </w:rPr>
        <w:t>2</w:t>
      </w:r>
      <w:r>
        <w:rPr>
          <w:rFonts w:asciiTheme="minorEastAsia" w:hAnsiTheme="minorEastAsia"/>
          <w:szCs w:val="21"/>
        </w:rPr>
        <w:t>、</w:t>
      </w:r>
      <w:r>
        <w:rPr>
          <w:rFonts w:hint="eastAsia" w:asciiTheme="minorEastAsia" w:hAnsiTheme="minorEastAsia"/>
          <w:szCs w:val="21"/>
        </w:rPr>
        <w:t>乙方在接到甲方故障维修通知后，2个小时内到达故障现场进行维修，24小时内修复，不能修复的，提供同类型设备替换（前端设备），保证系统正常运行，单个摄像机故障时间超过5日的，按每个摄像机每5日扣除300元（从故障通知后第6-10日内扣300元，第11-15日内扣除300元，不足5日按5日计算，计算公式为300元+300元+300元+……以此类推），</w:t>
      </w:r>
      <w:r>
        <w:rPr>
          <w:rFonts w:asciiTheme="minorEastAsia" w:hAnsiTheme="minorEastAsia"/>
          <w:color w:val="000000" w:themeColor="text1"/>
          <w:szCs w:val="21"/>
          <w14:textFill>
            <w14:solidFill>
              <w14:schemeClr w14:val="tx1"/>
            </w14:solidFill>
          </w14:textFill>
        </w:rPr>
        <w:t>但城市</w:t>
      </w:r>
      <w:r>
        <w:rPr>
          <w:rFonts w:hint="eastAsia" w:asciiTheme="minorEastAsia" w:hAnsiTheme="minorEastAsia"/>
          <w:color w:val="000000" w:themeColor="text1"/>
          <w:szCs w:val="21"/>
          <w14:textFill>
            <w14:solidFill>
              <w14:schemeClr w14:val="tx1"/>
            </w14:solidFill>
          </w14:textFill>
        </w:rPr>
        <w:t>改建</w:t>
      </w:r>
      <w:r>
        <w:rPr>
          <w:rFonts w:asciiTheme="minorEastAsia" w:hAnsiTheme="minorEastAsia"/>
          <w:color w:val="000000" w:themeColor="text1"/>
          <w:szCs w:val="21"/>
          <w14:textFill>
            <w14:solidFill>
              <w14:schemeClr w14:val="tx1"/>
            </w14:solidFill>
          </w14:textFill>
        </w:rPr>
        <w:t>、地震、自然灾害等不可抗力造成设备不能使用的除外。</w:t>
      </w:r>
    </w:p>
    <w:p w14:paraId="089A0A9E">
      <w:pPr>
        <w:spacing w:after="0" w:line="400" w:lineRule="exact"/>
        <w:ind w:firstLine="420" w:firstLineChars="200"/>
        <w:rPr>
          <w:rFonts w:asciiTheme="minorEastAsia" w:hAnsiTheme="minorEastAsia"/>
          <w:color w:val="000000" w:themeColor="text1"/>
          <w:szCs w:val="21"/>
          <w14:textFill>
            <w14:solidFill>
              <w14:schemeClr w14:val="tx1"/>
            </w14:solidFill>
          </w14:textFill>
        </w:rPr>
      </w:pPr>
      <w:r>
        <w:rPr>
          <w:rFonts w:hint="eastAsia" w:asciiTheme="minorEastAsia" w:hAnsiTheme="minorEastAsia"/>
          <w:szCs w:val="21"/>
        </w:rPr>
        <w:t>3、乙方在接到甲方关于网络传输线路故障维修通知后，2个小时内提供故障修复解决方案，8个小时内修复故障，如不能及时修复的，提供备用线路保证系统正常使用，24小时内未能保证线路恢复正常的，每个故障点在第25-48小时扣除300元，第49-72小时扣除300元（计算公式为300元+300元+300元+……以此类推）</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但城市</w:t>
      </w:r>
      <w:r>
        <w:rPr>
          <w:rFonts w:hint="eastAsia" w:asciiTheme="minorEastAsia" w:hAnsiTheme="minorEastAsia"/>
          <w:color w:val="000000" w:themeColor="text1"/>
          <w:szCs w:val="21"/>
          <w14:textFill>
            <w14:solidFill>
              <w14:schemeClr w14:val="tx1"/>
            </w14:solidFill>
          </w14:textFill>
        </w:rPr>
        <w:t>改建</w:t>
      </w:r>
      <w:r>
        <w:rPr>
          <w:rFonts w:asciiTheme="minorEastAsia" w:hAnsiTheme="minorEastAsia"/>
          <w:color w:val="000000" w:themeColor="text1"/>
          <w:szCs w:val="21"/>
          <w14:textFill>
            <w14:solidFill>
              <w14:schemeClr w14:val="tx1"/>
            </w14:solidFill>
          </w14:textFill>
        </w:rPr>
        <w:t>、地震、自然灾害等不可抗力造成设备不能使用的除外。</w:t>
      </w:r>
    </w:p>
    <w:p w14:paraId="4F7DC4FD">
      <w:pPr>
        <w:pStyle w:val="16"/>
        <w:ind w:left="0" w:leftChars="0"/>
      </w:pPr>
      <w:r>
        <w:rPr>
          <w:rFonts w:hint="eastAsia" w:asciiTheme="minorEastAsia" w:hAnsiTheme="minorEastAsia"/>
          <w:color w:val="000000" w:themeColor="text1"/>
          <w:szCs w:val="21"/>
          <w14:textFill>
            <w14:solidFill>
              <w14:schemeClr w14:val="tx1"/>
            </w14:solidFill>
          </w14:textFill>
        </w:rPr>
        <w:t>4、违反施工安全规定，甲方将追究乙方违约责任，按照500元/次，从当月总费用扣除。</w:t>
      </w:r>
    </w:p>
    <w:p w14:paraId="42CC0C04">
      <w:pPr>
        <w:pStyle w:val="16"/>
        <w:ind w:left="0" w:leftChars="0" w:firstLine="0" w:firstLineChars="0"/>
        <w:rPr>
          <w:rFonts w:asciiTheme="minorEastAsia" w:hAnsiTheme="minorEastAsia"/>
          <w:szCs w:val="21"/>
        </w:rPr>
      </w:pPr>
      <w:r>
        <w:rPr>
          <w:rFonts w:hint="eastAsia" w:asciiTheme="minorEastAsia" w:hAnsiTheme="minorEastAsia"/>
          <w:szCs w:val="21"/>
        </w:rPr>
        <w:t>九、保密责任</w:t>
      </w:r>
    </w:p>
    <w:p w14:paraId="5D39E5B3">
      <w:pPr>
        <w:pStyle w:val="16"/>
        <w:ind w:left="0" w:leftChars="0"/>
        <w:rPr>
          <w:rFonts w:asciiTheme="minorEastAsia" w:hAnsiTheme="minorEastAsia"/>
          <w:szCs w:val="21"/>
        </w:rPr>
      </w:pPr>
      <w:r>
        <w:rPr>
          <w:rFonts w:hint="eastAsia" w:asciiTheme="minorEastAsia" w:hAnsiTheme="minorEastAsia"/>
          <w:szCs w:val="21"/>
        </w:rPr>
        <w:t xml:space="preserve">乙方在履行本合同过程中，应严格按照甲方要求，对涉及的所有项目、环节及内容做好保密工作。如因乙方责任造成泄密，甲方将追究乙方因此所造成的全部法律（含民事）责任。 </w:t>
      </w:r>
    </w:p>
    <w:p w14:paraId="274697C1">
      <w:pPr>
        <w:spacing w:after="0" w:line="400" w:lineRule="exac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十、乙方维修工作人员要加强安全教育，路面作业要遵守相关安全管理规定，设置警示标志，高空作业要有保险措施。</w:t>
      </w:r>
    </w:p>
    <w:p w14:paraId="76C5EA1B">
      <w:pPr>
        <w:spacing w:after="0" w:line="400" w:lineRule="exact"/>
        <w:rPr>
          <w:rFonts w:asciiTheme="minorEastAsia" w:hAnsiTheme="minorEastAsia"/>
          <w:szCs w:val="21"/>
        </w:rPr>
      </w:pPr>
      <w:r>
        <w:rPr>
          <w:rFonts w:hint="eastAsia" w:asciiTheme="minorEastAsia" w:hAnsiTheme="minorEastAsia"/>
          <w:szCs w:val="21"/>
        </w:rPr>
        <w:t>十一、本合同一经签订具有法律约束力，甲乙双方必须严格遵守；如发生纠纷，双方应本着互谅互让的原则进行友好协商，如协商不成向安阳仲裁委员会申请仲裁。</w:t>
      </w:r>
    </w:p>
    <w:p w14:paraId="5AD2C246">
      <w:pPr>
        <w:spacing w:after="0" w:line="400" w:lineRule="exact"/>
        <w:rPr>
          <w:rFonts w:asciiTheme="minorEastAsia" w:hAnsiTheme="minorEastAsia"/>
          <w:szCs w:val="21"/>
        </w:rPr>
      </w:pPr>
      <w:r>
        <w:rPr>
          <w:rFonts w:hint="eastAsia" w:asciiTheme="minorEastAsia" w:hAnsiTheme="minorEastAsia"/>
          <w:szCs w:val="21"/>
        </w:rPr>
        <w:t>十二、因不可抗力因素（如城市建设、战争、地震、台风、海啸、雷击等自然力为因素）造成维护进程之拖延，甲方不予追究乙方责任。</w:t>
      </w:r>
    </w:p>
    <w:p w14:paraId="363C1154">
      <w:pPr>
        <w:spacing w:after="0" w:line="400" w:lineRule="exact"/>
        <w:rPr>
          <w:rFonts w:asciiTheme="minorEastAsia" w:hAnsiTheme="minorEastAsia"/>
          <w:szCs w:val="21"/>
        </w:rPr>
      </w:pPr>
      <w:r>
        <w:rPr>
          <w:rFonts w:hint="eastAsia" w:asciiTheme="minorEastAsia" w:hAnsiTheme="minorEastAsia"/>
          <w:szCs w:val="21"/>
        </w:rPr>
        <w:t>十三、在本合同存续期间，乙方人员造成的意外伤害、残疾、死亡的，均由乙方负责，甲方不承担责任。</w:t>
      </w:r>
    </w:p>
    <w:p w14:paraId="4D899EE5">
      <w:pPr>
        <w:spacing w:after="0" w:line="400" w:lineRule="exact"/>
        <w:rPr>
          <w:rFonts w:asciiTheme="minorEastAsia" w:hAnsiTheme="minorEastAsia"/>
          <w:szCs w:val="21"/>
        </w:rPr>
      </w:pPr>
      <w:r>
        <w:rPr>
          <w:rFonts w:hint="eastAsia" w:asciiTheme="minorEastAsia" w:hAnsiTheme="minorEastAsia"/>
          <w:szCs w:val="21"/>
        </w:rPr>
        <w:t>十四、本合同包含的其它组成内容</w:t>
      </w:r>
    </w:p>
    <w:p w14:paraId="2F485E70">
      <w:pPr>
        <w:spacing w:after="0" w:line="400" w:lineRule="exact"/>
        <w:ind w:firstLine="420" w:firstLineChars="200"/>
        <w:rPr>
          <w:rFonts w:asciiTheme="minorEastAsia" w:hAnsiTheme="minorEastAsia"/>
          <w:szCs w:val="21"/>
        </w:rPr>
      </w:pPr>
      <w:r>
        <w:rPr>
          <w:rFonts w:hint="eastAsia" w:asciiTheme="minorEastAsia" w:hAnsiTheme="minorEastAsia"/>
          <w:szCs w:val="21"/>
        </w:rPr>
        <w:t>1、招、投标文件；</w:t>
      </w:r>
    </w:p>
    <w:p w14:paraId="62F378DE">
      <w:pPr>
        <w:spacing w:after="0" w:line="400" w:lineRule="exact"/>
        <w:ind w:firstLine="420" w:firstLineChars="200"/>
        <w:rPr>
          <w:rFonts w:asciiTheme="minorEastAsia" w:hAnsiTheme="minorEastAsia"/>
          <w:szCs w:val="21"/>
        </w:rPr>
      </w:pPr>
      <w:r>
        <w:rPr>
          <w:rFonts w:hint="eastAsia" w:asciiTheme="minorEastAsia" w:hAnsiTheme="minorEastAsia"/>
          <w:szCs w:val="21"/>
        </w:rPr>
        <w:t>2、中标通知书；</w:t>
      </w:r>
    </w:p>
    <w:p w14:paraId="319C22CE">
      <w:pPr>
        <w:spacing w:after="0" w:line="400" w:lineRule="exact"/>
        <w:ind w:firstLine="420" w:firstLineChars="200"/>
        <w:rPr>
          <w:rFonts w:asciiTheme="minorEastAsia" w:hAnsiTheme="minorEastAsia"/>
          <w:szCs w:val="21"/>
        </w:rPr>
      </w:pPr>
      <w:r>
        <w:rPr>
          <w:rFonts w:hint="eastAsia" w:asciiTheme="minorEastAsia" w:hAnsiTheme="minorEastAsia"/>
          <w:szCs w:val="21"/>
        </w:rPr>
        <w:t>3、乙方在投标和履行合同过程中作出的承诺；</w:t>
      </w:r>
    </w:p>
    <w:p w14:paraId="5CBFAFDA">
      <w:pPr>
        <w:spacing w:after="0" w:line="400" w:lineRule="exact"/>
        <w:ind w:firstLine="420" w:firstLineChars="200"/>
        <w:rPr>
          <w:rFonts w:asciiTheme="minorEastAsia" w:hAnsiTheme="minorEastAsia"/>
          <w:szCs w:val="21"/>
        </w:rPr>
      </w:pPr>
      <w:r>
        <w:rPr>
          <w:rFonts w:hint="eastAsia" w:asciiTheme="minorEastAsia" w:hAnsiTheme="minorEastAsia"/>
          <w:szCs w:val="21"/>
        </w:rPr>
        <w:t>4、补充合同。</w:t>
      </w:r>
    </w:p>
    <w:p w14:paraId="4528A7F4">
      <w:pPr>
        <w:spacing w:after="0" w:line="400" w:lineRule="exac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十五、合同有效期</w:t>
      </w:r>
      <w:r>
        <w:rPr>
          <w:rFonts w:hint="eastAsia" w:eastAsia="宋体" w:asciiTheme="minorEastAsia" w:hAnsiTheme="minorEastAsia"/>
          <w:color w:val="000000" w:themeColor="text1"/>
          <w:szCs w:val="21"/>
          <w:lang w:val="en-US" w:eastAsia="zh-CN"/>
          <w14:textFill>
            <w14:solidFill>
              <w14:schemeClr w14:val="tx1"/>
            </w14:solidFill>
          </w14:textFill>
        </w:rPr>
        <w:t>1</w:t>
      </w:r>
      <w:r>
        <w:rPr>
          <w:rFonts w:hint="eastAsia" w:asciiTheme="minorEastAsia" w:hAnsiTheme="minorEastAsia"/>
          <w:color w:val="000000" w:themeColor="text1"/>
          <w:szCs w:val="21"/>
          <w14:textFill>
            <w14:solidFill>
              <w14:schemeClr w14:val="tx1"/>
            </w14:solidFill>
          </w14:textFill>
        </w:rPr>
        <w:t>年，自双方签订之日起生效。维保期至本合同期满。</w:t>
      </w:r>
    </w:p>
    <w:p w14:paraId="4D17B92C">
      <w:pPr>
        <w:spacing w:after="0" w:line="400" w:lineRule="exact"/>
        <w:rPr>
          <w:rFonts w:asciiTheme="minorEastAsia" w:hAnsiTheme="minorEastAsia"/>
          <w:szCs w:val="21"/>
        </w:rPr>
      </w:pPr>
      <w:r>
        <w:rPr>
          <w:rFonts w:hint="eastAsia" w:asciiTheme="minorEastAsia" w:hAnsiTheme="minorEastAsia"/>
          <w:szCs w:val="21"/>
        </w:rPr>
        <w:t>十六</w:t>
      </w:r>
      <w:r>
        <w:rPr>
          <w:rFonts w:asciiTheme="minorEastAsia" w:hAnsiTheme="minorEastAsia"/>
          <w:szCs w:val="21"/>
        </w:rPr>
        <w:t>、</w:t>
      </w:r>
      <w:r>
        <w:rPr>
          <w:rFonts w:hint="eastAsia" w:asciiTheme="minorEastAsia" w:hAnsiTheme="minorEastAsia"/>
          <w:szCs w:val="21"/>
        </w:rPr>
        <w:t>本合同一式陆份，双方各执叁份，具有同等法律效力。</w:t>
      </w:r>
    </w:p>
    <w:p w14:paraId="23C04445">
      <w:pPr>
        <w:pStyle w:val="16"/>
        <w:ind w:left="420"/>
      </w:pPr>
    </w:p>
    <w:p w14:paraId="6C64B0B1">
      <w:pPr>
        <w:widowControl/>
        <w:spacing w:after="0" w:line="400" w:lineRule="exact"/>
        <w:rPr>
          <w:rFonts w:cs="宋体" w:asciiTheme="minorEastAsia" w:hAnsiTheme="minorEastAsia"/>
          <w:kern w:val="0"/>
          <w:szCs w:val="21"/>
        </w:rPr>
      </w:pPr>
      <w:bookmarkStart w:id="467" w:name="_Toc9189676"/>
      <w:r>
        <w:rPr>
          <w:rFonts w:hint="eastAsia" w:cs="宋体" w:asciiTheme="minorEastAsia" w:hAnsiTheme="minorEastAsia"/>
          <w:kern w:val="0"/>
          <w:szCs w:val="21"/>
        </w:rPr>
        <w:t xml:space="preserve">甲    方：                          乙    方： </w:t>
      </w:r>
    </w:p>
    <w:p w14:paraId="5E5D59F5">
      <w:pPr>
        <w:widowControl/>
        <w:spacing w:after="0" w:line="400" w:lineRule="exact"/>
        <w:rPr>
          <w:rFonts w:cs="宋体" w:asciiTheme="minorEastAsia" w:hAnsiTheme="minorEastAsia"/>
          <w:kern w:val="0"/>
          <w:szCs w:val="21"/>
        </w:rPr>
      </w:pPr>
      <w:r>
        <w:rPr>
          <w:rFonts w:hint="eastAsia" w:cs="宋体" w:asciiTheme="minorEastAsia" w:hAnsiTheme="minorEastAsia"/>
          <w:kern w:val="0"/>
          <w:szCs w:val="21"/>
        </w:rPr>
        <w:t>法定代表人：              　　　　　法定代表人：</w:t>
      </w:r>
    </w:p>
    <w:p w14:paraId="0AD44E55">
      <w:pPr>
        <w:widowControl/>
        <w:spacing w:after="0" w:line="400" w:lineRule="exact"/>
        <w:rPr>
          <w:rFonts w:cs="宋体" w:asciiTheme="minorEastAsia" w:hAnsiTheme="minorEastAsia"/>
          <w:kern w:val="0"/>
          <w:szCs w:val="21"/>
        </w:rPr>
      </w:pPr>
      <w:r>
        <w:rPr>
          <w:rFonts w:hint="eastAsia" w:cs="宋体" w:asciiTheme="minorEastAsia" w:hAnsiTheme="minorEastAsia"/>
          <w:kern w:val="0"/>
          <w:szCs w:val="21"/>
        </w:rPr>
        <w:t>委托代理人：               　　　　 委托代理人：</w:t>
      </w:r>
    </w:p>
    <w:p w14:paraId="3DB5AB69">
      <w:pPr>
        <w:widowControl/>
        <w:spacing w:after="0" w:line="400" w:lineRule="exact"/>
        <w:rPr>
          <w:rFonts w:cs="宋体" w:asciiTheme="minorEastAsia" w:hAnsiTheme="minorEastAsia"/>
          <w:kern w:val="0"/>
          <w:szCs w:val="21"/>
        </w:rPr>
      </w:pPr>
      <w:r>
        <w:rPr>
          <w:rFonts w:hint="eastAsia" w:cs="宋体" w:asciiTheme="minorEastAsia" w:hAnsiTheme="minorEastAsia"/>
          <w:kern w:val="0"/>
          <w:szCs w:val="21"/>
        </w:rPr>
        <w:t xml:space="preserve">单位地址：                　　　　  单位地址： </w:t>
      </w:r>
    </w:p>
    <w:p w14:paraId="3D43A262">
      <w:pPr>
        <w:widowControl/>
        <w:spacing w:after="0" w:line="400" w:lineRule="exact"/>
        <w:rPr>
          <w:rFonts w:cs="宋体" w:asciiTheme="minorEastAsia" w:hAnsiTheme="minorEastAsia"/>
          <w:kern w:val="0"/>
          <w:szCs w:val="21"/>
        </w:rPr>
      </w:pPr>
      <w:r>
        <w:rPr>
          <w:rFonts w:hint="eastAsia" w:cs="宋体" w:asciiTheme="minorEastAsia" w:hAnsiTheme="minorEastAsia"/>
          <w:kern w:val="0"/>
          <w:szCs w:val="21"/>
        </w:rPr>
        <w:t xml:space="preserve">电    话：                          电    话： </w:t>
      </w:r>
    </w:p>
    <w:p w14:paraId="77C631E0">
      <w:pPr>
        <w:widowControl/>
        <w:spacing w:after="0" w:line="400" w:lineRule="exact"/>
        <w:rPr>
          <w:rFonts w:cs="宋体" w:asciiTheme="minorEastAsia" w:hAnsiTheme="minorEastAsia"/>
          <w:kern w:val="0"/>
          <w:szCs w:val="21"/>
        </w:rPr>
      </w:pPr>
      <w:r>
        <w:rPr>
          <w:rFonts w:hint="eastAsia" w:cs="宋体" w:asciiTheme="minorEastAsia" w:hAnsiTheme="minorEastAsia"/>
          <w:kern w:val="0"/>
          <w:szCs w:val="21"/>
        </w:rPr>
        <w:t xml:space="preserve">开户银行：                     　　 开户银行： </w:t>
      </w:r>
    </w:p>
    <w:p w14:paraId="7D6DE82E">
      <w:pPr>
        <w:widowControl/>
        <w:spacing w:after="0" w:line="400" w:lineRule="exact"/>
        <w:rPr>
          <w:rFonts w:cs="宋体" w:asciiTheme="minorEastAsia" w:hAnsiTheme="minorEastAsia"/>
          <w:kern w:val="0"/>
          <w:szCs w:val="21"/>
        </w:rPr>
      </w:pPr>
      <w:r>
        <w:rPr>
          <w:rFonts w:hint="eastAsia" w:cs="宋体" w:asciiTheme="minorEastAsia" w:hAnsiTheme="minorEastAsia"/>
          <w:kern w:val="0"/>
          <w:szCs w:val="21"/>
        </w:rPr>
        <w:t xml:space="preserve">账    号：                 　　  　 账    号： </w:t>
      </w:r>
    </w:p>
    <w:p w14:paraId="29D2AD19">
      <w:pPr>
        <w:spacing w:after="0" w:line="400" w:lineRule="exact"/>
      </w:pPr>
      <w:r>
        <w:rPr>
          <w:rFonts w:hint="eastAsia" w:cs="宋体" w:asciiTheme="minorEastAsia" w:hAnsiTheme="minorEastAsia"/>
          <w:kern w:val="0"/>
          <w:szCs w:val="21"/>
        </w:rPr>
        <w:t>年  月  日              　　　</w:t>
      </w:r>
      <w:r>
        <w:rPr>
          <w:rFonts w:cs="宋体" w:asciiTheme="minorEastAsia" w:hAnsiTheme="minorEastAsia"/>
          <w:kern w:val="0"/>
          <w:szCs w:val="21"/>
        </w:rPr>
        <w:t xml:space="preserve">   </w:t>
      </w:r>
      <w:r>
        <w:rPr>
          <w:rFonts w:hint="eastAsia" w:cs="宋体" w:asciiTheme="minorEastAsia" w:hAnsiTheme="minorEastAsia"/>
          <w:kern w:val="0"/>
          <w:szCs w:val="21"/>
        </w:rPr>
        <w:t xml:space="preserve">   年   月   日</w:t>
      </w:r>
      <w:bookmarkEnd w:id="467"/>
    </w:p>
    <w:p w14:paraId="0B7828BF">
      <w:pPr>
        <w:pStyle w:val="16"/>
        <w:ind w:left="420"/>
        <w:sectPr>
          <w:footerReference r:id="rId12" w:type="first"/>
          <w:footerReference r:id="rId11" w:type="default"/>
          <w:pgSz w:w="11906" w:h="16838"/>
          <w:pgMar w:top="1440" w:right="1474" w:bottom="1440" w:left="1588" w:header="851" w:footer="992" w:gutter="0"/>
          <w:pgNumType w:fmt="decimal"/>
          <w:cols w:space="425" w:num="1"/>
          <w:docGrid w:type="lines" w:linePitch="312" w:charSpace="0"/>
        </w:sectPr>
      </w:pPr>
    </w:p>
    <w:p w14:paraId="36502202">
      <w:pPr>
        <w:spacing w:after="0" w:line="400" w:lineRule="exact"/>
        <w:rPr>
          <w:rFonts w:asciiTheme="minorEastAsia" w:hAnsiTheme="minorEastAsia"/>
          <w:szCs w:val="21"/>
        </w:rPr>
      </w:pPr>
      <w:r>
        <w:rPr>
          <w:rFonts w:asciiTheme="minorEastAsia" w:hAnsiTheme="minorEastAsia"/>
          <w:szCs w:val="21"/>
        </w:rPr>
        <w:t>附件</w:t>
      </w:r>
      <w:r>
        <w:rPr>
          <w:rFonts w:hint="eastAsia" w:asciiTheme="minorEastAsia" w:hAnsiTheme="minorEastAsia"/>
          <w:szCs w:val="21"/>
        </w:rPr>
        <w:t>1</w:t>
      </w:r>
      <w:r>
        <w:rPr>
          <w:rFonts w:asciiTheme="minorEastAsia" w:hAnsiTheme="minorEastAsia"/>
          <w:szCs w:val="21"/>
        </w:rPr>
        <w:t>:</w:t>
      </w:r>
    </w:p>
    <w:p w14:paraId="7C8D9858">
      <w:pPr>
        <w:spacing w:after="0" w:line="400" w:lineRule="exact"/>
        <w:jc w:val="center"/>
        <w:rPr>
          <w:rFonts w:asciiTheme="minorEastAsia" w:hAnsiTheme="minorEastAsia"/>
          <w:szCs w:val="21"/>
        </w:rPr>
      </w:pPr>
      <w:r>
        <w:rPr>
          <w:rFonts w:asciiTheme="minorEastAsia" w:hAnsiTheme="minorEastAsia"/>
          <w:szCs w:val="21"/>
        </w:rPr>
        <w:t>维保细则</w:t>
      </w:r>
    </w:p>
    <w:p w14:paraId="0FBD0FF1">
      <w:pPr>
        <w:spacing w:after="0" w:line="400" w:lineRule="exact"/>
        <w:rPr>
          <w:rFonts w:asciiTheme="minorEastAsia" w:hAnsiTheme="minorEastAsia"/>
          <w:szCs w:val="21"/>
        </w:rPr>
      </w:pPr>
      <w:r>
        <w:rPr>
          <w:rFonts w:asciiTheme="minorEastAsia" w:hAnsiTheme="minorEastAsia"/>
          <w:szCs w:val="21"/>
        </w:rPr>
        <w:t>一、运维范围</w:t>
      </w:r>
    </w:p>
    <w:p w14:paraId="36B1248E">
      <w:pPr>
        <w:spacing w:after="0" w:line="400" w:lineRule="exact"/>
        <w:ind w:firstLine="420" w:firstLineChars="200"/>
        <w:rPr>
          <w:rFonts w:asciiTheme="minorEastAsia" w:hAnsiTheme="minorEastAsia"/>
          <w:szCs w:val="21"/>
        </w:rPr>
      </w:pPr>
      <w:r>
        <w:rPr>
          <w:rFonts w:asciiTheme="minorEastAsia" w:hAnsiTheme="minorEastAsia"/>
          <w:szCs w:val="21"/>
        </w:rPr>
        <w:t>1、前端设备的日常维护、维修巡检、应急抢修。主要包括交通信息采集设备(如</w:t>
      </w:r>
      <w:r>
        <w:rPr>
          <w:rFonts w:hint="eastAsia" w:asciiTheme="minorEastAsia" w:hAnsiTheme="minorEastAsia"/>
          <w:szCs w:val="21"/>
        </w:rPr>
        <w:t>前端</w:t>
      </w:r>
      <w:r>
        <w:rPr>
          <w:rFonts w:asciiTheme="minorEastAsia" w:hAnsiTheme="minorEastAsia"/>
          <w:szCs w:val="21"/>
        </w:rPr>
        <w:t>抓拍单元、控制箱、附属基础设施)、通信设备(包括</w:t>
      </w:r>
      <w:r>
        <w:rPr>
          <w:rFonts w:hint="eastAsia" w:asciiTheme="minorEastAsia" w:hAnsiTheme="minorEastAsia"/>
          <w:szCs w:val="21"/>
        </w:rPr>
        <w:t>光交换设备</w:t>
      </w:r>
      <w:r>
        <w:rPr>
          <w:rFonts w:asciiTheme="minorEastAsia" w:hAnsiTheme="minorEastAsia"/>
          <w:szCs w:val="21"/>
        </w:rPr>
        <w:t>等)、供电设备(包括至前端设备控制箱的接线端等)和发布设备(包括诱导屏及控制箱、附属基础设施等)。此外，还应</w:t>
      </w:r>
      <w:r>
        <w:rPr>
          <w:rFonts w:hint="eastAsia" w:asciiTheme="minorEastAsia" w:hAnsiTheme="minorEastAsia"/>
          <w:szCs w:val="21"/>
        </w:rPr>
        <w:t>根据</w:t>
      </w:r>
      <w:r>
        <w:rPr>
          <w:rFonts w:asciiTheme="minorEastAsia" w:hAnsiTheme="minorEastAsia"/>
          <w:szCs w:val="21"/>
        </w:rPr>
        <w:t>前端设备老化、损坏、精度误差等情况，对前端设备精度进行优化，以不断提高数据采集的完整性和准确性。</w:t>
      </w:r>
    </w:p>
    <w:p w14:paraId="3A237619">
      <w:pPr>
        <w:spacing w:after="0" w:line="400" w:lineRule="exact"/>
        <w:ind w:firstLine="420" w:firstLineChars="200"/>
        <w:rPr>
          <w:rFonts w:asciiTheme="minorEastAsia" w:hAnsiTheme="minorEastAsia"/>
          <w:szCs w:val="21"/>
        </w:rPr>
      </w:pPr>
      <w:r>
        <w:rPr>
          <w:rFonts w:asciiTheme="minorEastAsia" w:hAnsiTheme="minorEastAsia"/>
          <w:szCs w:val="21"/>
        </w:rPr>
        <w:t>2、后端设施的日常维护、维修巡检、应急抢修和机房保洁。主要包括监控中心终端设备、统一校时系统、UPS电源、动力配电设施、机房环境设施等。</w:t>
      </w:r>
    </w:p>
    <w:p w14:paraId="26E1A870">
      <w:pPr>
        <w:spacing w:after="0" w:line="400" w:lineRule="exact"/>
        <w:ind w:firstLine="420" w:firstLineChars="200"/>
        <w:rPr>
          <w:rFonts w:asciiTheme="minorEastAsia" w:hAnsiTheme="minorEastAsia"/>
          <w:szCs w:val="21"/>
        </w:rPr>
      </w:pPr>
      <w:r>
        <w:rPr>
          <w:rFonts w:asciiTheme="minorEastAsia" w:hAnsiTheme="minorEastAsia"/>
          <w:szCs w:val="21"/>
        </w:rPr>
        <w:t>3、应用软件的日常维护。此外，还必须根据甲方的业务发展需求、外部系统接入和信息对外共享等情况，在规定的时期内完成对相关软件或算法的优化、开发和升级，(费用另计)。</w:t>
      </w:r>
    </w:p>
    <w:p w14:paraId="3C2D901A">
      <w:pPr>
        <w:spacing w:after="0" w:line="400" w:lineRule="exact"/>
        <w:ind w:firstLine="420" w:firstLineChars="200"/>
        <w:rPr>
          <w:rFonts w:asciiTheme="minorEastAsia" w:hAnsiTheme="minorEastAsia"/>
          <w:szCs w:val="21"/>
        </w:rPr>
      </w:pPr>
      <w:r>
        <w:rPr>
          <w:rFonts w:asciiTheme="minorEastAsia" w:hAnsiTheme="minorEastAsia"/>
          <w:szCs w:val="21"/>
        </w:rPr>
        <w:t>4、监控中心运行保障。该系统为24小时运行的重要信息系统，要求每日派驻符合甲方业务要求的各类值班人员，按规范要求上岗，以保障对外服务的连续性、稳定性和实时性。</w:t>
      </w:r>
    </w:p>
    <w:p w14:paraId="28B6C614">
      <w:pPr>
        <w:spacing w:after="0" w:line="400" w:lineRule="exact"/>
        <w:rPr>
          <w:rFonts w:asciiTheme="minorEastAsia" w:hAnsiTheme="minorEastAsia"/>
          <w:szCs w:val="21"/>
        </w:rPr>
      </w:pPr>
      <w:r>
        <w:rPr>
          <w:rFonts w:asciiTheme="minorEastAsia" w:hAnsiTheme="minorEastAsia"/>
          <w:szCs w:val="21"/>
        </w:rPr>
        <w:t>二、运维内容</w:t>
      </w:r>
    </w:p>
    <w:p w14:paraId="1B4F7F8D">
      <w:pPr>
        <w:spacing w:after="0" w:line="400" w:lineRule="exact"/>
        <w:rPr>
          <w:rFonts w:asciiTheme="minorEastAsia" w:hAnsiTheme="minorEastAsia"/>
          <w:szCs w:val="21"/>
        </w:rPr>
      </w:pPr>
      <w:r>
        <w:rPr>
          <w:rFonts w:asciiTheme="minorEastAsia" w:hAnsiTheme="minorEastAsia"/>
          <w:szCs w:val="21"/>
        </w:rPr>
        <w:t>维修内容主要分为故障维护、应急抢修和保养维护三部分</w:t>
      </w:r>
    </w:p>
    <w:p w14:paraId="6BF821A7">
      <w:pPr>
        <w:numPr>
          <w:ilvl w:val="0"/>
          <w:numId w:val="8"/>
        </w:numPr>
        <w:spacing w:after="0" w:line="400" w:lineRule="exact"/>
        <w:ind w:left="420" w:leftChars="200"/>
        <w:rPr>
          <w:rFonts w:cs="宋体" w:asciiTheme="minorEastAsia" w:hAnsiTheme="minorEastAsia"/>
          <w:kern w:val="0"/>
          <w:szCs w:val="21"/>
          <w:lang w:bidi="ar"/>
        </w:rPr>
      </w:pPr>
      <w:r>
        <w:rPr>
          <w:rFonts w:cs="宋体" w:asciiTheme="minorEastAsia" w:hAnsiTheme="minorEastAsia"/>
          <w:kern w:val="0"/>
          <w:szCs w:val="21"/>
          <w:lang w:bidi="ar"/>
        </w:rPr>
        <w:t>故障</w:t>
      </w:r>
      <w:r>
        <w:rPr>
          <w:rFonts w:hint="eastAsia" w:cs="宋体" w:asciiTheme="minorEastAsia" w:hAnsiTheme="minorEastAsia"/>
          <w:kern w:val="0"/>
          <w:szCs w:val="21"/>
          <w:lang w:bidi="ar"/>
        </w:rPr>
        <w:t>维护</w:t>
      </w:r>
    </w:p>
    <w:p w14:paraId="53955B9A">
      <w:pPr>
        <w:numPr>
          <w:ilvl w:val="0"/>
          <w:numId w:val="9"/>
        </w:numPr>
        <w:spacing w:after="0" w:line="400" w:lineRule="exact"/>
        <w:ind w:firstLine="420" w:firstLineChars="200"/>
        <w:rPr>
          <w:rFonts w:cs="宋体" w:asciiTheme="minorEastAsia" w:hAnsiTheme="minorEastAsia"/>
          <w:kern w:val="0"/>
          <w:szCs w:val="21"/>
          <w:lang w:bidi="ar"/>
        </w:rPr>
      </w:pPr>
      <w:r>
        <w:rPr>
          <w:rFonts w:cs="宋体" w:asciiTheme="minorEastAsia" w:hAnsiTheme="minorEastAsia"/>
          <w:kern w:val="0"/>
          <w:szCs w:val="21"/>
          <w:lang w:bidi="ar"/>
        </w:rPr>
        <w:t>故障响应:</w:t>
      </w:r>
      <w:r>
        <w:rPr>
          <w:rFonts w:hint="eastAsia" w:asciiTheme="minorEastAsia" w:hAnsiTheme="minorEastAsia"/>
          <w:szCs w:val="21"/>
        </w:rPr>
        <w:t>乙方在接到甲方故障维修通知后，2个小时内到达故障现场进行维修，24小时内修复，不能修复的，提供同类型设备替换（前端设备），保证系统正常运行。重点事故及时抢修，修复后通知甲方相关人员并填写设备维修单。</w:t>
      </w:r>
    </w:p>
    <w:p w14:paraId="55A9A1CC">
      <w:pPr>
        <w:numPr>
          <w:ilvl w:val="0"/>
          <w:numId w:val="9"/>
        </w:numPr>
        <w:spacing w:after="0" w:line="400" w:lineRule="exact"/>
        <w:ind w:firstLine="420" w:firstLineChars="200"/>
        <w:rPr>
          <w:rFonts w:cs="宋体" w:asciiTheme="minorEastAsia" w:hAnsiTheme="minorEastAsia"/>
          <w:kern w:val="0"/>
          <w:szCs w:val="21"/>
          <w:lang w:bidi="ar"/>
        </w:rPr>
      </w:pPr>
      <w:r>
        <w:rPr>
          <w:rFonts w:hint="eastAsia" w:cs="宋体" w:asciiTheme="minorEastAsia" w:hAnsiTheme="minorEastAsia"/>
          <w:kern w:val="0"/>
          <w:szCs w:val="21"/>
          <w:lang w:bidi="ar"/>
        </w:rPr>
        <w:t xml:space="preserve">    2</w:t>
      </w:r>
      <w:r>
        <w:rPr>
          <w:rFonts w:cs="宋体" w:asciiTheme="minorEastAsia" w:hAnsiTheme="minorEastAsia"/>
          <w:kern w:val="0"/>
          <w:szCs w:val="21"/>
          <w:lang w:bidi="ar"/>
        </w:rPr>
        <w:t>)设备更换:设备正常损坏需维修或更换的由乙方用甲方提供的备品备件及时更换，不可抗拒及交通事故损坏的设备应先请示甲方，征得甲方同意后方可更换，相关费用与甲方另行结算，更换后的损坏件应交由甲方检验。</w:t>
      </w:r>
    </w:p>
    <w:p w14:paraId="51FCE531">
      <w:pPr>
        <w:numPr>
          <w:ilvl w:val="0"/>
          <w:numId w:val="9"/>
        </w:numPr>
        <w:spacing w:after="0" w:line="400" w:lineRule="exact"/>
        <w:ind w:firstLine="420" w:firstLineChars="200"/>
        <w:rPr>
          <w:rFonts w:cs="宋体" w:asciiTheme="minorEastAsia" w:hAnsiTheme="minorEastAsia"/>
          <w:kern w:val="0"/>
          <w:szCs w:val="21"/>
          <w:lang w:bidi="ar"/>
        </w:rPr>
      </w:pPr>
      <w:r>
        <w:rPr>
          <w:rFonts w:hint="eastAsia" w:cs="宋体" w:asciiTheme="minorEastAsia" w:hAnsiTheme="minorEastAsia"/>
          <w:kern w:val="0"/>
          <w:szCs w:val="21"/>
          <w:lang w:bidi="ar"/>
        </w:rPr>
        <w:t xml:space="preserve">    </w:t>
      </w:r>
      <w:r>
        <w:rPr>
          <w:rFonts w:cs="宋体" w:asciiTheme="minorEastAsia" w:hAnsiTheme="minorEastAsia"/>
          <w:kern w:val="0"/>
          <w:szCs w:val="21"/>
          <w:lang w:bidi="ar"/>
        </w:rPr>
        <w:t>2、应急抢修</w:t>
      </w:r>
    </w:p>
    <w:p w14:paraId="7413677F">
      <w:pPr>
        <w:numPr>
          <w:ilvl w:val="0"/>
          <w:numId w:val="9"/>
        </w:numPr>
        <w:spacing w:after="0" w:line="400" w:lineRule="exact"/>
        <w:ind w:firstLine="420" w:firstLineChars="200"/>
        <w:rPr>
          <w:rFonts w:cs="宋体" w:asciiTheme="minorEastAsia" w:hAnsiTheme="minorEastAsia"/>
          <w:kern w:val="0"/>
          <w:szCs w:val="21"/>
          <w:lang w:bidi="ar"/>
        </w:rPr>
      </w:pPr>
      <w:r>
        <w:rPr>
          <w:rFonts w:hint="eastAsia" w:cs="宋体" w:asciiTheme="minorEastAsia" w:hAnsiTheme="minorEastAsia"/>
          <w:kern w:val="0"/>
          <w:szCs w:val="21"/>
          <w:lang w:bidi="ar"/>
        </w:rPr>
        <w:t xml:space="preserve">    </w:t>
      </w:r>
      <w:r>
        <w:rPr>
          <w:rFonts w:cs="宋体" w:asciiTheme="minorEastAsia" w:hAnsiTheme="minorEastAsia"/>
          <w:kern w:val="0"/>
          <w:szCs w:val="21"/>
          <w:lang w:bidi="ar"/>
        </w:rPr>
        <w:t>1)前端设备应急抢修要求</w:t>
      </w:r>
    </w:p>
    <w:p w14:paraId="5785D864">
      <w:pPr>
        <w:numPr>
          <w:ilvl w:val="0"/>
          <w:numId w:val="9"/>
        </w:numPr>
        <w:spacing w:after="0" w:line="400" w:lineRule="exact"/>
        <w:ind w:firstLine="420" w:firstLineChars="200"/>
        <w:rPr>
          <w:rFonts w:cs="宋体" w:asciiTheme="minorEastAsia" w:hAnsiTheme="minorEastAsia"/>
          <w:kern w:val="0"/>
          <w:szCs w:val="21"/>
          <w:lang w:bidi="ar"/>
        </w:rPr>
      </w:pPr>
      <w:r>
        <w:rPr>
          <w:rFonts w:hint="eastAsia" w:cs="宋体" w:asciiTheme="minorEastAsia" w:hAnsiTheme="minorEastAsia"/>
          <w:kern w:val="0"/>
          <w:szCs w:val="21"/>
          <w:lang w:bidi="ar"/>
        </w:rPr>
        <w:t xml:space="preserve">    一旦</w:t>
      </w:r>
      <w:r>
        <w:rPr>
          <w:rFonts w:cs="宋体" w:asciiTheme="minorEastAsia" w:hAnsiTheme="minorEastAsia"/>
          <w:kern w:val="0"/>
          <w:szCs w:val="21"/>
          <w:lang w:bidi="ar"/>
        </w:rPr>
        <w:t>发现设备工作异常，维护单位应在接到报修通知后的</w:t>
      </w:r>
      <w:r>
        <w:rPr>
          <w:rFonts w:hint="eastAsia" w:cs="宋体" w:asciiTheme="minorEastAsia" w:hAnsiTheme="minorEastAsia"/>
          <w:kern w:val="0"/>
          <w:szCs w:val="21"/>
          <w:lang w:bidi="ar"/>
        </w:rPr>
        <w:t>2</w:t>
      </w:r>
      <w:r>
        <w:rPr>
          <w:rFonts w:cs="宋体" w:asciiTheme="minorEastAsia" w:hAnsiTheme="minorEastAsia"/>
          <w:kern w:val="0"/>
          <w:szCs w:val="21"/>
          <w:lang w:bidi="ar"/>
        </w:rPr>
        <w:t>小时内到达现场，现场能解决问题的立即修复;现场不能解决的，将故障原因上报甲方。</w:t>
      </w:r>
    </w:p>
    <w:p w14:paraId="1D4912C0">
      <w:pPr>
        <w:numPr>
          <w:ilvl w:val="0"/>
          <w:numId w:val="9"/>
        </w:numPr>
        <w:spacing w:after="0" w:line="400" w:lineRule="exact"/>
        <w:ind w:firstLine="420" w:firstLineChars="200"/>
        <w:rPr>
          <w:rFonts w:cs="宋体" w:asciiTheme="minorEastAsia" w:hAnsiTheme="minorEastAsia"/>
          <w:kern w:val="0"/>
          <w:szCs w:val="21"/>
          <w:lang w:bidi="ar"/>
        </w:rPr>
      </w:pPr>
      <w:r>
        <w:rPr>
          <w:rFonts w:hint="eastAsia" w:cs="宋体" w:asciiTheme="minorEastAsia" w:hAnsiTheme="minorEastAsia"/>
          <w:kern w:val="0"/>
          <w:szCs w:val="21"/>
          <w:lang w:bidi="ar"/>
        </w:rPr>
        <w:t xml:space="preserve">    </w:t>
      </w:r>
      <w:r>
        <w:rPr>
          <w:rFonts w:cs="宋体" w:asciiTheme="minorEastAsia" w:hAnsiTheme="minorEastAsia"/>
          <w:kern w:val="0"/>
          <w:szCs w:val="21"/>
          <w:lang w:bidi="ar"/>
        </w:rPr>
        <w:t>对不需要采取工程性措施的，</w:t>
      </w:r>
      <w:r>
        <w:rPr>
          <w:rFonts w:hint="eastAsia" w:cs="宋体" w:asciiTheme="minorEastAsia" w:hAnsiTheme="minorEastAsia"/>
          <w:kern w:val="0"/>
          <w:szCs w:val="21"/>
          <w:lang w:bidi="ar"/>
        </w:rPr>
        <w:t>一</w:t>
      </w:r>
      <w:r>
        <w:rPr>
          <w:rFonts w:cs="宋体" w:asciiTheme="minorEastAsia" w:hAnsiTheme="minorEastAsia"/>
          <w:kern w:val="0"/>
          <w:szCs w:val="21"/>
          <w:lang w:bidi="ar"/>
        </w:rPr>
        <w:t>般应在24小时内解决。对需要采取工程性措施的，确定施工时间和施工方案后及时解决。</w:t>
      </w:r>
    </w:p>
    <w:p w14:paraId="38A6AD5A">
      <w:pPr>
        <w:numPr>
          <w:ilvl w:val="0"/>
          <w:numId w:val="9"/>
        </w:numPr>
        <w:spacing w:after="0" w:line="400" w:lineRule="exact"/>
        <w:ind w:firstLine="420" w:firstLineChars="200"/>
        <w:rPr>
          <w:rFonts w:cs="宋体" w:asciiTheme="minorEastAsia" w:hAnsiTheme="minorEastAsia"/>
          <w:kern w:val="0"/>
          <w:szCs w:val="21"/>
          <w:lang w:bidi="ar"/>
        </w:rPr>
      </w:pPr>
      <w:r>
        <w:rPr>
          <w:rFonts w:hint="eastAsia" w:cs="宋体" w:asciiTheme="minorEastAsia" w:hAnsiTheme="minorEastAsia"/>
          <w:kern w:val="0"/>
          <w:szCs w:val="21"/>
          <w:lang w:bidi="ar"/>
        </w:rPr>
        <w:t xml:space="preserve">    </w:t>
      </w:r>
      <w:r>
        <w:rPr>
          <w:rFonts w:cs="宋体" w:asciiTheme="minorEastAsia" w:hAnsiTheme="minorEastAsia"/>
          <w:kern w:val="0"/>
          <w:szCs w:val="21"/>
          <w:lang w:bidi="ar"/>
        </w:rPr>
        <w:t>2)后端设施和软件应急抢修要求</w:t>
      </w:r>
    </w:p>
    <w:p w14:paraId="1DCAE3DB">
      <w:pPr>
        <w:numPr>
          <w:ilvl w:val="0"/>
          <w:numId w:val="9"/>
        </w:numPr>
        <w:spacing w:after="0" w:line="400" w:lineRule="exact"/>
        <w:ind w:firstLine="420" w:firstLineChars="200"/>
        <w:rPr>
          <w:rFonts w:cs="宋体" w:asciiTheme="minorEastAsia" w:hAnsiTheme="minorEastAsia"/>
          <w:kern w:val="0"/>
          <w:szCs w:val="21"/>
          <w:lang w:bidi="ar"/>
        </w:rPr>
      </w:pPr>
      <w:r>
        <w:rPr>
          <w:rFonts w:hint="eastAsia" w:cs="宋体" w:asciiTheme="minorEastAsia" w:hAnsiTheme="minorEastAsia"/>
          <w:kern w:val="0"/>
          <w:szCs w:val="21"/>
          <w:lang w:bidi="ar"/>
        </w:rPr>
        <w:t xml:space="preserve">    一</w:t>
      </w:r>
      <w:r>
        <w:rPr>
          <w:rFonts w:cs="宋体" w:asciiTheme="minorEastAsia" w:hAnsiTheme="minorEastAsia"/>
          <w:kern w:val="0"/>
          <w:szCs w:val="21"/>
          <w:lang w:bidi="ar"/>
        </w:rPr>
        <w:t>旦发现内场设施或软件不能正常工作，导致系统瘫痪或重要功能失效时，应立即启动系统应急预案。维护单位应在</w:t>
      </w:r>
      <w:r>
        <w:rPr>
          <w:rFonts w:hint="eastAsia" w:cs="宋体" w:asciiTheme="minorEastAsia" w:hAnsiTheme="minorEastAsia"/>
          <w:kern w:val="0"/>
          <w:szCs w:val="21"/>
          <w:lang w:bidi="ar"/>
        </w:rPr>
        <w:t>1</w:t>
      </w:r>
      <w:r>
        <w:rPr>
          <w:rFonts w:cs="宋体" w:asciiTheme="minorEastAsia" w:hAnsiTheme="minorEastAsia"/>
          <w:kern w:val="0"/>
          <w:szCs w:val="21"/>
          <w:lang w:bidi="ar"/>
        </w:rPr>
        <w:t>小时内恢复系统正常运行</w:t>
      </w:r>
      <w:r>
        <w:rPr>
          <w:rFonts w:hint="eastAsia" w:cs="宋体" w:asciiTheme="minorEastAsia" w:hAnsiTheme="minorEastAsia"/>
          <w:kern w:val="0"/>
          <w:szCs w:val="21"/>
          <w:lang w:bidi="ar"/>
        </w:rPr>
        <w:t>，</w:t>
      </w:r>
      <w:r>
        <w:rPr>
          <w:rFonts w:cs="宋体" w:asciiTheme="minorEastAsia" w:hAnsiTheme="minorEastAsia"/>
          <w:kern w:val="0"/>
          <w:szCs w:val="21"/>
          <w:lang w:bidi="ar"/>
        </w:rPr>
        <w:t>现场不能解决的，将故障原因上报甲方。</w:t>
      </w:r>
    </w:p>
    <w:p w14:paraId="055A25F5">
      <w:pPr>
        <w:spacing w:after="0" w:line="400" w:lineRule="exact"/>
        <w:ind w:firstLine="420" w:firstLineChars="200"/>
        <w:rPr>
          <w:rFonts w:cs="宋体" w:asciiTheme="minorEastAsia" w:hAnsiTheme="minorEastAsia"/>
          <w:kern w:val="0"/>
          <w:szCs w:val="21"/>
          <w:lang w:bidi="ar"/>
        </w:rPr>
      </w:pPr>
      <w:r>
        <w:rPr>
          <w:rFonts w:hint="eastAsia" w:cs="宋体" w:asciiTheme="minorEastAsia" w:hAnsiTheme="minorEastAsia"/>
          <w:kern w:val="0"/>
          <w:szCs w:val="21"/>
          <w:lang w:bidi="ar"/>
        </w:rPr>
        <w:t>3)系统主机和存储设备应急抢修要求</w:t>
      </w:r>
    </w:p>
    <w:p w14:paraId="0EFA51CF">
      <w:pPr>
        <w:widowControl/>
        <w:spacing w:after="0" w:line="400" w:lineRule="exact"/>
        <w:ind w:firstLine="420" w:firstLineChars="200"/>
        <w:jc w:val="left"/>
        <w:rPr>
          <w:rFonts w:cs="宋体" w:asciiTheme="minorEastAsia" w:hAnsiTheme="minorEastAsia"/>
          <w:kern w:val="0"/>
          <w:szCs w:val="21"/>
          <w:lang w:bidi="ar"/>
        </w:rPr>
      </w:pPr>
      <w:r>
        <w:rPr>
          <w:rFonts w:hint="eastAsia" w:cs="宋体" w:asciiTheme="minorEastAsia" w:hAnsiTheme="minorEastAsia"/>
          <w:kern w:val="0"/>
          <w:szCs w:val="21"/>
          <w:lang w:bidi="ar"/>
        </w:rPr>
        <w:t>监控中心计算机系统正常运行期间，一旦发现有设备或软件不能正常工作，导致交通监控系统瘫疾或重要功能失效时，故障发生后的2小时之内恢复系统正常运行(传输链路的原因除外)</w:t>
      </w:r>
      <w:r>
        <w:rPr>
          <w:rFonts w:cs="宋体" w:asciiTheme="minorEastAsia" w:hAnsiTheme="minorEastAsia"/>
          <w:kern w:val="0"/>
          <w:szCs w:val="21"/>
          <w:lang w:bidi="ar"/>
        </w:rPr>
        <w:t>。</w:t>
      </w:r>
    </w:p>
    <w:p w14:paraId="2DF628F7">
      <w:pPr>
        <w:widowControl/>
        <w:spacing w:after="0" w:line="400" w:lineRule="exact"/>
        <w:ind w:firstLine="420" w:firstLineChars="200"/>
        <w:jc w:val="left"/>
        <w:rPr>
          <w:rFonts w:cs="宋体" w:asciiTheme="minorEastAsia" w:hAnsiTheme="minorEastAsia"/>
          <w:kern w:val="0"/>
          <w:szCs w:val="21"/>
          <w:lang w:bidi="ar"/>
        </w:rPr>
      </w:pPr>
      <w:r>
        <w:rPr>
          <w:rFonts w:hint="eastAsia" w:cs="宋体" w:asciiTheme="minorEastAsia" w:hAnsiTheme="minorEastAsia"/>
          <w:kern w:val="0"/>
          <w:szCs w:val="21"/>
          <w:lang w:bidi="ar"/>
        </w:rPr>
        <w:t>2时内无法修复的故障，应立即启动快道路交通技术监控系统应急预案，并同时向甲方上报故障初步原因、造成的影响程度及临时采取的应急措施，并及时组织人员、备件或其它可用资源，尽快抢修故障恢复系统正常工作。</w:t>
      </w:r>
    </w:p>
    <w:p w14:paraId="07927761">
      <w:pPr>
        <w:widowControl/>
        <w:spacing w:after="0" w:line="400" w:lineRule="exact"/>
        <w:ind w:firstLine="420" w:firstLineChars="200"/>
        <w:jc w:val="left"/>
        <w:rPr>
          <w:rFonts w:cs="宋体" w:asciiTheme="minorEastAsia" w:hAnsiTheme="minorEastAsia"/>
          <w:kern w:val="0"/>
          <w:szCs w:val="21"/>
          <w:lang w:bidi="ar"/>
        </w:rPr>
      </w:pPr>
      <w:r>
        <w:rPr>
          <w:rFonts w:hint="eastAsia" w:cs="宋体" w:asciiTheme="minorEastAsia" w:hAnsiTheme="minorEastAsia"/>
          <w:kern w:val="0"/>
          <w:szCs w:val="21"/>
          <w:lang w:bidi="ar"/>
        </w:rPr>
        <w:t>若引起故障的设备或软件在质保期内，并因非人为因素造成设备零配件损坏或软件故障，由负责设备质保期内的责任人免费维修。若设备或软件已过质保期，由负责维护该设备的维护单位维修</w:t>
      </w:r>
      <w:r>
        <w:rPr>
          <w:rFonts w:asciiTheme="minorEastAsia" w:hAnsiTheme="minorEastAsia"/>
          <w:szCs w:val="21"/>
        </w:rPr>
        <w:t>(费用另计)</w:t>
      </w:r>
      <w:r>
        <w:rPr>
          <w:rFonts w:hint="eastAsia" w:cs="宋体" w:asciiTheme="minorEastAsia" w:hAnsiTheme="minorEastAsia"/>
          <w:kern w:val="0"/>
          <w:szCs w:val="21"/>
          <w:lang w:bidi="ar"/>
        </w:rPr>
        <w:t>。</w:t>
      </w:r>
    </w:p>
    <w:p w14:paraId="163906FE">
      <w:pPr>
        <w:widowControl/>
        <w:spacing w:after="0" w:line="400" w:lineRule="exact"/>
        <w:ind w:firstLine="420" w:firstLineChars="200"/>
        <w:jc w:val="left"/>
        <w:rPr>
          <w:rFonts w:cs="宋体" w:asciiTheme="minorEastAsia" w:hAnsiTheme="minorEastAsia"/>
          <w:kern w:val="0"/>
          <w:szCs w:val="21"/>
          <w:lang w:bidi="ar"/>
        </w:rPr>
      </w:pPr>
      <w:r>
        <w:rPr>
          <w:rFonts w:hint="eastAsia" w:cs="宋体" w:asciiTheme="minorEastAsia" w:hAnsiTheme="minorEastAsia"/>
          <w:kern w:val="0"/>
          <w:szCs w:val="21"/>
          <w:lang w:bidi="ar"/>
        </w:rPr>
        <w:t>3、维护保养</w:t>
      </w:r>
    </w:p>
    <w:p w14:paraId="225F80D8">
      <w:pPr>
        <w:widowControl/>
        <w:spacing w:after="0" w:line="400" w:lineRule="exact"/>
        <w:ind w:firstLine="420" w:firstLineChars="200"/>
        <w:jc w:val="left"/>
        <w:rPr>
          <w:rFonts w:cs="宋体" w:asciiTheme="minorEastAsia" w:hAnsiTheme="minorEastAsia"/>
          <w:kern w:val="0"/>
          <w:szCs w:val="21"/>
          <w:lang w:bidi="ar"/>
        </w:rPr>
      </w:pPr>
      <w:r>
        <w:rPr>
          <w:rFonts w:hint="eastAsia" w:cs="宋体" w:asciiTheme="minorEastAsia" w:hAnsiTheme="minorEastAsia"/>
          <w:kern w:val="0"/>
          <w:szCs w:val="21"/>
          <w:lang w:bidi="ar"/>
        </w:rPr>
        <w:t>一)前端抓拍单元及前端设备</w:t>
      </w:r>
    </w:p>
    <w:p w14:paraId="689C561D">
      <w:pPr>
        <w:widowControl/>
        <w:spacing w:after="0" w:line="400" w:lineRule="exact"/>
        <w:ind w:firstLine="420" w:firstLineChars="200"/>
        <w:jc w:val="left"/>
        <w:rPr>
          <w:rFonts w:cs="宋体" w:asciiTheme="minorEastAsia" w:hAnsiTheme="minorEastAsia"/>
          <w:kern w:val="0"/>
          <w:szCs w:val="21"/>
          <w:lang w:bidi="ar"/>
        </w:rPr>
      </w:pPr>
      <w:r>
        <w:rPr>
          <w:rFonts w:hint="eastAsia" w:cs="宋体" w:asciiTheme="minorEastAsia" w:hAnsiTheme="minorEastAsia"/>
          <w:kern w:val="0"/>
          <w:szCs w:val="21"/>
          <w:lang w:bidi="ar"/>
        </w:rPr>
        <w:t>1.1日常维护保养和维修巡检的内容和要求</w:t>
      </w:r>
    </w:p>
    <w:p w14:paraId="19F43A20">
      <w:pPr>
        <w:widowControl/>
        <w:spacing w:after="0" w:line="400" w:lineRule="exact"/>
        <w:ind w:firstLine="420" w:firstLineChars="200"/>
        <w:jc w:val="left"/>
        <w:rPr>
          <w:rFonts w:cs="宋体" w:asciiTheme="minorEastAsia" w:hAnsiTheme="minorEastAsia"/>
          <w:kern w:val="0"/>
          <w:szCs w:val="21"/>
          <w:lang w:bidi="ar"/>
        </w:rPr>
      </w:pPr>
      <w:r>
        <w:rPr>
          <w:rFonts w:hint="eastAsia" w:cs="宋体" w:asciiTheme="minorEastAsia" w:hAnsiTheme="minorEastAsia"/>
          <w:kern w:val="0"/>
          <w:szCs w:val="21"/>
          <w:lang w:bidi="ar"/>
        </w:rPr>
        <w:t>1)维修包括高速球型摄像机、抓拍机、一体机、全景摄像机、摄像机电源、光交换设备、光交换设备电源、接插件、视频接头、门锁等。</w:t>
      </w:r>
    </w:p>
    <w:p w14:paraId="6F0F4ABF">
      <w:pPr>
        <w:widowControl/>
        <w:spacing w:after="0" w:line="400" w:lineRule="exact"/>
        <w:ind w:firstLine="420" w:firstLineChars="200"/>
        <w:jc w:val="left"/>
        <w:rPr>
          <w:rFonts w:cs="宋体" w:asciiTheme="minorEastAsia" w:hAnsiTheme="minorEastAsia"/>
          <w:kern w:val="0"/>
          <w:szCs w:val="21"/>
          <w:lang w:bidi="ar"/>
        </w:rPr>
      </w:pPr>
      <w:r>
        <w:rPr>
          <w:rFonts w:hint="eastAsia" w:cs="宋体" w:asciiTheme="minorEastAsia" w:hAnsiTheme="minorEastAsia"/>
          <w:kern w:val="0"/>
          <w:szCs w:val="21"/>
          <w:lang w:bidi="ar"/>
        </w:rPr>
        <w:t>2)对经过维修仍无法达到系统使用要求、需更换的摄像机或光交换设备，须经甲方确认，同意后方可进行更换。</w:t>
      </w:r>
    </w:p>
    <w:p w14:paraId="280CC288">
      <w:pPr>
        <w:widowControl/>
        <w:spacing w:after="0" w:line="400" w:lineRule="exact"/>
        <w:ind w:firstLine="420" w:firstLineChars="200"/>
        <w:jc w:val="left"/>
        <w:rPr>
          <w:rFonts w:cs="宋体" w:asciiTheme="minorEastAsia" w:hAnsiTheme="minorEastAsia"/>
          <w:kern w:val="0"/>
          <w:szCs w:val="21"/>
          <w:lang w:bidi="ar"/>
        </w:rPr>
      </w:pPr>
      <w:r>
        <w:rPr>
          <w:rFonts w:hint="eastAsia" w:cs="宋体" w:asciiTheme="minorEastAsia" w:hAnsiTheme="minorEastAsia"/>
          <w:kern w:val="0"/>
          <w:szCs w:val="21"/>
          <w:lang w:bidi="ar"/>
        </w:rPr>
        <w:t>3)更换的设备原则上是同品牌、同型号原装部件，如以其他产品替代，须经甲方确认，同意后方可进行更换。</w:t>
      </w:r>
    </w:p>
    <w:p w14:paraId="16FD20BE">
      <w:pPr>
        <w:widowControl/>
        <w:spacing w:after="0" w:line="400" w:lineRule="exact"/>
        <w:ind w:firstLine="420" w:firstLineChars="200"/>
        <w:jc w:val="left"/>
        <w:rPr>
          <w:rFonts w:cs="宋体" w:asciiTheme="minorEastAsia" w:hAnsiTheme="minorEastAsia"/>
          <w:kern w:val="0"/>
          <w:szCs w:val="21"/>
          <w:lang w:bidi="ar"/>
        </w:rPr>
      </w:pPr>
      <w:r>
        <w:rPr>
          <w:rFonts w:hint="eastAsia" w:cs="宋体" w:asciiTheme="minorEastAsia" w:hAnsiTheme="minorEastAsia"/>
          <w:kern w:val="0"/>
          <w:szCs w:val="21"/>
          <w:lang w:bidi="ar"/>
        </w:rPr>
        <w:t>4)周运行状况检查</w:t>
      </w:r>
    </w:p>
    <w:p w14:paraId="4A5474F6">
      <w:pPr>
        <w:spacing w:after="0" w:line="400" w:lineRule="exact"/>
        <w:ind w:firstLine="420" w:firstLineChars="200"/>
        <w:rPr>
          <w:rFonts w:asciiTheme="minorEastAsia" w:hAnsiTheme="minorEastAsia"/>
          <w:szCs w:val="21"/>
        </w:rPr>
      </w:pPr>
      <w:r>
        <w:rPr>
          <w:rFonts w:asciiTheme="minorEastAsia" w:hAnsiTheme="minorEastAsia"/>
          <w:szCs w:val="21"/>
        </w:rPr>
        <w:t>要求在综合管理</w:t>
      </w:r>
      <w:r>
        <w:rPr>
          <w:rFonts w:hint="eastAsia" w:asciiTheme="minorEastAsia" w:hAnsiTheme="minorEastAsia"/>
          <w:szCs w:val="21"/>
        </w:rPr>
        <w:t>平台上</w:t>
      </w:r>
      <w:r>
        <w:rPr>
          <w:rFonts w:asciiTheme="minorEastAsia" w:hAnsiTheme="minorEastAsia"/>
          <w:szCs w:val="21"/>
        </w:rPr>
        <w:t>对外场设备的运行状况进行检查,检查频次为每周一次。</w:t>
      </w:r>
    </w:p>
    <w:p w14:paraId="7DC3DD47">
      <w:pPr>
        <w:spacing w:after="0" w:line="400" w:lineRule="exact"/>
        <w:ind w:firstLine="420" w:firstLineChars="200"/>
        <w:rPr>
          <w:rFonts w:asciiTheme="minorEastAsia" w:hAnsiTheme="minorEastAsia"/>
          <w:szCs w:val="21"/>
        </w:rPr>
      </w:pPr>
      <w:r>
        <w:rPr>
          <w:rFonts w:asciiTheme="minorEastAsia" w:hAnsiTheme="minorEastAsia"/>
          <w:szCs w:val="21"/>
        </w:rPr>
        <w:t>检查时，首先询问监控中心值班人员系统设备运行情况，然后对每台摄像机的图象质量、视距、云台和镜头的工作状态进行逐一检查， 并填写周的摄像机运行状况记录表，详细记录每台摄像机的运行状况;针对周的运行状况检查情况，对存在故障的摄像机，对其故障原因进行分析，能当场处理的当场处理，不能当场处理的按照监控中心的处理时间规定和要求作出维修安排后及时进行解决。</w:t>
      </w:r>
    </w:p>
    <w:p w14:paraId="15BA5FE6">
      <w:pPr>
        <w:spacing w:after="0" w:line="400" w:lineRule="exact"/>
        <w:ind w:firstLine="420" w:firstLineChars="200"/>
        <w:rPr>
          <w:rFonts w:asciiTheme="minorEastAsia" w:hAnsiTheme="minorEastAsia"/>
          <w:szCs w:val="21"/>
        </w:rPr>
      </w:pPr>
      <w:r>
        <w:rPr>
          <w:rFonts w:asciiTheme="minorEastAsia" w:hAnsiTheme="minorEastAsia"/>
          <w:szCs w:val="21"/>
        </w:rPr>
        <w:t>维护维修单位应制定专门的每周摄像机运行状况及维修安排记录本，说明运行检查过程中碰到的问题、症状及对故障的判断、处理的方法、保养维修后的工作状态等内容，并由维修保养人员签字，</w:t>
      </w:r>
      <w:r>
        <w:rPr>
          <w:rFonts w:hint="eastAsia" w:asciiTheme="minorEastAsia" w:hAnsiTheme="minorEastAsia"/>
          <w:szCs w:val="21"/>
        </w:rPr>
        <w:t>一式两份</w:t>
      </w:r>
      <w:r>
        <w:rPr>
          <w:rFonts w:asciiTheme="minorEastAsia" w:hAnsiTheme="minorEastAsia"/>
          <w:szCs w:val="21"/>
        </w:rPr>
        <w:t>，由监控中心具体负责人员签字认可后存档。</w:t>
      </w:r>
    </w:p>
    <w:p w14:paraId="50781324">
      <w:pPr>
        <w:spacing w:after="0" w:line="400" w:lineRule="exact"/>
        <w:ind w:firstLine="420" w:firstLineChars="200"/>
        <w:rPr>
          <w:rFonts w:asciiTheme="minorEastAsia" w:hAnsiTheme="minorEastAsia"/>
          <w:szCs w:val="21"/>
        </w:rPr>
      </w:pPr>
      <w:r>
        <w:rPr>
          <w:rFonts w:hint="eastAsia" w:asciiTheme="minorEastAsia" w:hAnsiTheme="minorEastAsia"/>
          <w:szCs w:val="21"/>
        </w:rPr>
        <w:t>1.2</w:t>
      </w:r>
      <w:r>
        <w:rPr>
          <w:rFonts w:asciiTheme="minorEastAsia" w:hAnsiTheme="minorEastAsia"/>
          <w:szCs w:val="21"/>
        </w:rPr>
        <w:t>月度保养维护和维修巡检</w:t>
      </w:r>
    </w:p>
    <w:p w14:paraId="42C91B1C">
      <w:pPr>
        <w:spacing w:after="0" w:line="400" w:lineRule="exact"/>
        <w:ind w:firstLine="420" w:firstLineChars="200"/>
        <w:rPr>
          <w:rFonts w:asciiTheme="minorEastAsia" w:hAnsiTheme="minorEastAsia"/>
          <w:szCs w:val="21"/>
        </w:rPr>
      </w:pPr>
      <w:r>
        <w:rPr>
          <w:rFonts w:asciiTheme="minorEastAsia" w:hAnsiTheme="minorEastAsia"/>
          <w:szCs w:val="21"/>
        </w:rPr>
        <w:t>要求对本标段的所有设备每月进行一次保养维护和维修巡检，维护和维修的内容为:</w:t>
      </w:r>
    </w:p>
    <w:p w14:paraId="4BF25488">
      <w:pPr>
        <w:spacing w:after="0" w:line="400" w:lineRule="exact"/>
        <w:ind w:firstLine="420" w:firstLineChars="200"/>
        <w:rPr>
          <w:rFonts w:asciiTheme="minorEastAsia" w:hAnsiTheme="minorEastAsia"/>
          <w:szCs w:val="21"/>
        </w:rPr>
      </w:pPr>
      <w:r>
        <w:rPr>
          <w:rFonts w:asciiTheme="minorEastAsia" w:hAnsiTheme="minorEastAsia"/>
          <w:szCs w:val="21"/>
        </w:rPr>
        <w:t>1)对摄像机防护罩和机箱进行清洁和防尘、防雨、防振及防干扰功能检测，确保设备良好的透视性能、整洁性和正常的防干扰功能。</w:t>
      </w:r>
    </w:p>
    <w:p w14:paraId="58C6BD0F">
      <w:pPr>
        <w:spacing w:after="0" w:line="400" w:lineRule="exact"/>
        <w:ind w:firstLine="420" w:firstLineChars="200"/>
        <w:rPr>
          <w:rFonts w:asciiTheme="minorEastAsia" w:hAnsiTheme="minorEastAsia"/>
          <w:szCs w:val="21"/>
        </w:rPr>
      </w:pPr>
      <w:r>
        <w:rPr>
          <w:rFonts w:hint="eastAsia" w:asciiTheme="minorEastAsia" w:hAnsiTheme="minorEastAsia"/>
          <w:szCs w:val="21"/>
        </w:rPr>
        <w:t>2</w:t>
      </w:r>
      <w:r>
        <w:rPr>
          <w:rFonts w:asciiTheme="minorEastAsia" w:hAnsiTheme="minorEastAsia"/>
          <w:szCs w:val="21"/>
        </w:rPr>
        <w:t>)对机箱的箱体进行清洁维护，确保箱体外壳完整、门</w:t>
      </w:r>
      <w:r>
        <w:rPr>
          <w:rFonts w:hint="eastAsia" w:asciiTheme="minorEastAsia" w:hAnsiTheme="minorEastAsia"/>
          <w:szCs w:val="21"/>
        </w:rPr>
        <w:t>锁</w:t>
      </w:r>
      <w:r>
        <w:rPr>
          <w:rFonts w:asciiTheme="minorEastAsia" w:hAnsiTheme="minorEastAsia"/>
          <w:szCs w:val="21"/>
        </w:rPr>
        <w:t>完好，无缺损;箱体接地良好;对紧固件进行检查,确保紧固件紧固;对箱内进行清洁和箱内部件进行检查,确保箱内整洁;箱内部件固定牢固，走线规范，接地电阻小于4欧母;各种接插件接触良好、变压器及</w:t>
      </w:r>
      <w:r>
        <w:rPr>
          <w:rFonts w:hint="eastAsia" w:asciiTheme="minorEastAsia" w:hAnsiTheme="minorEastAsia"/>
          <w:szCs w:val="21"/>
        </w:rPr>
        <w:t>光交换设备</w:t>
      </w:r>
      <w:r>
        <w:rPr>
          <w:rFonts w:asciiTheme="minorEastAsia" w:hAnsiTheme="minorEastAsia"/>
          <w:szCs w:val="21"/>
        </w:rPr>
        <w:t>电源输出电压正常，</w:t>
      </w:r>
      <w:r>
        <w:rPr>
          <w:rFonts w:hint="eastAsia" w:asciiTheme="minorEastAsia" w:hAnsiTheme="minorEastAsia"/>
          <w:szCs w:val="21"/>
        </w:rPr>
        <w:t>光交换设备</w:t>
      </w:r>
      <w:r>
        <w:rPr>
          <w:rFonts w:asciiTheme="minorEastAsia" w:hAnsiTheme="minorEastAsia"/>
          <w:szCs w:val="21"/>
        </w:rPr>
        <w:t>正常</w:t>
      </w:r>
      <w:r>
        <w:rPr>
          <w:rFonts w:hint="eastAsia" w:asciiTheme="minorEastAsia" w:hAnsiTheme="minorEastAsia"/>
          <w:szCs w:val="21"/>
        </w:rPr>
        <w:t>工作。</w:t>
      </w:r>
    </w:p>
    <w:p w14:paraId="0DF55B35">
      <w:pPr>
        <w:spacing w:after="0" w:line="400" w:lineRule="exact"/>
        <w:ind w:firstLine="420" w:firstLineChars="200"/>
        <w:rPr>
          <w:rFonts w:asciiTheme="minorEastAsia" w:hAnsiTheme="minorEastAsia"/>
          <w:szCs w:val="21"/>
        </w:rPr>
      </w:pPr>
      <w:r>
        <w:rPr>
          <w:rFonts w:hint="eastAsia" w:asciiTheme="minorEastAsia" w:hAnsiTheme="minorEastAsia"/>
          <w:szCs w:val="21"/>
        </w:rPr>
        <w:t>3</w:t>
      </w:r>
      <w:r>
        <w:rPr>
          <w:rFonts w:asciiTheme="minorEastAsia" w:hAnsiTheme="minorEastAsia"/>
          <w:szCs w:val="21"/>
        </w:rPr>
        <w:t>)对摄像机的镜头进行清洁、确保图像的清晰度，</w:t>
      </w:r>
    </w:p>
    <w:p w14:paraId="6C989C86">
      <w:pPr>
        <w:spacing w:after="0" w:line="400" w:lineRule="exact"/>
        <w:ind w:firstLine="420" w:firstLineChars="200"/>
        <w:rPr>
          <w:rFonts w:asciiTheme="minorEastAsia" w:hAnsiTheme="minorEastAsia"/>
          <w:szCs w:val="21"/>
        </w:rPr>
      </w:pPr>
      <w:r>
        <w:rPr>
          <w:rFonts w:hint="eastAsia" w:asciiTheme="minorEastAsia" w:hAnsiTheme="minorEastAsia"/>
          <w:szCs w:val="21"/>
        </w:rPr>
        <w:t>4</w:t>
      </w:r>
      <w:r>
        <w:rPr>
          <w:rFonts w:asciiTheme="minorEastAsia" w:hAnsiTheme="minorEastAsia"/>
          <w:szCs w:val="21"/>
        </w:rPr>
        <w:t>)对摄像机的云台(电动云台水平和垂直转动的转速、转角功能)、镜头(电动镜头手动变信、手动或自动调焦、手动或自动光圈功能)、雨刷等进行功能检查，确保其控制自如。</w:t>
      </w:r>
    </w:p>
    <w:p w14:paraId="6BB1F2CE">
      <w:pPr>
        <w:spacing w:after="0" w:line="400" w:lineRule="exact"/>
        <w:ind w:firstLine="420" w:firstLineChars="200"/>
        <w:rPr>
          <w:rFonts w:asciiTheme="minorEastAsia" w:hAnsiTheme="minorEastAsia"/>
          <w:szCs w:val="21"/>
        </w:rPr>
      </w:pPr>
      <w:r>
        <w:rPr>
          <w:rFonts w:hint="eastAsia" w:asciiTheme="minorEastAsia" w:hAnsiTheme="minorEastAsia"/>
          <w:szCs w:val="21"/>
        </w:rPr>
        <w:t>5</w:t>
      </w:r>
      <w:r>
        <w:rPr>
          <w:rFonts w:asciiTheme="minorEastAsia" w:hAnsiTheme="minorEastAsia"/>
          <w:szCs w:val="21"/>
        </w:rPr>
        <w:t>)对摄像机的图像质量和通信状态进行检查，确保输出对比度好、无重影、无杂波的视频團像，并能正常上传。</w:t>
      </w:r>
    </w:p>
    <w:p w14:paraId="291FFDEA">
      <w:pPr>
        <w:spacing w:after="0" w:line="400" w:lineRule="exact"/>
        <w:ind w:firstLine="420" w:firstLineChars="200"/>
        <w:rPr>
          <w:rFonts w:asciiTheme="minorEastAsia" w:hAnsiTheme="minorEastAsia"/>
          <w:szCs w:val="21"/>
        </w:rPr>
      </w:pPr>
      <w:r>
        <w:rPr>
          <w:rFonts w:hint="eastAsia" w:asciiTheme="minorEastAsia" w:hAnsiTheme="minorEastAsia"/>
          <w:szCs w:val="21"/>
        </w:rPr>
        <w:t>6</w:t>
      </w:r>
      <w:r>
        <w:rPr>
          <w:rFonts w:asciiTheme="minorEastAsia" w:hAnsiTheme="minorEastAsia"/>
          <w:szCs w:val="21"/>
        </w:rPr>
        <w:t>)夏季雷雨季节，检查避雷针是否完好，避雷接地是否完好。</w:t>
      </w:r>
    </w:p>
    <w:p w14:paraId="6C0658FA">
      <w:pPr>
        <w:spacing w:after="0" w:line="400" w:lineRule="exact"/>
        <w:ind w:firstLine="420" w:firstLineChars="200"/>
        <w:rPr>
          <w:rFonts w:asciiTheme="minorEastAsia" w:hAnsiTheme="minorEastAsia"/>
          <w:szCs w:val="21"/>
        </w:rPr>
      </w:pPr>
      <w:r>
        <w:rPr>
          <w:rFonts w:hint="eastAsia" w:asciiTheme="minorEastAsia" w:hAnsiTheme="minorEastAsia"/>
          <w:szCs w:val="21"/>
        </w:rPr>
        <w:t>7</w:t>
      </w:r>
      <w:r>
        <w:rPr>
          <w:rFonts w:asciiTheme="minorEastAsia" w:hAnsiTheme="minorEastAsia"/>
          <w:szCs w:val="21"/>
        </w:rPr>
        <w:t>)要求维护维修单位需制定每台摄像机的月度保养维护和维修巡检记录表，便于掌握月度养护和巡检的时间，并供甲方抽检。</w:t>
      </w:r>
    </w:p>
    <w:p w14:paraId="192E3C73">
      <w:pPr>
        <w:spacing w:after="0" w:line="400" w:lineRule="exact"/>
        <w:rPr>
          <w:rFonts w:asciiTheme="minorEastAsia" w:hAnsiTheme="minorEastAsia"/>
          <w:szCs w:val="21"/>
        </w:rPr>
      </w:pPr>
      <w:r>
        <w:rPr>
          <w:rFonts w:hint="eastAsia" w:asciiTheme="minorEastAsia" w:hAnsiTheme="minorEastAsia"/>
          <w:szCs w:val="21"/>
        </w:rPr>
        <w:t>1.3</w:t>
      </w:r>
      <w:r>
        <w:rPr>
          <w:rFonts w:asciiTheme="minorEastAsia" w:hAnsiTheme="minorEastAsia"/>
          <w:szCs w:val="21"/>
        </w:rPr>
        <w:t>特殊维护和巡检</w:t>
      </w:r>
    </w:p>
    <w:p w14:paraId="613104EF">
      <w:pPr>
        <w:spacing w:after="0" w:line="400" w:lineRule="exact"/>
        <w:ind w:firstLine="420" w:firstLineChars="200"/>
        <w:rPr>
          <w:rFonts w:asciiTheme="minorEastAsia" w:hAnsiTheme="minorEastAsia"/>
          <w:szCs w:val="21"/>
        </w:rPr>
      </w:pPr>
      <w:r>
        <w:rPr>
          <w:rFonts w:asciiTheme="minorEastAsia" w:hAnsiTheme="minorEastAsia"/>
          <w:szCs w:val="21"/>
        </w:rPr>
        <w:t>1)在气象预报即将发生台风、暴风雨或其他恶劣天气之前，对视频系统外场设备进行维护保养和维修巡检一次，重点检查外场设备安装牢固性，尽量避免和降低暴风雨对外场设备的破坏。</w:t>
      </w:r>
    </w:p>
    <w:p w14:paraId="3F834540">
      <w:pPr>
        <w:spacing w:after="0" w:line="400" w:lineRule="exact"/>
        <w:ind w:firstLine="420" w:firstLineChars="200"/>
        <w:rPr>
          <w:rFonts w:asciiTheme="minorEastAsia" w:hAnsiTheme="minorEastAsia"/>
          <w:szCs w:val="21"/>
        </w:rPr>
      </w:pPr>
      <w:r>
        <w:rPr>
          <w:rFonts w:asciiTheme="minorEastAsia" w:hAnsiTheme="minorEastAsia"/>
          <w:szCs w:val="21"/>
        </w:rPr>
        <w:t>2)在运行期间一旦发现有设备不能正常工作，维护维修单位接到报修通知后2小时内到达现场，现场能解决问题马上修复:现场不能解决的，将故障原因上报甲方。</w:t>
      </w:r>
    </w:p>
    <w:p w14:paraId="54F8E265">
      <w:pPr>
        <w:spacing w:after="0" w:line="400" w:lineRule="exact"/>
        <w:ind w:firstLine="420" w:firstLineChars="200"/>
        <w:rPr>
          <w:rFonts w:asciiTheme="minorEastAsia" w:hAnsiTheme="minorEastAsia"/>
          <w:szCs w:val="21"/>
        </w:rPr>
      </w:pPr>
      <w:r>
        <w:rPr>
          <w:rFonts w:asciiTheme="minorEastAsia" w:hAnsiTheme="minorEastAsia"/>
          <w:szCs w:val="21"/>
        </w:rPr>
        <w:t>3)对故障修复不需要采取工程性措施的，</w:t>
      </w:r>
      <w:r>
        <w:rPr>
          <w:rFonts w:hint="eastAsia" w:asciiTheme="minorEastAsia" w:hAnsiTheme="minorEastAsia"/>
          <w:szCs w:val="21"/>
        </w:rPr>
        <w:t>一</w:t>
      </w:r>
      <w:r>
        <w:rPr>
          <w:rFonts w:asciiTheme="minorEastAsia" w:hAnsiTheme="minorEastAsia"/>
          <w:szCs w:val="21"/>
        </w:rPr>
        <w:t>般应在24小时内解决。需要采取工程性措施的，确定施工时间和施工方案后及时解决。</w:t>
      </w:r>
    </w:p>
    <w:p w14:paraId="13829D8D">
      <w:pPr>
        <w:spacing w:after="0" w:line="400" w:lineRule="exact"/>
        <w:ind w:firstLine="420" w:firstLineChars="200"/>
        <w:rPr>
          <w:rFonts w:asciiTheme="minorEastAsia" w:hAnsiTheme="minorEastAsia"/>
          <w:szCs w:val="21"/>
        </w:rPr>
      </w:pPr>
      <w:r>
        <w:rPr>
          <w:rFonts w:asciiTheme="minorEastAsia" w:hAnsiTheme="minorEastAsia"/>
          <w:szCs w:val="21"/>
        </w:rPr>
        <w:t>4)抢修工作完成后须填写设备维修记录单，注明维修内容，由维修人员签字，</w:t>
      </w:r>
      <w:r>
        <w:rPr>
          <w:rFonts w:hint="eastAsia" w:asciiTheme="minorEastAsia" w:hAnsiTheme="minorEastAsia"/>
          <w:szCs w:val="21"/>
        </w:rPr>
        <w:t>一</w:t>
      </w:r>
      <w:r>
        <w:rPr>
          <w:rFonts w:asciiTheme="minorEastAsia" w:hAnsiTheme="minorEastAsia"/>
          <w:szCs w:val="21"/>
        </w:rPr>
        <w:t>式两份，由甲方方签字认可后存档。</w:t>
      </w:r>
    </w:p>
    <w:p w14:paraId="1F9DDC1F">
      <w:pPr>
        <w:spacing w:after="0" w:line="400" w:lineRule="exact"/>
        <w:ind w:firstLine="210" w:firstLineChars="100"/>
        <w:rPr>
          <w:rFonts w:asciiTheme="minorEastAsia" w:hAnsiTheme="minorEastAsia"/>
          <w:szCs w:val="21"/>
        </w:rPr>
      </w:pPr>
      <w:r>
        <w:rPr>
          <w:rFonts w:asciiTheme="minorEastAsia" w:hAnsiTheme="minorEastAsia"/>
          <w:szCs w:val="21"/>
        </w:rPr>
        <w:t>二)系统主机和存储设备</w:t>
      </w:r>
    </w:p>
    <w:p w14:paraId="5C2FC09F">
      <w:pPr>
        <w:spacing w:after="0" w:line="400" w:lineRule="exact"/>
        <w:ind w:firstLine="210" w:firstLineChars="100"/>
        <w:rPr>
          <w:rFonts w:asciiTheme="minorEastAsia" w:hAnsiTheme="minorEastAsia"/>
          <w:szCs w:val="21"/>
        </w:rPr>
      </w:pPr>
      <w:r>
        <w:rPr>
          <w:rFonts w:asciiTheme="minorEastAsia" w:hAnsiTheme="minorEastAsia"/>
          <w:szCs w:val="21"/>
        </w:rPr>
        <w:t>1</w:t>
      </w:r>
      <w:r>
        <w:rPr>
          <w:rFonts w:hint="eastAsia" w:asciiTheme="minorEastAsia" w:hAnsiTheme="minorEastAsia"/>
          <w:szCs w:val="21"/>
        </w:rPr>
        <w:t>.1</w:t>
      </w:r>
      <w:r>
        <w:rPr>
          <w:rFonts w:asciiTheme="minorEastAsia" w:hAnsiTheme="minorEastAsia"/>
          <w:szCs w:val="21"/>
        </w:rPr>
        <w:t>日常维护维修要求</w:t>
      </w:r>
    </w:p>
    <w:p w14:paraId="7D9B6F73">
      <w:pPr>
        <w:spacing w:after="0" w:line="400" w:lineRule="exact"/>
        <w:ind w:firstLine="420" w:firstLineChars="200"/>
        <w:rPr>
          <w:rFonts w:asciiTheme="minorEastAsia" w:hAnsiTheme="minorEastAsia"/>
          <w:szCs w:val="21"/>
        </w:rPr>
      </w:pPr>
      <w:r>
        <w:rPr>
          <w:rFonts w:asciiTheme="minorEastAsia" w:hAnsiTheme="minorEastAsia"/>
          <w:szCs w:val="21"/>
        </w:rPr>
        <w:t>根据设备和软件的维护要求，定期对所有设备和软件进行维护巡检，确认系统运行状态，检查系统错误记录，排除潜在隐患，以确保系统能正常稳定地运行。</w:t>
      </w:r>
    </w:p>
    <w:p w14:paraId="5EFFB9D0">
      <w:pPr>
        <w:spacing w:after="0" w:line="400" w:lineRule="exact"/>
        <w:ind w:firstLine="210" w:firstLineChars="100"/>
        <w:rPr>
          <w:rFonts w:asciiTheme="minorEastAsia" w:hAnsiTheme="minorEastAsia"/>
          <w:szCs w:val="21"/>
        </w:rPr>
      </w:pPr>
      <w:r>
        <w:rPr>
          <w:rFonts w:hint="eastAsia" w:asciiTheme="minorEastAsia" w:hAnsiTheme="minorEastAsia"/>
          <w:szCs w:val="21"/>
        </w:rPr>
        <w:t>1.2</w:t>
      </w:r>
      <w:r>
        <w:rPr>
          <w:rFonts w:asciiTheme="minorEastAsia" w:hAnsiTheme="minorEastAsia"/>
          <w:szCs w:val="21"/>
        </w:rPr>
        <w:t>后端设备和机房</w:t>
      </w:r>
    </w:p>
    <w:p w14:paraId="569D8AE6">
      <w:pPr>
        <w:spacing w:after="0" w:line="400" w:lineRule="exact"/>
        <w:ind w:firstLine="210" w:firstLineChars="100"/>
        <w:rPr>
          <w:rFonts w:asciiTheme="minorEastAsia" w:hAnsiTheme="minorEastAsia"/>
          <w:szCs w:val="21"/>
        </w:rPr>
      </w:pPr>
      <w:r>
        <w:rPr>
          <w:rFonts w:hint="eastAsia" w:asciiTheme="minorEastAsia" w:hAnsiTheme="minorEastAsia"/>
          <w:szCs w:val="21"/>
        </w:rPr>
        <w:t>1.2</w:t>
      </w:r>
      <w:r>
        <w:rPr>
          <w:rFonts w:asciiTheme="minorEastAsia" w:hAnsiTheme="minorEastAsia"/>
          <w:szCs w:val="21"/>
        </w:rPr>
        <w:t>.1日维护</w:t>
      </w:r>
    </w:p>
    <w:p w14:paraId="7CF75872">
      <w:pPr>
        <w:spacing w:after="0" w:line="400" w:lineRule="exact"/>
        <w:ind w:firstLine="210" w:firstLineChars="100"/>
        <w:rPr>
          <w:rFonts w:asciiTheme="minorEastAsia" w:hAnsiTheme="minorEastAsia"/>
          <w:szCs w:val="21"/>
        </w:rPr>
      </w:pPr>
      <w:r>
        <w:rPr>
          <w:rFonts w:asciiTheme="minorEastAsia" w:hAnsiTheme="minorEastAsia"/>
          <w:szCs w:val="21"/>
        </w:rPr>
        <w:t>1)机房温、湿度的检查和调整:机房温度应保持在21+2C*.湿度保持45%~ 65% ;</w:t>
      </w:r>
    </w:p>
    <w:p w14:paraId="68347D97">
      <w:pPr>
        <w:spacing w:after="0" w:line="400" w:lineRule="exact"/>
        <w:ind w:firstLine="210" w:firstLineChars="100"/>
        <w:rPr>
          <w:rFonts w:asciiTheme="minorEastAsia" w:hAnsiTheme="minorEastAsia"/>
          <w:szCs w:val="21"/>
        </w:rPr>
      </w:pPr>
      <w:r>
        <w:rPr>
          <w:rFonts w:asciiTheme="minorEastAsia" w:hAnsiTheme="minorEastAsia"/>
          <w:szCs w:val="21"/>
        </w:rPr>
        <w:t>2)机房内清洁工作;</w:t>
      </w:r>
    </w:p>
    <w:p w14:paraId="41A18ED3">
      <w:pPr>
        <w:spacing w:after="0" w:line="400" w:lineRule="exact"/>
        <w:ind w:firstLine="210" w:firstLineChars="100"/>
        <w:rPr>
          <w:rFonts w:asciiTheme="minorEastAsia" w:hAnsiTheme="minorEastAsia"/>
          <w:szCs w:val="21"/>
        </w:rPr>
      </w:pPr>
      <w:r>
        <w:rPr>
          <w:rFonts w:asciiTheme="minorEastAsia" w:hAnsiTheme="minorEastAsia"/>
          <w:szCs w:val="21"/>
        </w:rPr>
        <w:t>3)终端指示灯状态的检查;</w:t>
      </w:r>
    </w:p>
    <w:p w14:paraId="20C543CF">
      <w:pPr>
        <w:spacing w:after="0" w:line="400" w:lineRule="exact"/>
        <w:ind w:firstLine="210" w:firstLineChars="100"/>
        <w:rPr>
          <w:rFonts w:asciiTheme="minorEastAsia" w:hAnsiTheme="minorEastAsia"/>
          <w:szCs w:val="21"/>
        </w:rPr>
      </w:pPr>
      <w:r>
        <w:rPr>
          <w:rFonts w:asciiTheme="minorEastAsia" w:hAnsiTheme="minorEastAsia"/>
          <w:szCs w:val="21"/>
        </w:rPr>
        <w:t>4)服务器进程运行情况检查:检查每台服务器进程运行情况，有无假运行的进程或程序;</w:t>
      </w:r>
    </w:p>
    <w:p w14:paraId="2510A267">
      <w:pPr>
        <w:spacing w:after="0" w:line="400" w:lineRule="exact"/>
        <w:ind w:firstLine="210" w:firstLineChars="100"/>
        <w:rPr>
          <w:rFonts w:asciiTheme="minorEastAsia" w:hAnsiTheme="minorEastAsia"/>
          <w:szCs w:val="21"/>
        </w:rPr>
      </w:pPr>
      <w:r>
        <w:rPr>
          <w:rFonts w:asciiTheme="minorEastAsia" w:hAnsiTheme="minorEastAsia"/>
          <w:szCs w:val="21"/>
        </w:rPr>
        <w:t>5)系统日志记录检查</w:t>
      </w:r>
    </w:p>
    <w:p w14:paraId="7A93E91B">
      <w:pPr>
        <w:spacing w:after="0" w:line="400" w:lineRule="exact"/>
        <w:ind w:firstLine="210" w:firstLineChars="100"/>
        <w:rPr>
          <w:rFonts w:asciiTheme="minorEastAsia" w:hAnsiTheme="minorEastAsia"/>
          <w:szCs w:val="21"/>
        </w:rPr>
      </w:pPr>
      <w:r>
        <w:rPr>
          <w:rFonts w:hint="eastAsia" w:asciiTheme="minorEastAsia" w:hAnsiTheme="minorEastAsia"/>
          <w:szCs w:val="21"/>
        </w:rPr>
        <w:t>1.2</w:t>
      </w:r>
      <w:r>
        <w:rPr>
          <w:rFonts w:asciiTheme="minorEastAsia" w:hAnsiTheme="minorEastAsia"/>
          <w:szCs w:val="21"/>
        </w:rPr>
        <w:t>.2周维护</w:t>
      </w:r>
    </w:p>
    <w:p w14:paraId="24BEE993">
      <w:pPr>
        <w:spacing w:after="0" w:line="400" w:lineRule="exact"/>
        <w:ind w:firstLine="210" w:firstLineChars="100"/>
        <w:rPr>
          <w:rFonts w:asciiTheme="minorEastAsia" w:hAnsiTheme="minorEastAsia"/>
          <w:szCs w:val="21"/>
        </w:rPr>
      </w:pPr>
      <w:r>
        <w:rPr>
          <w:rFonts w:asciiTheme="minorEastAsia" w:hAnsiTheme="minorEastAsia"/>
          <w:szCs w:val="21"/>
        </w:rPr>
        <w:t>1)系统日志中是否有严重报警记录:检查并适时清理;</w:t>
      </w:r>
    </w:p>
    <w:p w14:paraId="3F10C4DB">
      <w:pPr>
        <w:spacing w:after="0" w:line="400" w:lineRule="exact"/>
        <w:ind w:firstLine="210" w:firstLineChars="100"/>
        <w:rPr>
          <w:rFonts w:asciiTheme="minorEastAsia" w:hAnsiTheme="minorEastAsia"/>
          <w:szCs w:val="21"/>
        </w:rPr>
      </w:pPr>
      <w:r>
        <w:rPr>
          <w:rFonts w:asciiTheme="minorEastAsia" w:hAnsiTheme="minorEastAsia"/>
          <w:szCs w:val="21"/>
        </w:rPr>
        <w:t>2)用户连接数检查:要求用户连接数不能达到饱和;</w:t>
      </w:r>
    </w:p>
    <w:p w14:paraId="2DC2F9FF">
      <w:pPr>
        <w:spacing w:after="0" w:line="400" w:lineRule="exact"/>
        <w:ind w:firstLine="210" w:firstLineChars="100"/>
        <w:rPr>
          <w:rFonts w:asciiTheme="minorEastAsia" w:hAnsiTheme="minorEastAsia"/>
          <w:szCs w:val="21"/>
        </w:rPr>
      </w:pPr>
      <w:r>
        <w:rPr>
          <w:rFonts w:asciiTheme="minorEastAsia" w:hAnsiTheme="minorEastAsia"/>
          <w:szCs w:val="21"/>
        </w:rPr>
        <w:t>3)硬盘自由空间情况:检查磁盘空间，要求存放日志的硬盘要保留至少500MB的自由空间，否则会写不进日志而停止运行;</w:t>
      </w:r>
    </w:p>
    <w:p w14:paraId="547575C5">
      <w:pPr>
        <w:spacing w:after="0" w:line="400" w:lineRule="exact"/>
        <w:ind w:firstLine="210" w:firstLineChars="100"/>
        <w:rPr>
          <w:rFonts w:asciiTheme="minorEastAsia" w:hAnsiTheme="minorEastAsia"/>
          <w:szCs w:val="21"/>
        </w:rPr>
      </w:pPr>
      <w:r>
        <w:rPr>
          <w:rFonts w:asciiTheme="minorEastAsia" w:hAnsiTheme="minorEastAsia"/>
          <w:szCs w:val="21"/>
        </w:rPr>
        <w:t>4)网络线缆的检查:用网络线缆测试仪检查网络线.线缆无</w:t>
      </w:r>
      <w:r>
        <w:rPr>
          <w:rFonts w:hint="eastAsia" w:asciiTheme="minorEastAsia" w:hAnsiTheme="minorEastAsia"/>
          <w:szCs w:val="21"/>
        </w:rPr>
        <w:t>折痕，无破损，确保每对网络线缆接触良好；</w:t>
      </w:r>
    </w:p>
    <w:p w14:paraId="3A5B4BFB">
      <w:pPr>
        <w:spacing w:after="0" w:line="400" w:lineRule="exact"/>
        <w:ind w:firstLine="210" w:firstLineChars="100"/>
        <w:rPr>
          <w:rFonts w:asciiTheme="minorEastAsia" w:hAnsiTheme="minorEastAsia"/>
          <w:szCs w:val="21"/>
        </w:rPr>
      </w:pPr>
      <w:r>
        <w:rPr>
          <w:rFonts w:hint="eastAsia" w:asciiTheme="minorEastAsia" w:hAnsiTheme="minorEastAsia"/>
          <w:szCs w:val="21"/>
        </w:rPr>
        <w:t>5)单模、多模光纤的检查;</w:t>
      </w:r>
    </w:p>
    <w:p w14:paraId="38CB5D0A">
      <w:pPr>
        <w:spacing w:after="0" w:line="400" w:lineRule="exact"/>
        <w:ind w:firstLine="210" w:firstLineChars="100"/>
        <w:rPr>
          <w:rFonts w:asciiTheme="minorEastAsia" w:hAnsiTheme="minorEastAsia"/>
          <w:szCs w:val="21"/>
        </w:rPr>
      </w:pPr>
      <w:r>
        <w:rPr>
          <w:rFonts w:hint="eastAsia" w:asciiTheme="minorEastAsia" w:hAnsiTheme="minorEastAsia"/>
          <w:szCs w:val="21"/>
        </w:rPr>
        <w:t>6)控制串口通信线缆的检查:用万用表检查串口线通断情况线缆无折痕，无破损。对疑有表面氧化的插头用除氧化剂进行处理或重新更换加工，确保每对每根线缆接触良好;</w:t>
      </w:r>
    </w:p>
    <w:p w14:paraId="7CA36B9F">
      <w:pPr>
        <w:spacing w:after="0" w:line="400" w:lineRule="exact"/>
        <w:ind w:firstLine="210" w:firstLineChars="100"/>
        <w:rPr>
          <w:rFonts w:asciiTheme="minorEastAsia" w:hAnsiTheme="minorEastAsia"/>
          <w:szCs w:val="21"/>
        </w:rPr>
      </w:pPr>
      <w:r>
        <w:rPr>
          <w:rFonts w:hint="eastAsia" w:asciiTheme="minorEastAsia" w:hAnsiTheme="minorEastAsia"/>
          <w:szCs w:val="21"/>
        </w:rPr>
        <w:t>7)电源线缆的检查;</w:t>
      </w:r>
    </w:p>
    <w:p w14:paraId="0D94FD85">
      <w:pPr>
        <w:spacing w:after="0" w:line="400" w:lineRule="exact"/>
        <w:ind w:firstLine="210" w:firstLineChars="100"/>
        <w:rPr>
          <w:rFonts w:asciiTheme="minorEastAsia" w:hAnsiTheme="minorEastAsia"/>
          <w:szCs w:val="21"/>
        </w:rPr>
      </w:pPr>
      <w:r>
        <w:rPr>
          <w:rFonts w:hint="eastAsia" w:asciiTheme="minorEastAsia" w:hAnsiTheme="minorEastAsia"/>
          <w:szCs w:val="21"/>
        </w:rPr>
        <w:t>8)电源插头、插座的检查:应感觉无明显温升、塑料熔化、松动等现象;</w:t>
      </w:r>
    </w:p>
    <w:p w14:paraId="53E769F8">
      <w:pPr>
        <w:spacing w:after="0" w:line="400" w:lineRule="exact"/>
        <w:ind w:firstLine="210" w:firstLineChars="100"/>
        <w:rPr>
          <w:rFonts w:asciiTheme="minorEastAsia" w:hAnsiTheme="minorEastAsia"/>
          <w:szCs w:val="21"/>
        </w:rPr>
      </w:pPr>
      <w:r>
        <w:rPr>
          <w:rFonts w:hint="eastAsia" w:asciiTheme="minorEastAsia" w:hAnsiTheme="minorEastAsia"/>
          <w:szCs w:val="21"/>
        </w:rPr>
        <w:t>9)即时升级软件和病毒库:遇有新病毒出现，即时对软件和病毒库进行升级。</w:t>
      </w:r>
    </w:p>
    <w:p w14:paraId="4C3C00FE">
      <w:pPr>
        <w:spacing w:after="0" w:line="400" w:lineRule="exact"/>
        <w:ind w:firstLine="210" w:firstLineChars="100"/>
        <w:rPr>
          <w:rFonts w:asciiTheme="minorEastAsia" w:hAnsiTheme="minorEastAsia"/>
          <w:szCs w:val="21"/>
        </w:rPr>
      </w:pPr>
      <w:r>
        <w:rPr>
          <w:rFonts w:hint="eastAsia" w:asciiTheme="minorEastAsia" w:hAnsiTheme="minorEastAsia"/>
          <w:szCs w:val="21"/>
        </w:rPr>
        <w:t>1.2.3季维护</w:t>
      </w:r>
    </w:p>
    <w:p w14:paraId="40C4EE95">
      <w:pPr>
        <w:spacing w:after="0" w:line="400" w:lineRule="exact"/>
        <w:ind w:firstLine="210" w:firstLineChars="100"/>
        <w:rPr>
          <w:rFonts w:asciiTheme="minorEastAsia" w:hAnsiTheme="minorEastAsia"/>
          <w:szCs w:val="21"/>
        </w:rPr>
      </w:pPr>
      <w:r>
        <w:rPr>
          <w:rFonts w:hint="eastAsia" w:asciiTheme="minorEastAsia" w:hAnsiTheme="minorEastAsia"/>
          <w:szCs w:val="21"/>
        </w:rPr>
        <w:t>1)定期对机房地板、过道、门窗和箱体表面进行清扫、除尘，保持外观整洁;</w:t>
      </w:r>
    </w:p>
    <w:p w14:paraId="76434E80">
      <w:pPr>
        <w:spacing w:after="0" w:line="400" w:lineRule="exact"/>
        <w:ind w:firstLine="210" w:firstLineChars="100"/>
        <w:rPr>
          <w:rFonts w:asciiTheme="minorEastAsia" w:hAnsiTheme="minorEastAsia"/>
          <w:szCs w:val="21"/>
        </w:rPr>
      </w:pPr>
      <w:r>
        <w:rPr>
          <w:rFonts w:hint="eastAsia" w:asciiTheme="minorEastAsia" w:hAnsiTheme="minorEastAsia"/>
          <w:szCs w:val="21"/>
        </w:rPr>
        <w:t>2)清除空调滤网积尘，并保养、调试;</w:t>
      </w:r>
    </w:p>
    <w:p w14:paraId="61BD4D85">
      <w:pPr>
        <w:spacing w:after="0" w:line="400" w:lineRule="exact"/>
        <w:ind w:firstLine="210" w:firstLineChars="100"/>
        <w:rPr>
          <w:rFonts w:asciiTheme="minorEastAsia" w:hAnsiTheme="minorEastAsia"/>
          <w:szCs w:val="21"/>
        </w:rPr>
      </w:pPr>
      <w:r>
        <w:rPr>
          <w:rFonts w:hint="eastAsia" w:asciiTheme="minorEastAsia" w:hAnsiTheme="minorEastAsia"/>
          <w:szCs w:val="21"/>
        </w:rPr>
        <w:t>3)设备保洁:清除机箱表面积尘，清除风扇和滤网积尘，确保机体外观清洁，风扇运转正常、无异常噪音;</w:t>
      </w:r>
    </w:p>
    <w:p w14:paraId="338F6127">
      <w:pPr>
        <w:spacing w:after="0" w:line="400" w:lineRule="exact"/>
        <w:ind w:firstLine="210" w:firstLineChars="100"/>
        <w:rPr>
          <w:rFonts w:asciiTheme="minorEastAsia" w:hAnsiTheme="minorEastAsia"/>
          <w:szCs w:val="21"/>
        </w:rPr>
      </w:pPr>
      <w:r>
        <w:rPr>
          <w:rFonts w:hint="eastAsia" w:asciiTheme="minorEastAsia" w:hAnsiTheme="minorEastAsia"/>
          <w:szCs w:val="21"/>
        </w:rPr>
        <w:t>4)显示器的检查:以视觉舒适为宜，适当调整显示器的亮度、对比度、色饱和度，用清洁剂清除屏体表面积尘;</w:t>
      </w:r>
    </w:p>
    <w:p w14:paraId="0A3CB586">
      <w:pPr>
        <w:spacing w:after="0" w:line="400" w:lineRule="exact"/>
        <w:ind w:firstLine="210" w:firstLineChars="100"/>
        <w:rPr>
          <w:rFonts w:asciiTheme="minorEastAsia" w:hAnsiTheme="minorEastAsia"/>
          <w:szCs w:val="21"/>
        </w:rPr>
      </w:pPr>
      <w:r>
        <w:rPr>
          <w:rFonts w:hint="eastAsia" w:asciiTheme="minorEastAsia" w:hAnsiTheme="minorEastAsia"/>
          <w:szCs w:val="21"/>
        </w:rPr>
        <w:t>5)设备风扇运转情况:定期对风扇及滤网除尘，达到风扇运转平稳，无杂音;</w:t>
      </w:r>
    </w:p>
    <w:p w14:paraId="3FC76E1B">
      <w:pPr>
        <w:spacing w:after="0" w:line="400" w:lineRule="exact"/>
        <w:ind w:firstLine="210" w:firstLineChars="100"/>
        <w:rPr>
          <w:rFonts w:asciiTheme="minorEastAsia" w:hAnsiTheme="minorEastAsia"/>
          <w:szCs w:val="21"/>
        </w:rPr>
      </w:pPr>
      <w:r>
        <w:rPr>
          <w:rFonts w:hint="eastAsia" w:asciiTheme="minorEastAsia" w:hAnsiTheme="minorEastAsia"/>
          <w:szCs w:val="21"/>
        </w:rPr>
        <w:t>6)定期升级软件和病毒库:检查计算机防病毒系统版本和病毒库情况，并定期升级;</w:t>
      </w:r>
    </w:p>
    <w:p w14:paraId="605102CE">
      <w:pPr>
        <w:spacing w:after="0" w:line="400" w:lineRule="exact"/>
        <w:ind w:firstLine="210" w:firstLineChars="100"/>
        <w:rPr>
          <w:rFonts w:asciiTheme="minorEastAsia" w:hAnsiTheme="minorEastAsia"/>
          <w:szCs w:val="21"/>
        </w:rPr>
      </w:pPr>
      <w:r>
        <w:rPr>
          <w:rFonts w:hint="eastAsia" w:asciiTheme="minorEastAsia" w:hAnsiTheme="minorEastAsia"/>
          <w:szCs w:val="21"/>
        </w:rPr>
        <w:t>7)UPS面板指示灯状态观察、检查指示灯和故障报警装置;</w:t>
      </w:r>
    </w:p>
    <w:p w14:paraId="1C01DBEA">
      <w:pPr>
        <w:spacing w:after="0" w:line="400" w:lineRule="exact"/>
        <w:ind w:firstLine="210" w:firstLineChars="100"/>
        <w:rPr>
          <w:rFonts w:asciiTheme="minorEastAsia" w:hAnsiTheme="minorEastAsia"/>
          <w:szCs w:val="21"/>
        </w:rPr>
      </w:pPr>
      <w:r>
        <w:rPr>
          <w:rFonts w:hint="eastAsia" w:asciiTheme="minorEastAsia" w:hAnsiTheme="minorEastAsia"/>
          <w:szCs w:val="21"/>
        </w:rPr>
        <w:t>8)UPS检查和校验蓄电池、逆变器输出电压和频率:测量和记录蓄电池、逆变器输出电压和频率;</w:t>
      </w:r>
    </w:p>
    <w:p w14:paraId="5B95D3EC">
      <w:pPr>
        <w:spacing w:after="0" w:line="400" w:lineRule="exact"/>
        <w:ind w:firstLine="210" w:firstLineChars="100"/>
        <w:rPr>
          <w:rFonts w:asciiTheme="minorEastAsia" w:hAnsiTheme="minorEastAsia"/>
          <w:szCs w:val="21"/>
        </w:rPr>
      </w:pPr>
      <w:r>
        <w:rPr>
          <w:rFonts w:asciiTheme="minorEastAsia" w:hAnsiTheme="minorEastAsia"/>
          <w:szCs w:val="21"/>
        </w:rPr>
        <w:t>9)查看UPS的技术参数如温度、输入、输出电压情况检查机房专用供电线路，并观察、测试相关参数;</w:t>
      </w:r>
    </w:p>
    <w:p w14:paraId="65F073BC">
      <w:pPr>
        <w:spacing w:after="0" w:line="400" w:lineRule="exact"/>
        <w:ind w:firstLine="210" w:firstLineChars="100"/>
        <w:rPr>
          <w:rFonts w:asciiTheme="minorEastAsia" w:hAnsiTheme="minorEastAsia"/>
          <w:szCs w:val="21"/>
        </w:rPr>
      </w:pPr>
      <w:r>
        <w:rPr>
          <w:rFonts w:asciiTheme="minorEastAsia" w:hAnsiTheme="minorEastAsia"/>
          <w:szCs w:val="21"/>
        </w:rPr>
        <w:t>10)检查供电切换情况:对市电和UPS电池供电进行切换试验;</w:t>
      </w:r>
    </w:p>
    <w:p w14:paraId="1F2F27E3">
      <w:pPr>
        <w:spacing w:after="0" w:line="400" w:lineRule="exact"/>
        <w:ind w:firstLine="210" w:firstLineChars="100"/>
        <w:rPr>
          <w:rFonts w:asciiTheme="minorEastAsia" w:hAnsiTheme="minorEastAsia"/>
          <w:szCs w:val="21"/>
        </w:rPr>
      </w:pPr>
      <w:r>
        <w:rPr>
          <w:rFonts w:asciiTheme="minorEastAsia" w:hAnsiTheme="minorEastAsia"/>
          <w:szCs w:val="21"/>
        </w:rPr>
        <w:t>11)UPS蓄电池定期维护:每季度对UPS蓄电池维护，维护时间般安排在凌晨00:15之后;</w:t>
      </w:r>
    </w:p>
    <w:p w14:paraId="2575EC0E">
      <w:pPr>
        <w:spacing w:after="0" w:line="400" w:lineRule="exact"/>
        <w:ind w:firstLine="210" w:firstLineChars="100"/>
        <w:rPr>
          <w:rFonts w:asciiTheme="minorEastAsia" w:hAnsiTheme="minorEastAsia"/>
          <w:szCs w:val="21"/>
        </w:rPr>
      </w:pPr>
      <w:r>
        <w:rPr>
          <w:rFonts w:asciiTheme="minorEastAsia" w:hAnsiTheme="minorEastAsia"/>
          <w:szCs w:val="21"/>
        </w:rPr>
        <w:t>12)UPS负载百分比情况:检查和记录UPS负载百分比情况。</w:t>
      </w:r>
    </w:p>
    <w:p w14:paraId="17630F72">
      <w:pPr>
        <w:spacing w:after="0" w:line="400" w:lineRule="exact"/>
        <w:ind w:firstLine="210" w:firstLineChars="100"/>
        <w:rPr>
          <w:rFonts w:asciiTheme="minorEastAsia" w:hAnsiTheme="minorEastAsia"/>
          <w:szCs w:val="21"/>
        </w:rPr>
      </w:pPr>
      <w:r>
        <w:rPr>
          <w:rFonts w:hint="eastAsia" w:asciiTheme="minorEastAsia" w:hAnsiTheme="minorEastAsia"/>
          <w:szCs w:val="21"/>
        </w:rPr>
        <w:t>1.2</w:t>
      </w:r>
      <w:r>
        <w:rPr>
          <w:rFonts w:asciiTheme="minorEastAsia" w:hAnsiTheme="minorEastAsia"/>
          <w:szCs w:val="21"/>
        </w:rPr>
        <w:t>.4半年维护</w:t>
      </w:r>
    </w:p>
    <w:p w14:paraId="39E52DBB">
      <w:pPr>
        <w:spacing w:after="0" w:line="400" w:lineRule="exact"/>
        <w:ind w:firstLine="210" w:firstLineChars="100"/>
        <w:rPr>
          <w:rFonts w:asciiTheme="minorEastAsia" w:hAnsiTheme="minorEastAsia"/>
          <w:szCs w:val="21"/>
        </w:rPr>
      </w:pPr>
      <w:r>
        <w:rPr>
          <w:rFonts w:asciiTheme="minorEastAsia" w:hAnsiTheme="minorEastAsia"/>
          <w:szCs w:val="21"/>
        </w:rPr>
        <w:t>1)防雷设施和接地电阻检测:定期检查避雷装置，并检测接地电阻。雷雨季节时，应加强防雷器的巡查，发现异常及时处置。</w:t>
      </w:r>
    </w:p>
    <w:p w14:paraId="3A7BE2A1">
      <w:pPr>
        <w:spacing w:after="0" w:line="400" w:lineRule="exact"/>
        <w:ind w:firstLine="210" w:firstLineChars="100"/>
        <w:rPr>
          <w:rFonts w:asciiTheme="minorEastAsia" w:hAnsiTheme="minorEastAsia"/>
          <w:szCs w:val="21"/>
        </w:rPr>
      </w:pPr>
      <w:r>
        <w:rPr>
          <w:rFonts w:asciiTheme="minorEastAsia" w:hAnsiTheme="minorEastAsia"/>
          <w:szCs w:val="21"/>
        </w:rPr>
        <w:t>2)定期检查机房防火、防潮、防尘、防盗、防磁、防小动物等设施;定期检查机房消防设施、应急照明装置和</w:t>
      </w:r>
      <w:r>
        <w:rPr>
          <w:rFonts w:hint="eastAsia" w:asciiTheme="minorEastAsia" w:hAnsiTheme="minorEastAsia"/>
          <w:szCs w:val="21"/>
        </w:rPr>
        <w:t>机房</w:t>
      </w:r>
      <w:r>
        <w:rPr>
          <w:rFonts w:asciiTheme="minorEastAsia" w:hAnsiTheme="minorEastAsia"/>
          <w:szCs w:val="21"/>
        </w:rPr>
        <w:t>门禁装置;</w:t>
      </w:r>
    </w:p>
    <w:p w14:paraId="5685BC14">
      <w:pPr>
        <w:spacing w:after="0" w:line="400" w:lineRule="exact"/>
        <w:ind w:firstLine="210" w:firstLineChars="100"/>
        <w:rPr>
          <w:rFonts w:asciiTheme="minorEastAsia" w:hAnsiTheme="minorEastAsia"/>
          <w:szCs w:val="21"/>
        </w:rPr>
      </w:pPr>
      <w:r>
        <w:rPr>
          <w:rFonts w:asciiTheme="minorEastAsia" w:hAnsiTheme="minorEastAsia"/>
          <w:szCs w:val="21"/>
        </w:rPr>
        <w:t>3)用刷子、清洁剂清除键盘积尘与污垢，检查每个按键，使得手感舒适有效;</w:t>
      </w:r>
    </w:p>
    <w:p w14:paraId="60537B2D">
      <w:pPr>
        <w:spacing w:after="0" w:line="400" w:lineRule="exact"/>
        <w:ind w:firstLine="210" w:firstLineChars="100"/>
        <w:rPr>
          <w:rFonts w:asciiTheme="minorEastAsia" w:hAnsiTheme="minorEastAsia"/>
          <w:szCs w:val="21"/>
        </w:rPr>
      </w:pPr>
      <w:r>
        <w:rPr>
          <w:rFonts w:asciiTheme="minorEastAsia" w:hAnsiTheme="minorEastAsia"/>
          <w:szCs w:val="21"/>
        </w:rPr>
        <w:t>4)清除鼠标表面和滚球的积尘，检查鼠标左右手键，使手感舒适有效，光标移动光滑;</w:t>
      </w:r>
    </w:p>
    <w:p w14:paraId="1602A9B0">
      <w:pPr>
        <w:spacing w:after="0" w:line="400" w:lineRule="exact"/>
        <w:ind w:firstLine="420" w:firstLineChars="200"/>
        <w:rPr>
          <w:rFonts w:asciiTheme="minorEastAsia" w:hAnsiTheme="minorEastAsia"/>
          <w:szCs w:val="21"/>
        </w:rPr>
      </w:pPr>
      <w:r>
        <w:rPr>
          <w:rFonts w:asciiTheme="minorEastAsia" w:hAnsiTheme="minorEastAsia"/>
          <w:szCs w:val="21"/>
        </w:rPr>
        <w:t>5)清除机柜表面积尘，清除风扇和滤网积尘，确保机柜外观清洁，风扇运转正常。</w:t>
      </w:r>
    </w:p>
    <w:p w14:paraId="70CBE39A">
      <w:pPr>
        <w:spacing w:after="0" w:line="400" w:lineRule="exact"/>
        <w:ind w:firstLine="210" w:firstLineChars="100"/>
        <w:rPr>
          <w:rFonts w:asciiTheme="minorEastAsia" w:hAnsiTheme="minorEastAsia"/>
          <w:szCs w:val="21"/>
        </w:rPr>
      </w:pPr>
      <w:r>
        <w:rPr>
          <w:rFonts w:hint="eastAsia" w:asciiTheme="minorEastAsia" w:hAnsiTheme="minorEastAsia"/>
          <w:szCs w:val="21"/>
        </w:rPr>
        <w:t>三）</w:t>
      </w:r>
      <w:r>
        <w:rPr>
          <w:rFonts w:asciiTheme="minorEastAsia" w:hAnsiTheme="minorEastAsia"/>
          <w:szCs w:val="21"/>
        </w:rPr>
        <w:t>供电系统</w:t>
      </w:r>
    </w:p>
    <w:p w14:paraId="47A860F6">
      <w:pPr>
        <w:spacing w:after="0" w:line="400" w:lineRule="exact"/>
        <w:ind w:firstLine="210" w:firstLineChars="100"/>
        <w:rPr>
          <w:rFonts w:asciiTheme="minorEastAsia" w:hAnsiTheme="minorEastAsia"/>
          <w:szCs w:val="21"/>
        </w:rPr>
      </w:pPr>
      <w:r>
        <w:rPr>
          <w:rFonts w:hint="eastAsia" w:asciiTheme="minorEastAsia" w:hAnsiTheme="minorEastAsia"/>
          <w:szCs w:val="21"/>
        </w:rPr>
        <w:t>1.1</w:t>
      </w:r>
      <w:r>
        <w:rPr>
          <w:rFonts w:asciiTheme="minorEastAsia" w:hAnsiTheme="minorEastAsia"/>
          <w:szCs w:val="21"/>
        </w:rPr>
        <w:t>维护界面划分及维护范围</w:t>
      </w:r>
    </w:p>
    <w:p w14:paraId="6820A475">
      <w:pPr>
        <w:spacing w:after="0" w:line="400" w:lineRule="exact"/>
        <w:ind w:firstLine="210" w:firstLineChars="100"/>
        <w:rPr>
          <w:rFonts w:asciiTheme="minorEastAsia" w:hAnsiTheme="minorEastAsia"/>
          <w:szCs w:val="21"/>
        </w:rPr>
      </w:pPr>
      <w:r>
        <w:rPr>
          <w:rFonts w:asciiTheme="minorEastAsia" w:hAnsiTheme="minorEastAsia"/>
          <w:szCs w:val="21"/>
        </w:rPr>
        <w:t>1)从取电点空气开关输</w:t>
      </w:r>
      <w:r>
        <w:rPr>
          <w:rFonts w:hint="eastAsia" w:asciiTheme="minorEastAsia" w:hAnsiTheme="minorEastAsia"/>
          <w:szCs w:val="21"/>
        </w:rPr>
        <w:t>出</w:t>
      </w:r>
      <w:r>
        <w:rPr>
          <w:rFonts w:asciiTheme="minorEastAsia" w:hAnsiTheme="minorEastAsia"/>
          <w:szCs w:val="21"/>
        </w:rPr>
        <w:t>端至外场设备电源接入端属本项目维护内容;主要进行链路上低压配电设施维护及保养。</w:t>
      </w:r>
    </w:p>
    <w:p w14:paraId="759B73F5">
      <w:pPr>
        <w:spacing w:after="0" w:line="400" w:lineRule="exact"/>
        <w:ind w:firstLine="210" w:firstLineChars="100"/>
        <w:rPr>
          <w:rFonts w:asciiTheme="minorEastAsia" w:hAnsiTheme="minorEastAsia"/>
          <w:szCs w:val="21"/>
        </w:rPr>
      </w:pPr>
      <w:r>
        <w:rPr>
          <w:rFonts w:asciiTheme="minorEastAsia" w:hAnsiTheme="minorEastAsia"/>
          <w:szCs w:val="21"/>
        </w:rPr>
        <w:t>2)外场监控配电箱及箱内部件维护及保养。</w:t>
      </w:r>
    </w:p>
    <w:p w14:paraId="38D43A81">
      <w:pPr>
        <w:spacing w:after="0" w:line="400" w:lineRule="exact"/>
        <w:ind w:firstLine="210" w:firstLineChars="100"/>
        <w:rPr>
          <w:rFonts w:asciiTheme="minorEastAsia" w:hAnsiTheme="minorEastAsia"/>
          <w:szCs w:val="21"/>
        </w:rPr>
      </w:pPr>
      <w:r>
        <w:rPr>
          <w:rFonts w:asciiTheme="minorEastAsia" w:hAnsiTheme="minorEastAsia"/>
          <w:szCs w:val="21"/>
        </w:rPr>
        <w:t>3)电站低压配电开关输出至外场设备之间电缆维护及保养。</w:t>
      </w:r>
    </w:p>
    <w:p w14:paraId="5C9D6129">
      <w:pPr>
        <w:spacing w:after="0" w:line="400" w:lineRule="exact"/>
        <w:ind w:firstLine="210" w:firstLineChars="100"/>
        <w:rPr>
          <w:rFonts w:asciiTheme="minorEastAsia" w:hAnsiTheme="minorEastAsia"/>
          <w:szCs w:val="21"/>
        </w:rPr>
      </w:pPr>
      <w:r>
        <w:rPr>
          <w:rFonts w:asciiTheme="minorEastAsia" w:hAnsiTheme="minorEastAsia"/>
          <w:szCs w:val="21"/>
        </w:rPr>
        <w:t>4)外场配电箱至系统设备之间电缆维护及保养。</w:t>
      </w:r>
    </w:p>
    <w:p w14:paraId="1B6324A8">
      <w:pPr>
        <w:spacing w:after="0" w:line="400" w:lineRule="exact"/>
        <w:ind w:firstLine="210" w:firstLineChars="100"/>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.2日常维护、维修巡检的内容和要求</w:t>
      </w:r>
    </w:p>
    <w:p w14:paraId="4839890A">
      <w:pPr>
        <w:spacing w:after="0" w:line="400" w:lineRule="exact"/>
        <w:ind w:firstLine="210" w:firstLineChars="100"/>
        <w:rPr>
          <w:rFonts w:asciiTheme="minorEastAsia" w:hAnsiTheme="minorEastAsia"/>
          <w:szCs w:val="21"/>
        </w:rPr>
      </w:pPr>
      <w:r>
        <w:rPr>
          <w:rFonts w:asciiTheme="minorEastAsia" w:hAnsiTheme="minorEastAsia"/>
          <w:szCs w:val="21"/>
        </w:rPr>
        <w:t>1)外场监控系统配电箱及箱内部件的维护和保养。</w:t>
      </w:r>
    </w:p>
    <w:p w14:paraId="5C72F0BC">
      <w:pPr>
        <w:spacing w:after="0" w:line="400" w:lineRule="exact"/>
        <w:ind w:firstLine="210" w:firstLineChars="100"/>
        <w:rPr>
          <w:rFonts w:asciiTheme="minorEastAsia" w:hAnsiTheme="minorEastAsia"/>
          <w:szCs w:val="21"/>
        </w:rPr>
      </w:pPr>
      <w:r>
        <w:rPr>
          <w:rFonts w:hint="eastAsia" w:asciiTheme="minorEastAsia" w:hAnsiTheme="minorEastAsia"/>
          <w:szCs w:val="21"/>
        </w:rPr>
        <w:t>2</w:t>
      </w:r>
      <w:r>
        <w:rPr>
          <w:rFonts w:asciiTheme="minorEastAsia" w:hAnsiTheme="minorEastAsia"/>
          <w:szCs w:val="21"/>
        </w:rPr>
        <w:t>)电力电缆维护和保养。</w:t>
      </w:r>
    </w:p>
    <w:p w14:paraId="49F49D3B">
      <w:pPr>
        <w:spacing w:after="0" w:line="400" w:lineRule="exact"/>
        <w:ind w:firstLine="210" w:firstLineChars="100"/>
        <w:rPr>
          <w:rFonts w:asciiTheme="minorEastAsia" w:hAnsiTheme="minorEastAsia"/>
          <w:szCs w:val="21"/>
        </w:rPr>
      </w:pPr>
      <w:r>
        <w:rPr>
          <w:rFonts w:hint="eastAsia" w:asciiTheme="minorEastAsia" w:hAnsiTheme="minorEastAsia"/>
          <w:szCs w:val="21"/>
        </w:rPr>
        <w:t>3</w:t>
      </w:r>
      <w:r>
        <w:rPr>
          <w:rFonts w:asciiTheme="minorEastAsia" w:hAnsiTheme="minorEastAsia"/>
          <w:szCs w:val="21"/>
        </w:rPr>
        <w:t>)检查各设备、部件工作在电气设备维护保养相关条例和规定指标范围内。</w:t>
      </w:r>
    </w:p>
    <w:p w14:paraId="740A5F0D">
      <w:pPr>
        <w:spacing w:after="0" w:line="400" w:lineRule="exact"/>
        <w:ind w:firstLine="210" w:firstLineChars="100"/>
        <w:rPr>
          <w:rFonts w:asciiTheme="minorEastAsia" w:hAnsiTheme="minorEastAsia"/>
          <w:szCs w:val="21"/>
        </w:rPr>
      </w:pPr>
      <w:r>
        <w:rPr>
          <w:rFonts w:hint="eastAsia" w:asciiTheme="minorEastAsia" w:hAnsiTheme="minorEastAsia"/>
          <w:szCs w:val="21"/>
        </w:rPr>
        <w:t>4</w:t>
      </w:r>
      <w:r>
        <w:rPr>
          <w:rFonts w:asciiTheme="minorEastAsia" w:hAnsiTheme="minorEastAsia"/>
          <w:szCs w:val="21"/>
        </w:rPr>
        <w:t>)检查外场配电箱是否完好、门锁是否完整、箱内部件有无缺损、开关是否正常工作，线缆与线缆之间连接是否可靠，紧固件是否紧固。确保输出电压在规定范围内。</w:t>
      </w:r>
    </w:p>
    <w:p w14:paraId="4D8DE9E1">
      <w:pPr>
        <w:spacing w:after="0" w:line="400" w:lineRule="exact"/>
        <w:ind w:firstLine="210" w:firstLineChars="100"/>
        <w:rPr>
          <w:rFonts w:asciiTheme="minorEastAsia" w:hAnsiTheme="minorEastAsia"/>
          <w:szCs w:val="21"/>
        </w:rPr>
      </w:pPr>
      <w:r>
        <w:rPr>
          <w:rFonts w:hint="eastAsia" w:asciiTheme="minorEastAsia" w:hAnsiTheme="minorEastAsia"/>
          <w:szCs w:val="21"/>
        </w:rPr>
        <w:t>5</w:t>
      </w:r>
      <w:r>
        <w:rPr>
          <w:rFonts w:asciiTheme="minorEastAsia" w:hAnsiTheme="minorEastAsia"/>
          <w:szCs w:val="21"/>
        </w:rPr>
        <w:t>)检查电缆接线盒有否缺损，定期清理电缆穿线箱内的淤泥、积水和杂物，检查电缆是否处于正常运行状态。</w:t>
      </w:r>
    </w:p>
    <w:p w14:paraId="138EABCE">
      <w:pPr>
        <w:spacing w:after="0" w:line="400" w:lineRule="exact"/>
        <w:ind w:firstLine="210" w:firstLineChars="100"/>
        <w:rPr>
          <w:rFonts w:asciiTheme="minorEastAsia" w:hAnsiTheme="minorEastAsia"/>
          <w:szCs w:val="21"/>
        </w:rPr>
      </w:pPr>
      <w:r>
        <w:rPr>
          <w:rFonts w:hint="eastAsia" w:asciiTheme="minorEastAsia" w:hAnsiTheme="minorEastAsia"/>
          <w:szCs w:val="21"/>
        </w:rPr>
        <w:t>6</w:t>
      </w:r>
      <w:r>
        <w:rPr>
          <w:rFonts w:asciiTheme="minorEastAsia" w:hAnsiTheme="minorEastAsia"/>
          <w:szCs w:val="21"/>
        </w:rPr>
        <w:t>)</w:t>
      </w:r>
      <w:r>
        <w:rPr>
          <w:rFonts w:hint="eastAsia" w:asciiTheme="minorEastAsia" w:hAnsiTheme="minorEastAsia"/>
          <w:szCs w:val="21"/>
        </w:rPr>
        <w:t>一</w:t>
      </w:r>
      <w:r>
        <w:rPr>
          <w:rFonts w:asciiTheme="minorEastAsia" w:hAnsiTheme="minorEastAsia"/>
          <w:szCs w:val="21"/>
        </w:rPr>
        <w:t>旦发现设备故障或隐患，应立即上报并采取应急措施。</w:t>
      </w:r>
    </w:p>
    <w:p w14:paraId="4E618D13">
      <w:pPr>
        <w:spacing w:after="0" w:line="400" w:lineRule="exact"/>
        <w:ind w:firstLine="210" w:firstLineChars="100"/>
        <w:rPr>
          <w:rFonts w:asciiTheme="minorEastAsia" w:hAnsiTheme="minorEastAsia"/>
          <w:szCs w:val="21"/>
        </w:rPr>
      </w:pPr>
      <w:r>
        <w:rPr>
          <w:rFonts w:hint="eastAsia" w:asciiTheme="minorEastAsia" w:hAnsiTheme="minorEastAsia"/>
          <w:szCs w:val="21"/>
        </w:rPr>
        <w:t>四）</w:t>
      </w:r>
      <w:r>
        <w:rPr>
          <w:rFonts w:asciiTheme="minorEastAsia" w:hAnsiTheme="minorEastAsia"/>
          <w:szCs w:val="21"/>
        </w:rPr>
        <w:t>基础设施</w:t>
      </w:r>
    </w:p>
    <w:p w14:paraId="08776877">
      <w:pPr>
        <w:spacing w:after="0" w:line="400" w:lineRule="exact"/>
        <w:ind w:firstLine="210" w:firstLineChars="100"/>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.1维护范围</w:t>
      </w:r>
    </w:p>
    <w:p w14:paraId="4521F686">
      <w:pPr>
        <w:spacing w:after="0" w:line="400" w:lineRule="exact"/>
        <w:ind w:firstLine="210" w:firstLineChars="100"/>
        <w:rPr>
          <w:rFonts w:asciiTheme="minorEastAsia" w:hAnsiTheme="minorEastAsia"/>
          <w:szCs w:val="21"/>
        </w:rPr>
      </w:pPr>
      <w:r>
        <w:rPr>
          <w:rFonts w:asciiTheme="minorEastAsia" w:hAnsiTheme="minorEastAsia"/>
          <w:szCs w:val="21"/>
        </w:rPr>
        <w:t>基础设施包括设备基础、立杆和检查井。</w:t>
      </w:r>
    </w:p>
    <w:p w14:paraId="6BFD0526">
      <w:pPr>
        <w:spacing w:after="0" w:line="400" w:lineRule="exact"/>
        <w:ind w:firstLine="210" w:firstLineChars="100"/>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2日常维护、维修巡检的内容和要求</w:t>
      </w:r>
    </w:p>
    <w:p w14:paraId="58223B44">
      <w:pPr>
        <w:spacing w:after="0" w:line="400" w:lineRule="exact"/>
        <w:ind w:firstLine="210" w:firstLineChars="100"/>
        <w:rPr>
          <w:rFonts w:asciiTheme="minorEastAsia" w:hAnsiTheme="minorEastAsia"/>
          <w:szCs w:val="21"/>
        </w:rPr>
      </w:pPr>
      <w:r>
        <w:rPr>
          <w:rFonts w:asciiTheme="minorEastAsia" w:hAnsiTheme="minorEastAsia"/>
          <w:szCs w:val="21"/>
        </w:rPr>
        <w:t>1)立杆防腐层检查;</w:t>
      </w:r>
    </w:p>
    <w:p w14:paraId="48B7BBCE">
      <w:pPr>
        <w:spacing w:after="0" w:line="400" w:lineRule="exact"/>
        <w:ind w:firstLine="210" w:firstLineChars="100"/>
        <w:rPr>
          <w:rFonts w:asciiTheme="minorEastAsia" w:hAnsiTheme="minorEastAsia"/>
          <w:szCs w:val="21"/>
        </w:rPr>
      </w:pPr>
      <w:r>
        <w:rPr>
          <w:rFonts w:asciiTheme="minorEastAsia" w:hAnsiTheme="minorEastAsia"/>
          <w:szCs w:val="21"/>
        </w:rPr>
        <w:t>2)设备基础表层不得脱清、缺省;</w:t>
      </w:r>
    </w:p>
    <w:p w14:paraId="4536904F">
      <w:pPr>
        <w:spacing w:after="0" w:line="400" w:lineRule="exact"/>
        <w:ind w:firstLine="210" w:firstLineChars="100"/>
        <w:rPr>
          <w:rFonts w:asciiTheme="minorEastAsia" w:hAnsiTheme="minorEastAsia"/>
          <w:szCs w:val="21"/>
        </w:rPr>
      </w:pPr>
      <w:r>
        <w:rPr>
          <w:rFonts w:asciiTheme="minorEastAsia" w:hAnsiTheme="minorEastAsia"/>
          <w:szCs w:val="21"/>
        </w:rPr>
        <w:t>3)基础螺栓、螺帽和连接螺栓、螺帽的除锈、防腐，并且不能松动</w:t>
      </w:r>
      <w:r>
        <w:rPr>
          <w:rFonts w:hint="eastAsia" w:asciiTheme="minorEastAsia" w:hAnsiTheme="minorEastAsia"/>
          <w:szCs w:val="21"/>
        </w:rPr>
        <w:t>；</w:t>
      </w:r>
    </w:p>
    <w:p w14:paraId="3FF790F7">
      <w:pPr>
        <w:spacing w:after="0" w:line="400" w:lineRule="exact"/>
        <w:ind w:firstLine="210" w:firstLineChars="100"/>
        <w:rPr>
          <w:rFonts w:asciiTheme="minorEastAsia" w:hAnsiTheme="minorEastAsia"/>
          <w:szCs w:val="21"/>
        </w:rPr>
      </w:pPr>
      <w:r>
        <w:rPr>
          <w:rFonts w:asciiTheme="minorEastAsia" w:hAnsiTheme="minorEastAsia"/>
          <w:szCs w:val="21"/>
        </w:rPr>
        <w:t>4)立杆的垂直度调整，垂直度和水平度小于2mm米;</w:t>
      </w:r>
    </w:p>
    <w:p w14:paraId="28769A35">
      <w:pPr>
        <w:spacing w:after="0" w:line="400" w:lineRule="exact"/>
        <w:ind w:firstLine="210" w:firstLineChars="100"/>
        <w:rPr>
          <w:rFonts w:asciiTheme="minorEastAsia" w:hAnsiTheme="minorEastAsia"/>
          <w:szCs w:val="21"/>
        </w:rPr>
      </w:pPr>
      <w:r>
        <w:rPr>
          <w:rFonts w:asciiTheme="minorEastAsia" w:hAnsiTheme="minorEastAsia"/>
          <w:szCs w:val="21"/>
        </w:rPr>
        <w:t>5)检查立杆的焊缝，有脱落和腐蚀现象进行修补和防腐;</w:t>
      </w:r>
    </w:p>
    <w:p w14:paraId="5E9134DE">
      <w:pPr>
        <w:spacing w:after="0" w:line="400" w:lineRule="exact"/>
        <w:ind w:firstLine="210" w:firstLineChars="100"/>
        <w:rPr>
          <w:rFonts w:asciiTheme="minorEastAsia" w:hAnsiTheme="minorEastAsia"/>
          <w:szCs w:val="21"/>
        </w:rPr>
      </w:pPr>
      <w:r>
        <w:rPr>
          <w:rFonts w:asciiTheme="minorEastAsia" w:hAnsiTheme="minorEastAsia"/>
          <w:szCs w:val="21"/>
        </w:rPr>
        <w:t>6)在大风季节，加强检查立杆的安装牢固性和稳定性;</w:t>
      </w:r>
    </w:p>
    <w:p w14:paraId="48305015">
      <w:pPr>
        <w:spacing w:after="0" w:line="400" w:lineRule="exact"/>
        <w:ind w:firstLine="210" w:firstLineChars="100"/>
        <w:rPr>
          <w:rFonts w:asciiTheme="minorEastAsia" w:hAnsiTheme="minorEastAsia"/>
          <w:szCs w:val="21"/>
        </w:rPr>
      </w:pPr>
      <w:r>
        <w:rPr>
          <w:rFonts w:asciiTheme="minorEastAsia" w:hAnsiTheme="minorEastAsia"/>
          <w:szCs w:val="21"/>
        </w:rPr>
        <w:t>7)检查设备基础的沉降，发现不均匀沉降时，进行加固。</w:t>
      </w:r>
    </w:p>
    <w:p w14:paraId="6CDAD7DE">
      <w:pPr>
        <w:spacing w:after="0" w:line="400" w:lineRule="exact"/>
        <w:rPr>
          <w:rFonts w:asciiTheme="minorEastAsia" w:hAnsiTheme="minorEastAsia"/>
          <w:szCs w:val="21"/>
        </w:rPr>
      </w:pPr>
      <w:r>
        <w:rPr>
          <w:rFonts w:hint="eastAsia" w:asciiTheme="minorEastAsia" w:hAnsiTheme="minorEastAsia"/>
          <w:szCs w:val="21"/>
        </w:rPr>
        <w:t>三、维护细目和要求</w:t>
      </w:r>
    </w:p>
    <w:p w14:paraId="6A252A31">
      <w:pPr>
        <w:spacing w:after="0" w:line="400" w:lineRule="exact"/>
        <w:ind w:firstLine="210" w:firstLineChars="100"/>
        <w:rPr>
          <w:rFonts w:asciiTheme="minorEastAsia" w:hAnsiTheme="minorEastAsia"/>
          <w:szCs w:val="21"/>
        </w:rPr>
      </w:pPr>
      <w:r>
        <w:rPr>
          <w:rFonts w:hint="eastAsia" w:asciiTheme="minorEastAsia" w:hAnsiTheme="minorEastAsia"/>
          <w:szCs w:val="21"/>
        </w:rPr>
        <w:t>1.1维护细目和要求</w:t>
      </w:r>
    </w:p>
    <w:tbl>
      <w:tblPr>
        <w:tblStyle w:val="18"/>
        <w:tblW w:w="86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1843"/>
        <w:gridCol w:w="4639"/>
        <w:gridCol w:w="43"/>
        <w:gridCol w:w="1033"/>
        <w:gridCol w:w="96"/>
      </w:tblGrid>
      <w:tr w14:paraId="5088E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jc w:val="center"/>
        </w:trPr>
        <w:tc>
          <w:tcPr>
            <w:tcW w:w="959" w:type="dxa"/>
            <w:vAlign w:val="center"/>
          </w:tcPr>
          <w:p w14:paraId="6BFD61E6">
            <w:pPr>
              <w:widowControl w:val="0"/>
              <w:spacing w:after="0" w:line="400" w:lineRule="exact"/>
              <w:jc w:val="center"/>
              <w:rPr>
                <w:rFonts w:asciiTheme="minorEastAsia" w:hAnsiTheme="minorEastAsia"/>
                <w:szCs w:val="21"/>
              </w:rPr>
            </w:pPr>
            <w:r>
              <w:rPr>
                <w:rFonts w:hint="eastAsia" w:asciiTheme="minorEastAsia" w:hAnsiTheme="minorEastAsia"/>
                <w:szCs w:val="21"/>
              </w:rPr>
              <w:t>序号</w:t>
            </w:r>
          </w:p>
        </w:tc>
        <w:tc>
          <w:tcPr>
            <w:tcW w:w="1843" w:type="dxa"/>
            <w:vAlign w:val="center"/>
          </w:tcPr>
          <w:p w14:paraId="2D88C5E6">
            <w:pPr>
              <w:widowControl w:val="0"/>
              <w:spacing w:after="0" w:line="400" w:lineRule="exact"/>
              <w:jc w:val="center"/>
              <w:rPr>
                <w:rFonts w:asciiTheme="minorEastAsia" w:hAnsiTheme="minorEastAsia"/>
                <w:szCs w:val="21"/>
              </w:rPr>
            </w:pPr>
            <w:r>
              <w:rPr>
                <w:rFonts w:hint="eastAsia" w:asciiTheme="minorEastAsia" w:hAnsiTheme="minorEastAsia"/>
                <w:szCs w:val="21"/>
              </w:rPr>
              <w:t>维护细目</w:t>
            </w:r>
          </w:p>
        </w:tc>
        <w:tc>
          <w:tcPr>
            <w:tcW w:w="4682" w:type="dxa"/>
            <w:gridSpan w:val="2"/>
            <w:vAlign w:val="center"/>
          </w:tcPr>
          <w:p w14:paraId="66C7FAF0">
            <w:pPr>
              <w:widowControl w:val="0"/>
              <w:spacing w:after="0" w:line="400" w:lineRule="exact"/>
              <w:jc w:val="center"/>
              <w:rPr>
                <w:rFonts w:asciiTheme="minorEastAsia" w:hAnsiTheme="minorEastAsia"/>
                <w:szCs w:val="21"/>
              </w:rPr>
            </w:pPr>
            <w:r>
              <w:rPr>
                <w:rFonts w:hint="eastAsia" w:asciiTheme="minorEastAsia" w:hAnsiTheme="minorEastAsia"/>
                <w:szCs w:val="21"/>
              </w:rPr>
              <w:t>维护要求</w:t>
            </w:r>
          </w:p>
        </w:tc>
        <w:tc>
          <w:tcPr>
            <w:tcW w:w="1129" w:type="dxa"/>
            <w:gridSpan w:val="2"/>
            <w:vAlign w:val="center"/>
          </w:tcPr>
          <w:p w14:paraId="2FAF9B55">
            <w:pPr>
              <w:widowControl w:val="0"/>
              <w:spacing w:after="0" w:line="400" w:lineRule="exact"/>
              <w:jc w:val="center"/>
              <w:rPr>
                <w:rFonts w:asciiTheme="minorEastAsia" w:hAnsiTheme="minorEastAsia"/>
                <w:szCs w:val="21"/>
              </w:rPr>
            </w:pPr>
            <w:r>
              <w:rPr>
                <w:rFonts w:hint="eastAsia" w:asciiTheme="minorEastAsia" w:hAnsiTheme="minorEastAsia"/>
                <w:szCs w:val="21"/>
              </w:rPr>
              <w:t>维护周期</w:t>
            </w:r>
          </w:p>
        </w:tc>
      </w:tr>
      <w:tr w14:paraId="2C933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959" w:type="dxa"/>
            <w:vAlign w:val="center"/>
          </w:tcPr>
          <w:p w14:paraId="4C60B7D8">
            <w:pPr>
              <w:widowControl w:val="0"/>
              <w:spacing w:after="0" w:line="400" w:lineRule="exact"/>
              <w:jc w:val="center"/>
              <w:rPr>
                <w:rFonts w:asciiTheme="minorEastAsia" w:hAnsiTheme="minorEastAsia"/>
                <w:szCs w:val="21"/>
              </w:rPr>
            </w:pPr>
            <w:r>
              <w:rPr>
                <w:rFonts w:hint="eastAsia" w:asciiTheme="minorEastAsia" w:hAnsiTheme="minorEastAsia"/>
                <w:szCs w:val="21"/>
              </w:rPr>
              <w:t>1</w:t>
            </w:r>
          </w:p>
        </w:tc>
        <w:tc>
          <w:tcPr>
            <w:tcW w:w="7654" w:type="dxa"/>
            <w:gridSpan w:val="5"/>
            <w:vAlign w:val="center"/>
          </w:tcPr>
          <w:p w14:paraId="08453898">
            <w:pPr>
              <w:widowControl w:val="0"/>
              <w:spacing w:after="0" w:line="400" w:lineRule="exact"/>
              <w:jc w:val="center"/>
              <w:rPr>
                <w:rFonts w:asciiTheme="minorEastAsia" w:hAnsiTheme="minorEastAsia"/>
                <w:szCs w:val="21"/>
              </w:rPr>
            </w:pPr>
            <w:r>
              <w:rPr>
                <w:rFonts w:hint="eastAsia" w:asciiTheme="minorEastAsia" w:hAnsiTheme="minorEastAsia"/>
                <w:szCs w:val="21"/>
              </w:rPr>
              <w:t>硬件常规检查</w:t>
            </w:r>
          </w:p>
        </w:tc>
      </w:tr>
      <w:tr w14:paraId="1F798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jc w:val="center"/>
        </w:trPr>
        <w:tc>
          <w:tcPr>
            <w:tcW w:w="959" w:type="dxa"/>
            <w:vAlign w:val="center"/>
          </w:tcPr>
          <w:p w14:paraId="40C266C0">
            <w:pPr>
              <w:widowControl w:val="0"/>
              <w:spacing w:after="0" w:line="400" w:lineRule="exact"/>
              <w:jc w:val="center"/>
              <w:rPr>
                <w:rFonts w:asciiTheme="minorEastAsia" w:hAnsiTheme="minorEastAsia"/>
                <w:szCs w:val="21"/>
              </w:rPr>
            </w:pPr>
            <w:r>
              <w:rPr>
                <w:rFonts w:hint="eastAsia" w:asciiTheme="minorEastAsia" w:hAnsiTheme="minorEastAsia"/>
                <w:szCs w:val="21"/>
              </w:rPr>
              <w:t>1.1</w:t>
            </w:r>
          </w:p>
        </w:tc>
        <w:tc>
          <w:tcPr>
            <w:tcW w:w="1843" w:type="dxa"/>
            <w:vAlign w:val="center"/>
          </w:tcPr>
          <w:p w14:paraId="7508E6C3">
            <w:pPr>
              <w:widowControl w:val="0"/>
              <w:spacing w:after="0" w:line="400" w:lineRule="exact"/>
              <w:jc w:val="center"/>
              <w:rPr>
                <w:rFonts w:asciiTheme="minorEastAsia" w:hAnsiTheme="minorEastAsia"/>
                <w:szCs w:val="21"/>
              </w:rPr>
            </w:pPr>
            <w:r>
              <w:rPr>
                <w:rFonts w:hint="eastAsia" w:asciiTheme="minorEastAsia" w:hAnsiTheme="minorEastAsia"/>
                <w:szCs w:val="21"/>
              </w:rPr>
              <w:t>机柜的检查</w:t>
            </w:r>
          </w:p>
        </w:tc>
        <w:tc>
          <w:tcPr>
            <w:tcW w:w="4682" w:type="dxa"/>
            <w:gridSpan w:val="2"/>
            <w:vAlign w:val="center"/>
          </w:tcPr>
          <w:p w14:paraId="21E5603C">
            <w:pPr>
              <w:widowControl w:val="0"/>
              <w:spacing w:after="0" w:line="400" w:lineRule="exact"/>
              <w:jc w:val="center"/>
              <w:rPr>
                <w:rFonts w:asciiTheme="minorEastAsia" w:hAnsiTheme="minorEastAsia"/>
                <w:szCs w:val="21"/>
              </w:rPr>
            </w:pPr>
            <w:r>
              <w:rPr>
                <w:rFonts w:hint="eastAsia" w:asciiTheme="minorEastAsia" w:hAnsiTheme="minorEastAsia"/>
                <w:szCs w:val="21"/>
              </w:rPr>
              <w:t>清除机柜表面积尘，确保机柜外观清洁。清除风扇和滤网积尘，风扇运转平稳，无异常杂音。</w:t>
            </w:r>
          </w:p>
        </w:tc>
        <w:tc>
          <w:tcPr>
            <w:tcW w:w="1129" w:type="dxa"/>
            <w:gridSpan w:val="2"/>
            <w:vAlign w:val="center"/>
          </w:tcPr>
          <w:p w14:paraId="65CBAE86">
            <w:pPr>
              <w:widowControl w:val="0"/>
              <w:spacing w:after="0" w:line="400" w:lineRule="exact"/>
              <w:jc w:val="center"/>
              <w:rPr>
                <w:rFonts w:asciiTheme="minorEastAsia" w:hAnsiTheme="minorEastAsia"/>
                <w:szCs w:val="21"/>
              </w:rPr>
            </w:pPr>
            <w:r>
              <w:rPr>
                <w:rFonts w:hint="eastAsia" w:asciiTheme="minorEastAsia" w:hAnsiTheme="minorEastAsia"/>
                <w:szCs w:val="21"/>
              </w:rPr>
              <w:t>半年</w:t>
            </w:r>
          </w:p>
        </w:tc>
      </w:tr>
      <w:tr w14:paraId="7093D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atLeast"/>
          <w:jc w:val="center"/>
        </w:trPr>
        <w:tc>
          <w:tcPr>
            <w:tcW w:w="959" w:type="dxa"/>
            <w:vAlign w:val="center"/>
          </w:tcPr>
          <w:p w14:paraId="2CC73283">
            <w:pPr>
              <w:widowControl w:val="0"/>
              <w:spacing w:after="0" w:line="400" w:lineRule="exact"/>
              <w:jc w:val="center"/>
              <w:rPr>
                <w:rFonts w:asciiTheme="minorEastAsia" w:hAnsiTheme="minorEastAsia"/>
                <w:szCs w:val="21"/>
              </w:rPr>
            </w:pPr>
            <w:r>
              <w:rPr>
                <w:rFonts w:hint="eastAsia" w:asciiTheme="minorEastAsia" w:hAnsiTheme="minorEastAsia"/>
                <w:szCs w:val="21"/>
              </w:rPr>
              <w:t>1.2</w:t>
            </w:r>
          </w:p>
        </w:tc>
        <w:tc>
          <w:tcPr>
            <w:tcW w:w="1843" w:type="dxa"/>
            <w:vAlign w:val="center"/>
          </w:tcPr>
          <w:p w14:paraId="68E89AA2">
            <w:pPr>
              <w:widowControl w:val="0"/>
              <w:spacing w:after="0" w:line="400" w:lineRule="exact"/>
              <w:jc w:val="center"/>
              <w:rPr>
                <w:rFonts w:asciiTheme="minorEastAsia" w:hAnsiTheme="minorEastAsia"/>
                <w:szCs w:val="21"/>
              </w:rPr>
            </w:pPr>
            <w:r>
              <w:rPr>
                <w:rFonts w:asciiTheme="minorEastAsia" w:hAnsiTheme="minorEastAsia"/>
                <w:szCs w:val="21"/>
              </w:rPr>
              <w:t>主机的检查</w:t>
            </w:r>
          </w:p>
        </w:tc>
        <w:tc>
          <w:tcPr>
            <w:tcW w:w="4682" w:type="dxa"/>
            <w:gridSpan w:val="2"/>
            <w:vAlign w:val="center"/>
          </w:tcPr>
          <w:p w14:paraId="6D638DDC">
            <w:pPr>
              <w:widowControl w:val="0"/>
              <w:spacing w:after="0" w:line="400" w:lineRule="exact"/>
              <w:jc w:val="center"/>
              <w:rPr>
                <w:rFonts w:asciiTheme="minorEastAsia" w:hAnsiTheme="minorEastAsia"/>
                <w:szCs w:val="21"/>
              </w:rPr>
            </w:pPr>
            <w:r>
              <w:rPr>
                <w:rFonts w:hint="eastAsia" w:asciiTheme="minorEastAsia" w:hAnsiTheme="minorEastAsia"/>
                <w:szCs w:val="21"/>
              </w:rPr>
              <w:t>清除主机表面积尘，确保机柜外观清洁。清除风扇和滤网积尘，风扇运转平稳，无异常杂音。</w:t>
            </w:r>
          </w:p>
        </w:tc>
        <w:tc>
          <w:tcPr>
            <w:tcW w:w="1129" w:type="dxa"/>
            <w:gridSpan w:val="2"/>
            <w:vAlign w:val="center"/>
          </w:tcPr>
          <w:p w14:paraId="2FFB48CC">
            <w:pPr>
              <w:widowControl w:val="0"/>
              <w:spacing w:after="0" w:line="400" w:lineRule="exact"/>
              <w:jc w:val="center"/>
              <w:rPr>
                <w:rFonts w:asciiTheme="minorEastAsia" w:hAnsiTheme="minorEastAsia"/>
                <w:szCs w:val="21"/>
              </w:rPr>
            </w:pPr>
            <w:r>
              <w:rPr>
                <w:rFonts w:hint="eastAsia" w:asciiTheme="minorEastAsia" w:hAnsiTheme="minorEastAsia"/>
                <w:szCs w:val="21"/>
              </w:rPr>
              <w:t>季</w:t>
            </w:r>
          </w:p>
        </w:tc>
      </w:tr>
      <w:tr w14:paraId="38184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959" w:type="dxa"/>
            <w:vAlign w:val="center"/>
          </w:tcPr>
          <w:p w14:paraId="1B68C7E6">
            <w:pPr>
              <w:widowControl w:val="0"/>
              <w:spacing w:after="0" w:line="400" w:lineRule="exact"/>
              <w:jc w:val="center"/>
              <w:rPr>
                <w:rFonts w:asciiTheme="minorEastAsia" w:hAnsiTheme="minorEastAsia"/>
                <w:szCs w:val="21"/>
              </w:rPr>
            </w:pPr>
            <w:r>
              <w:rPr>
                <w:rFonts w:hint="eastAsia" w:asciiTheme="minorEastAsia" w:hAnsiTheme="minorEastAsia"/>
                <w:szCs w:val="21"/>
              </w:rPr>
              <w:t>1.3</w:t>
            </w:r>
          </w:p>
        </w:tc>
        <w:tc>
          <w:tcPr>
            <w:tcW w:w="1843" w:type="dxa"/>
            <w:vAlign w:val="center"/>
          </w:tcPr>
          <w:p w14:paraId="5BE890DB">
            <w:pPr>
              <w:widowControl w:val="0"/>
              <w:spacing w:after="0" w:line="400" w:lineRule="exact"/>
              <w:jc w:val="center"/>
              <w:rPr>
                <w:rFonts w:asciiTheme="minorEastAsia" w:hAnsiTheme="minorEastAsia"/>
                <w:szCs w:val="21"/>
              </w:rPr>
            </w:pPr>
            <w:r>
              <w:rPr>
                <w:rFonts w:hint="eastAsia" w:asciiTheme="minorEastAsia" w:hAnsiTheme="minorEastAsia"/>
                <w:szCs w:val="21"/>
              </w:rPr>
              <w:t>显示器的检查</w:t>
            </w:r>
          </w:p>
        </w:tc>
        <w:tc>
          <w:tcPr>
            <w:tcW w:w="4682" w:type="dxa"/>
            <w:gridSpan w:val="2"/>
            <w:vAlign w:val="center"/>
          </w:tcPr>
          <w:p w14:paraId="1DA8098D">
            <w:pPr>
              <w:widowControl w:val="0"/>
              <w:spacing w:after="0" w:line="400" w:lineRule="exact"/>
              <w:jc w:val="center"/>
              <w:rPr>
                <w:rFonts w:asciiTheme="minorEastAsia" w:hAnsiTheme="minorEastAsia"/>
                <w:szCs w:val="21"/>
              </w:rPr>
            </w:pPr>
            <w:r>
              <w:rPr>
                <w:rFonts w:hint="eastAsia" w:asciiTheme="minorEastAsia" w:hAnsiTheme="minorEastAsia"/>
                <w:szCs w:val="21"/>
              </w:rPr>
              <w:t>以视觉舒适为宜，适当调整显示器的亮度、对比度、色饱和度，用清洁剂清除屏体表面积尘。</w:t>
            </w:r>
          </w:p>
        </w:tc>
        <w:tc>
          <w:tcPr>
            <w:tcW w:w="1129" w:type="dxa"/>
            <w:gridSpan w:val="2"/>
            <w:vAlign w:val="center"/>
          </w:tcPr>
          <w:p w14:paraId="5B475739">
            <w:pPr>
              <w:widowControl w:val="0"/>
              <w:spacing w:after="0" w:line="400" w:lineRule="exact"/>
              <w:jc w:val="center"/>
              <w:rPr>
                <w:rFonts w:asciiTheme="minorEastAsia" w:hAnsiTheme="minorEastAsia"/>
                <w:szCs w:val="21"/>
              </w:rPr>
            </w:pPr>
            <w:r>
              <w:rPr>
                <w:rFonts w:hint="eastAsia" w:asciiTheme="minorEastAsia" w:hAnsiTheme="minorEastAsia"/>
                <w:szCs w:val="21"/>
              </w:rPr>
              <w:t>季</w:t>
            </w:r>
          </w:p>
        </w:tc>
      </w:tr>
      <w:tr w14:paraId="32EA3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59" w:type="dxa"/>
            <w:vAlign w:val="center"/>
          </w:tcPr>
          <w:p w14:paraId="199ACFF8">
            <w:pPr>
              <w:widowControl w:val="0"/>
              <w:spacing w:after="0" w:line="400" w:lineRule="exact"/>
              <w:jc w:val="center"/>
              <w:rPr>
                <w:rFonts w:asciiTheme="minorEastAsia" w:hAnsiTheme="minorEastAsia"/>
                <w:szCs w:val="21"/>
              </w:rPr>
            </w:pPr>
            <w:r>
              <w:rPr>
                <w:rFonts w:hint="eastAsia" w:asciiTheme="minorEastAsia" w:hAnsiTheme="minorEastAsia"/>
                <w:szCs w:val="21"/>
              </w:rPr>
              <w:t>1.4</w:t>
            </w:r>
          </w:p>
        </w:tc>
        <w:tc>
          <w:tcPr>
            <w:tcW w:w="1843" w:type="dxa"/>
            <w:vAlign w:val="center"/>
          </w:tcPr>
          <w:p w14:paraId="05498E19">
            <w:pPr>
              <w:widowControl w:val="0"/>
              <w:spacing w:after="0" w:line="400" w:lineRule="exact"/>
              <w:jc w:val="center"/>
              <w:rPr>
                <w:rFonts w:asciiTheme="minorEastAsia" w:hAnsiTheme="minorEastAsia"/>
                <w:szCs w:val="21"/>
              </w:rPr>
            </w:pPr>
            <w:r>
              <w:rPr>
                <w:rFonts w:hint="eastAsia" w:asciiTheme="minorEastAsia" w:hAnsiTheme="minorEastAsia"/>
                <w:szCs w:val="21"/>
              </w:rPr>
              <w:t>键盘的检查</w:t>
            </w:r>
          </w:p>
        </w:tc>
        <w:tc>
          <w:tcPr>
            <w:tcW w:w="4682" w:type="dxa"/>
            <w:gridSpan w:val="2"/>
            <w:vAlign w:val="center"/>
          </w:tcPr>
          <w:p w14:paraId="5FD9A92C">
            <w:pPr>
              <w:widowControl w:val="0"/>
              <w:spacing w:after="0" w:line="400" w:lineRule="exact"/>
              <w:jc w:val="center"/>
              <w:rPr>
                <w:rFonts w:asciiTheme="minorEastAsia" w:hAnsiTheme="minorEastAsia"/>
                <w:szCs w:val="21"/>
              </w:rPr>
            </w:pPr>
            <w:r>
              <w:rPr>
                <w:rFonts w:hint="eastAsia" w:asciiTheme="minorEastAsia" w:hAnsiTheme="minorEastAsia"/>
                <w:szCs w:val="21"/>
              </w:rPr>
              <w:t>用刷子、清洁剂清除键盘积尘与污垢，检查每个按键，是的手感舒适有效。</w:t>
            </w:r>
          </w:p>
        </w:tc>
        <w:tc>
          <w:tcPr>
            <w:tcW w:w="1129" w:type="dxa"/>
            <w:gridSpan w:val="2"/>
            <w:vAlign w:val="center"/>
          </w:tcPr>
          <w:p w14:paraId="048AF787">
            <w:pPr>
              <w:widowControl w:val="0"/>
              <w:spacing w:after="0" w:line="400" w:lineRule="exact"/>
              <w:jc w:val="center"/>
              <w:rPr>
                <w:rFonts w:asciiTheme="minorEastAsia" w:hAnsiTheme="minorEastAsia"/>
                <w:szCs w:val="21"/>
              </w:rPr>
            </w:pPr>
            <w:r>
              <w:rPr>
                <w:rFonts w:hint="eastAsia" w:asciiTheme="minorEastAsia" w:hAnsiTheme="minorEastAsia"/>
                <w:szCs w:val="21"/>
              </w:rPr>
              <w:t>半年</w:t>
            </w:r>
          </w:p>
        </w:tc>
      </w:tr>
      <w:tr w14:paraId="750E9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959" w:type="dxa"/>
            <w:vAlign w:val="center"/>
          </w:tcPr>
          <w:p w14:paraId="4453DAD4">
            <w:pPr>
              <w:widowControl w:val="0"/>
              <w:spacing w:after="0" w:line="400" w:lineRule="exact"/>
              <w:jc w:val="center"/>
              <w:rPr>
                <w:rFonts w:asciiTheme="minorEastAsia" w:hAnsiTheme="minorEastAsia"/>
                <w:szCs w:val="21"/>
              </w:rPr>
            </w:pPr>
            <w:r>
              <w:rPr>
                <w:rFonts w:hint="eastAsia" w:asciiTheme="minorEastAsia" w:hAnsiTheme="minorEastAsia"/>
                <w:szCs w:val="21"/>
              </w:rPr>
              <w:t>1.5</w:t>
            </w:r>
          </w:p>
        </w:tc>
        <w:tc>
          <w:tcPr>
            <w:tcW w:w="1843" w:type="dxa"/>
            <w:vAlign w:val="center"/>
          </w:tcPr>
          <w:p w14:paraId="10C191DF">
            <w:pPr>
              <w:widowControl w:val="0"/>
              <w:spacing w:after="0" w:line="400" w:lineRule="exact"/>
              <w:jc w:val="center"/>
              <w:rPr>
                <w:rFonts w:asciiTheme="minorEastAsia" w:hAnsiTheme="minorEastAsia"/>
                <w:szCs w:val="21"/>
              </w:rPr>
            </w:pPr>
            <w:r>
              <w:rPr>
                <w:rFonts w:hint="eastAsia" w:asciiTheme="minorEastAsia" w:hAnsiTheme="minorEastAsia"/>
                <w:szCs w:val="21"/>
              </w:rPr>
              <w:t>鼠标的检查</w:t>
            </w:r>
          </w:p>
        </w:tc>
        <w:tc>
          <w:tcPr>
            <w:tcW w:w="4682" w:type="dxa"/>
            <w:gridSpan w:val="2"/>
            <w:vAlign w:val="center"/>
          </w:tcPr>
          <w:p w14:paraId="01577F10">
            <w:pPr>
              <w:widowControl w:val="0"/>
              <w:spacing w:after="0" w:line="400" w:lineRule="exact"/>
              <w:jc w:val="center"/>
              <w:rPr>
                <w:rFonts w:asciiTheme="minorEastAsia" w:hAnsiTheme="minorEastAsia"/>
                <w:szCs w:val="21"/>
              </w:rPr>
            </w:pPr>
            <w:r>
              <w:rPr>
                <w:rFonts w:hint="eastAsia" w:asciiTheme="minorEastAsia" w:hAnsiTheme="minorEastAsia"/>
                <w:szCs w:val="21"/>
              </w:rPr>
              <w:t>清除鼠标表面和滚球的积尘，检查鼠标左右手键，使手感舒适有效，光标移动光滑</w:t>
            </w:r>
          </w:p>
        </w:tc>
        <w:tc>
          <w:tcPr>
            <w:tcW w:w="1129" w:type="dxa"/>
            <w:gridSpan w:val="2"/>
            <w:vAlign w:val="center"/>
          </w:tcPr>
          <w:p w14:paraId="4A30F31C">
            <w:pPr>
              <w:widowControl w:val="0"/>
              <w:spacing w:after="0" w:line="400" w:lineRule="exact"/>
              <w:jc w:val="center"/>
              <w:rPr>
                <w:rFonts w:asciiTheme="minorEastAsia" w:hAnsiTheme="minorEastAsia"/>
                <w:szCs w:val="21"/>
              </w:rPr>
            </w:pPr>
            <w:r>
              <w:rPr>
                <w:rFonts w:hint="eastAsia" w:asciiTheme="minorEastAsia" w:hAnsiTheme="minorEastAsia"/>
                <w:szCs w:val="21"/>
              </w:rPr>
              <w:t>半年</w:t>
            </w:r>
          </w:p>
        </w:tc>
      </w:tr>
      <w:tr w14:paraId="70B36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959" w:type="dxa"/>
            <w:vAlign w:val="center"/>
          </w:tcPr>
          <w:p w14:paraId="4A9EAA0C">
            <w:pPr>
              <w:widowControl w:val="0"/>
              <w:spacing w:after="0" w:line="400" w:lineRule="exact"/>
              <w:jc w:val="center"/>
              <w:rPr>
                <w:rFonts w:asciiTheme="minorEastAsia" w:hAnsiTheme="minorEastAsia"/>
                <w:szCs w:val="21"/>
              </w:rPr>
            </w:pPr>
            <w:r>
              <w:rPr>
                <w:rFonts w:hint="eastAsia" w:asciiTheme="minorEastAsia" w:hAnsiTheme="minorEastAsia"/>
                <w:szCs w:val="21"/>
              </w:rPr>
              <w:t>1.6</w:t>
            </w:r>
          </w:p>
        </w:tc>
        <w:tc>
          <w:tcPr>
            <w:tcW w:w="1843" w:type="dxa"/>
            <w:vAlign w:val="center"/>
          </w:tcPr>
          <w:p w14:paraId="51E23F4D">
            <w:pPr>
              <w:widowControl w:val="0"/>
              <w:spacing w:after="0" w:line="400" w:lineRule="exact"/>
              <w:jc w:val="center"/>
              <w:rPr>
                <w:rFonts w:asciiTheme="minorEastAsia" w:hAnsiTheme="minorEastAsia"/>
                <w:szCs w:val="21"/>
              </w:rPr>
            </w:pPr>
            <w:r>
              <w:rPr>
                <w:rFonts w:hint="eastAsia" w:asciiTheme="minorEastAsia" w:hAnsiTheme="minorEastAsia"/>
                <w:szCs w:val="21"/>
              </w:rPr>
              <w:t>电源的检查</w:t>
            </w:r>
          </w:p>
        </w:tc>
        <w:tc>
          <w:tcPr>
            <w:tcW w:w="4682" w:type="dxa"/>
            <w:gridSpan w:val="2"/>
            <w:vAlign w:val="center"/>
          </w:tcPr>
          <w:p w14:paraId="779AC0EC">
            <w:pPr>
              <w:widowControl w:val="0"/>
              <w:spacing w:after="0" w:line="400" w:lineRule="exact"/>
              <w:jc w:val="center"/>
              <w:rPr>
                <w:rFonts w:asciiTheme="minorEastAsia" w:hAnsiTheme="minorEastAsia"/>
                <w:szCs w:val="21"/>
              </w:rPr>
            </w:pPr>
            <w:r>
              <w:rPr>
                <w:rFonts w:hint="eastAsia" w:asciiTheme="minorEastAsia" w:hAnsiTheme="minorEastAsia"/>
                <w:szCs w:val="21"/>
              </w:rPr>
              <w:t>检查电源线及接线插座安全可靠情况。电源插头、插座应感觉无明显湿升、塑料融化、松动等现象。</w:t>
            </w:r>
          </w:p>
        </w:tc>
        <w:tc>
          <w:tcPr>
            <w:tcW w:w="1129" w:type="dxa"/>
            <w:gridSpan w:val="2"/>
            <w:vAlign w:val="center"/>
          </w:tcPr>
          <w:p w14:paraId="35F7DF30">
            <w:pPr>
              <w:widowControl w:val="0"/>
              <w:spacing w:after="0" w:line="400" w:lineRule="exact"/>
              <w:jc w:val="center"/>
              <w:rPr>
                <w:rFonts w:asciiTheme="minorEastAsia" w:hAnsiTheme="minorEastAsia"/>
                <w:szCs w:val="21"/>
              </w:rPr>
            </w:pPr>
            <w:r>
              <w:rPr>
                <w:rFonts w:hint="eastAsia" w:asciiTheme="minorEastAsia" w:hAnsiTheme="minorEastAsia"/>
                <w:szCs w:val="21"/>
              </w:rPr>
              <w:t>季</w:t>
            </w:r>
          </w:p>
        </w:tc>
      </w:tr>
      <w:tr w14:paraId="7723F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jc w:val="center"/>
        </w:trPr>
        <w:tc>
          <w:tcPr>
            <w:tcW w:w="959" w:type="dxa"/>
            <w:vAlign w:val="center"/>
          </w:tcPr>
          <w:p w14:paraId="71382FEE">
            <w:pPr>
              <w:widowControl w:val="0"/>
              <w:spacing w:after="0" w:line="400" w:lineRule="exact"/>
              <w:jc w:val="center"/>
              <w:rPr>
                <w:rFonts w:asciiTheme="minorEastAsia" w:hAnsiTheme="minorEastAsia"/>
                <w:szCs w:val="21"/>
              </w:rPr>
            </w:pPr>
            <w:r>
              <w:rPr>
                <w:rFonts w:hint="eastAsia" w:asciiTheme="minorEastAsia" w:hAnsiTheme="minorEastAsia"/>
                <w:szCs w:val="21"/>
              </w:rPr>
              <w:t>1.7</w:t>
            </w:r>
          </w:p>
        </w:tc>
        <w:tc>
          <w:tcPr>
            <w:tcW w:w="1843" w:type="dxa"/>
            <w:vAlign w:val="center"/>
          </w:tcPr>
          <w:p w14:paraId="7B291BF6">
            <w:pPr>
              <w:widowControl w:val="0"/>
              <w:spacing w:after="0" w:line="400" w:lineRule="exact"/>
              <w:jc w:val="center"/>
              <w:rPr>
                <w:rFonts w:asciiTheme="minorEastAsia" w:hAnsiTheme="minorEastAsia"/>
                <w:szCs w:val="21"/>
              </w:rPr>
            </w:pPr>
            <w:r>
              <w:rPr>
                <w:rFonts w:hint="eastAsia" w:asciiTheme="minorEastAsia" w:hAnsiTheme="minorEastAsia"/>
                <w:szCs w:val="21"/>
              </w:rPr>
              <w:t>控制（串口通信）线缆的检查</w:t>
            </w:r>
          </w:p>
        </w:tc>
        <w:tc>
          <w:tcPr>
            <w:tcW w:w="4682" w:type="dxa"/>
            <w:gridSpan w:val="2"/>
            <w:vAlign w:val="center"/>
          </w:tcPr>
          <w:p w14:paraId="571211BA">
            <w:pPr>
              <w:widowControl w:val="0"/>
              <w:spacing w:after="0" w:line="400" w:lineRule="exact"/>
              <w:jc w:val="center"/>
              <w:rPr>
                <w:rFonts w:asciiTheme="minorEastAsia" w:hAnsiTheme="minorEastAsia"/>
                <w:szCs w:val="21"/>
              </w:rPr>
            </w:pPr>
            <w:r>
              <w:rPr>
                <w:rFonts w:hint="eastAsia" w:asciiTheme="minorEastAsia" w:hAnsiTheme="minorEastAsia"/>
                <w:szCs w:val="21"/>
              </w:rPr>
              <w:t>用万用表检查串口线通断情况，线缆无折痕，无破损。对疑有表面氧化的插头用除氧化剂进行处理或重新更换加工，确保每对没根线缆接触良好。</w:t>
            </w:r>
          </w:p>
        </w:tc>
        <w:tc>
          <w:tcPr>
            <w:tcW w:w="1129" w:type="dxa"/>
            <w:gridSpan w:val="2"/>
            <w:vAlign w:val="center"/>
          </w:tcPr>
          <w:p w14:paraId="4CFFB763">
            <w:pPr>
              <w:widowControl w:val="0"/>
              <w:spacing w:after="0" w:line="400" w:lineRule="exact"/>
              <w:jc w:val="center"/>
              <w:rPr>
                <w:rFonts w:asciiTheme="minorEastAsia" w:hAnsiTheme="minorEastAsia"/>
                <w:szCs w:val="21"/>
              </w:rPr>
            </w:pPr>
            <w:r>
              <w:rPr>
                <w:rFonts w:hint="eastAsia" w:asciiTheme="minorEastAsia" w:hAnsiTheme="minorEastAsia"/>
                <w:szCs w:val="21"/>
              </w:rPr>
              <w:t>月</w:t>
            </w:r>
          </w:p>
        </w:tc>
      </w:tr>
      <w:tr w14:paraId="648B3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959" w:type="dxa"/>
            <w:vAlign w:val="center"/>
          </w:tcPr>
          <w:p w14:paraId="05DF073E">
            <w:pPr>
              <w:widowControl w:val="0"/>
              <w:spacing w:after="0" w:line="400" w:lineRule="exact"/>
              <w:jc w:val="center"/>
              <w:rPr>
                <w:rFonts w:asciiTheme="minorEastAsia" w:hAnsiTheme="minorEastAsia"/>
                <w:szCs w:val="21"/>
              </w:rPr>
            </w:pPr>
            <w:r>
              <w:rPr>
                <w:rFonts w:hint="eastAsia" w:asciiTheme="minorEastAsia" w:hAnsiTheme="minorEastAsia"/>
                <w:szCs w:val="21"/>
              </w:rPr>
              <w:t>1.8</w:t>
            </w:r>
          </w:p>
        </w:tc>
        <w:tc>
          <w:tcPr>
            <w:tcW w:w="1843" w:type="dxa"/>
            <w:vAlign w:val="center"/>
          </w:tcPr>
          <w:p w14:paraId="449BA240">
            <w:pPr>
              <w:widowControl w:val="0"/>
              <w:spacing w:after="0" w:line="400" w:lineRule="exact"/>
              <w:jc w:val="center"/>
              <w:rPr>
                <w:rFonts w:asciiTheme="minorEastAsia" w:hAnsiTheme="minorEastAsia"/>
                <w:szCs w:val="21"/>
              </w:rPr>
            </w:pPr>
            <w:r>
              <w:rPr>
                <w:rFonts w:hint="eastAsia" w:asciiTheme="minorEastAsia" w:hAnsiTheme="minorEastAsia"/>
                <w:szCs w:val="21"/>
              </w:rPr>
              <w:t>网络线缆检查</w:t>
            </w:r>
          </w:p>
        </w:tc>
        <w:tc>
          <w:tcPr>
            <w:tcW w:w="4682" w:type="dxa"/>
            <w:gridSpan w:val="2"/>
            <w:vAlign w:val="center"/>
          </w:tcPr>
          <w:p w14:paraId="4F5AF8F6">
            <w:pPr>
              <w:widowControl w:val="0"/>
              <w:spacing w:after="0" w:line="400" w:lineRule="exact"/>
              <w:jc w:val="center"/>
              <w:rPr>
                <w:rFonts w:asciiTheme="minorEastAsia" w:hAnsiTheme="minorEastAsia"/>
                <w:szCs w:val="21"/>
              </w:rPr>
            </w:pPr>
            <w:r>
              <w:rPr>
                <w:rFonts w:hint="eastAsia" w:asciiTheme="minorEastAsia" w:hAnsiTheme="minorEastAsia"/>
                <w:szCs w:val="21"/>
              </w:rPr>
              <w:t>检查网线有无破损、折痕，接头接触是否良好。检查并测试网络线缆连接状况</w:t>
            </w:r>
          </w:p>
        </w:tc>
        <w:tc>
          <w:tcPr>
            <w:tcW w:w="1129" w:type="dxa"/>
            <w:gridSpan w:val="2"/>
            <w:vAlign w:val="center"/>
          </w:tcPr>
          <w:p w14:paraId="51B9BCE5">
            <w:pPr>
              <w:widowControl w:val="0"/>
              <w:spacing w:after="0" w:line="400" w:lineRule="exact"/>
              <w:jc w:val="center"/>
              <w:rPr>
                <w:rFonts w:asciiTheme="minorEastAsia" w:hAnsiTheme="minorEastAsia"/>
                <w:szCs w:val="21"/>
              </w:rPr>
            </w:pPr>
            <w:r>
              <w:rPr>
                <w:rFonts w:hint="eastAsia" w:asciiTheme="minorEastAsia" w:hAnsiTheme="minorEastAsia"/>
                <w:szCs w:val="21"/>
              </w:rPr>
              <w:t>季</w:t>
            </w:r>
          </w:p>
        </w:tc>
      </w:tr>
      <w:tr w14:paraId="37AE8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959" w:type="dxa"/>
            <w:vAlign w:val="center"/>
          </w:tcPr>
          <w:p w14:paraId="68E3BF50">
            <w:pPr>
              <w:widowControl w:val="0"/>
              <w:spacing w:after="0" w:line="400" w:lineRule="exact"/>
              <w:jc w:val="center"/>
              <w:rPr>
                <w:rFonts w:asciiTheme="minorEastAsia" w:hAnsiTheme="minorEastAsia"/>
                <w:szCs w:val="21"/>
              </w:rPr>
            </w:pPr>
            <w:r>
              <w:rPr>
                <w:rFonts w:hint="eastAsia" w:asciiTheme="minorEastAsia" w:hAnsiTheme="minorEastAsia"/>
                <w:szCs w:val="21"/>
              </w:rPr>
              <w:t>1.9</w:t>
            </w:r>
          </w:p>
        </w:tc>
        <w:tc>
          <w:tcPr>
            <w:tcW w:w="1843" w:type="dxa"/>
            <w:vAlign w:val="center"/>
          </w:tcPr>
          <w:p w14:paraId="3531E36C">
            <w:pPr>
              <w:widowControl w:val="0"/>
              <w:spacing w:after="0" w:line="400" w:lineRule="exact"/>
              <w:jc w:val="center"/>
              <w:rPr>
                <w:rFonts w:asciiTheme="minorEastAsia" w:hAnsiTheme="minorEastAsia"/>
                <w:szCs w:val="21"/>
              </w:rPr>
            </w:pPr>
            <w:r>
              <w:rPr>
                <w:rFonts w:hint="eastAsia" w:asciiTheme="minorEastAsia" w:hAnsiTheme="minorEastAsia"/>
                <w:szCs w:val="21"/>
              </w:rPr>
              <w:t>联网设备布局情况变化</w:t>
            </w:r>
          </w:p>
        </w:tc>
        <w:tc>
          <w:tcPr>
            <w:tcW w:w="4682" w:type="dxa"/>
            <w:gridSpan w:val="2"/>
            <w:vAlign w:val="center"/>
          </w:tcPr>
          <w:p w14:paraId="3A3794F9">
            <w:pPr>
              <w:widowControl w:val="0"/>
              <w:spacing w:after="0" w:line="400" w:lineRule="exact"/>
              <w:jc w:val="center"/>
              <w:rPr>
                <w:rFonts w:asciiTheme="minorEastAsia" w:hAnsiTheme="minorEastAsia"/>
                <w:szCs w:val="21"/>
              </w:rPr>
            </w:pPr>
            <w:r>
              <w:rPr>
                <w:rFonts w:hint="eastAsia" w:asciiTheme="minorEastAsia" w:hAnsiTheme="minorEastAsia"/>
                <w:szCs w:val="21"/>
              </w:rPr>
              <w:t>有变化及时通知甲方并更新文档</w:t>
            </w:r>
          </w:p>
        </w:tc>
        <w:tc>
          <w:tcPr>
            <w:tcW w:w="1129" w:type="dxa"/>
            <w:gridSpan w:val="2"/>
            <w:vAlign w:val="center"/>
          </w:tcPr>
          <w:p w14:paraId="510325A7">
            <w:pPr>
              <w:widowControl w:val="0"/>
              <w:spacing w:after="0" w:line="400" w:lineRule="exact"/>
              <w:jc w:val="center"/>
              <w:rPr>
                <w:rFonts w:asciiTheme="minorEastAsia" w:hAnsiTheme="minorEastAsia"/>
                <w:szCs w:val="21"/>
              </w:rPr>
            </w:pPr>
            <w:r>
              <w:rPr>
                <w:rFonts w:hint="eastAsia" w:asciiTheme="minorEastAsia" w:hAnsiTheme="minorEastAsia"/>
                <w:szCs w:val="21"/>
              </w:rPr>
              <w:t>有变动时</w:t>
            </w:r>
          </w:p>
        </w:tc>
      </w:tr>
      <w:tr w14:paraId="13949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959" w:type="dxa"/>
            <w:vAlign w:val="center"/>
          </w:tcPr>
          <w:p w14:paraId="11184E4D">
            <w:pPr>
              <w:widowControl w:val="0"/>
              <w:spacing w:after="0" w:line="400" w:lineRule="exact"/>
              <w:jc w:val="center"/>
              <w:rPr>
                <w:rFonts w:asciiTheme="minorEastAsia" w:hAnsiTheme="minorEastAsia"/>
                <w:szCs w:val="21"/>
              </w:rPr>
            </w:pPr>
            <w:r>
              <w:rPr>
                <w:rFonts w:hint="eastAsia" w:asciiTheme="minorEastAsia" w:hAnsiTheme="minorEastAsia"/>
                <w:szCs w:val="21"/>
              </w:rPr>
              <w:t>1.10</w:t>
            </w:r>
          </w:p>
        </w:tc>
        <w:tc>
          <w:tcPr>
            <w:tcW w:w="1843" w:type="dxa"/>
            <w:vAlign w:val="center"/>
          </w:tcPr>
          <w:p w14:paraId="5BF3E57C">
            <w:pPr>
              <w:widowControl w:val="0"/>
              <w:spacing w:after="0" w:line="400" w:lineRule="exact"/>
              <w:jc w:val="center"/>
              <w:rPr>
                <w:rFonts w:asciiTheme="minorEastAsia" w:hAnsiTheme="minorEastAsia"/>
                <w:szCs w:val="21"/>
              </w:rPr>
            </w:pPr>
            <w:r>
              <w:rPr>
                <w:rFonts w:hint="eastAsia" w:asciiTheme="minorEastAsia" w:hAnsiTheme="minorEastAsia"/>
                <w:szCs w:val="21"/>
              </w:rPr>
              <w:t>网络tpo协议</w:t>
            </w:r>
          </w:p>
          <w:p w14:paraId="2BCB2374">
            <w:pPr>
              <w:widowControl w:val="0"/>
              <w:spacing w:after="0" w:line="400" w:lineRule="exact"/>
              <w:jc w:val="center"/>
              <w:rPr>
                <w:rFonts w:asciiTheme="minorEastAsia" w:hAnsiTheme="minorEastAsia"/>
                <w:szCs w:val="21"/>
              </w:rPr>
            </w:pPr>
            <w:r>
              <w:rPr>
                <w:rFonts w:hint="eastAsia" w:asciiTheme="minorEastAsia" w:hAnsiTheme="minorEastAsia"/>
                <w:szCs w:val="21"/>
              </w:rPr>
              <w:t>与激活状况</w:t>
            </w:r>
          </w:p>
        </w:tc>
        <w:tc>
          <w:tcPr>
            <w:tcW w:w="4682" w:type="dxa"/>
            <w:gridSpan w:val="2"/>
            <w:vAlign w:val="center"/>
          </w:tcPr>
          <w:p w14:paraId="118C4389">
            <w:pPr>
              <w:widowControl w:val="0"/>
              <w:spacing w:after="0" w:line="400" w:lineRule="exact"/>
              <w:jc w:val="center"/>
              <w:rPr>
                <w:rFonts w:asciiTheme="minorEastAsia" w:hAnsiTheme="minorEastAsia"/>
                <w:szCs w:val="21"/>
              </w:rPr>
            </w:pPr>
            <w:r>
              <w:rPr>
                <w:rFonts w:hint="eastAsia" w:asciiTheme="minorEastAsia" w:hAnsiTheme="minorEastAsia"/>
                <w:szCs w:val="21"/>
              </w:rPr>
              <w:t>检查、测试网络top协议与激活状况</w:t>
            </w:r>
          </w:p>
        </w:tc>
        <w:tc>
          <w:tcPr>
            <w:tcW w:w="1129" w:type="dxa"/>
            <w:gridSpan w:val="2"/>
            <w:vAlign w:val="center"/>
          </w:tcPr>
          <w:p w14:paraId="6322E689">
            <w:pPr>
              <w:widowControl w:val="0"/>
              <w:spacing w:after="0" w:line="400" w:lineRule="exact"/>
              <w:jc w:val="center"/>
              <w:rPr>
                <w:rFonts w:asciiTheme="minorEastAsia" w:hAnsiTheme="minorEastAsia"/>
                <w:szCs w:val="21"/>
              </w:rPr>
            </w:pPr>
            <w:r>
              <w:rPr>
                <w:rFonts w:hint="eastAsia" w:asciiTheme="minorEastAsia" w:hAnsiTheme="minorEastAsia"/>
                <w:szCs w:val="21"/>
              </w:rPr>
              <w:t>季</w:t>
            </w:r>
          </w:p>
        </w:tc>
      </w:tr>
      <w:tr w14:paraId="57462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959" w:type="dxa"/>
            <w:vAlign w:val="center"/>
          </w:tcPr>
          <w:p w14:paraId="64ED5E98">
            <w:pPr>
              <w:widowControl w:val="0"/>
              <w:spacing w:after="0" w:line="400" w:lineRule="exact"/>
              <w:jc w:val="center"/>
              <w:rPr>
                <w:rFonts w:asciiTheme="minorEastAsia" w:hAnsiTheme="minorEastAsia"/>
                <w:szCs w:val="21"/>
              </w:rPr>
            </w:pPr>
            <w:r>
              <w:rPr>
                <w:rFonts w:hint="eastAsia" w:asciiTheme="minorEastAsia" w:hAnsiTheme="minorEastAsia"/>
                <w:szCs w:val="21"/>
              </w:rPr>
              <w:t>2</w:t>
            </w:r>
          </w:p>
        </w:tc>
        <w:tc>
          <w:tcPr>
            <w:tcW w:w="7654" w:type="dxa"/>
            <w:gridSpan w:val="5"/>
            <w:vAlign w:val="center"/>
          </w:tcPr>
          <w:p w14:paraId="03EDBBE8">
            <w:pPr>
              <w:widowControl w:val="0"/>
              <w:spacing w:after="0" w:line="400" w:lineRule="exact"/>
              <w:jc w:val="center"/>
              <w:rPr>
                <w:rFonts w:asciiTheme="minorEastAsia" w:hAnsiTheme="minorEastAsia"/>
                <w:szCs w:val="21"/>
              </w:rPr>
            </w:pPr>
            <w:r>
              <w:rPr>
                <w:rFonts w:hint="eastAsia" w:asciiTheme="minorEastAsia" w:hAnsiTheme="minorEastAsia"/>
                <w:szCs w:val="21"/>
              </w:rPr>
              <w:t>服务器</w:t>
            </w:r>
          </w:p>
        </w:tc>
      </w:tr>
      <w:tr w14:paraId="36659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959" w:type="dxa"/>
            <w:vAlign w:val="center"/>
          </w:tcPr>
          <w:p w14:paraId="54D93B43">
            <w:pPr>
              <w:widowControl w:val="0"/>
              <w:spacing w:after="0" w:line="400" w:lineRule="exact"/>
              <w:jc w:val="center"/>
              <w:rPr>
                <w:rFonts w:asciiTheme="minorEastAsia" w:hAnsiTheme="minorEastAsia"/>
                <w:szCs w:val="21"/>
              </w:rPr>
            </w:pPr>
            <w:r>
              <w:rPr>
                <w:rFonts w:hint="eastAsia" w:asciiTheme="minorEastAsia" w:hAnsiTheme="minorEastAsia"/>
                <w:szCs w:val="21"/>
              </w:rPr>
              <w:t>2.1</w:t>
            </w:r>
          </w:p>
        </w:tc>
        <w:tc>
          <w:tcPr>
            <w:tcW w:w="1843" w:type="dxa"/>
            <w:vAlign w:val="center"/>
          </w:tcPr>
          <w:p w14:paraId="33732430">
            <w:pPr>
              <w:widowControl w:val="0"/>
              <w:spacing w:after="0" w:line="400" w:lineRule="exact"/>
              <w:jc w:val="center"/>
              <w:rPr>
                <w:rFonts w:asciiTheme="minorEastAsia" w:hAnsiTheme="minorEastAsia"/>
                <w:szCs w:val="21"/>
              </w:rPr>
            </w:pPr>
            <w:r>
              <w:rPr>
                <w:rFonts w:hint="eastAsia" w:asciiTheme="minorEastAsia" w:hAnsiTheme="minorEastAsia"/>
                <w:szCs w:val="21"/>
              </w:rPr>
              <w:t>指示灯状态检查</w:t>
            </w:r>
          </w:p>
        </w:tc>
        <w:tc>
          <w:tcPr>
            <w:tcW w:w="4682" w:type="dxa"/>
            <w:gridSpan w:val="2"/>
            <w:vAlign w:val="center"/>
          </w:tcPr>
          <w:p w14:paraId="27ACDDDF">
            <w:pPr>
              <w:widowControl w:val="0"/>
              <w:spacing w:after="0" w:line="400" w:lineRule="exact"/>
              <w:jc w:val="center"/>
              <w:rPr>
                <w:rFonts w:asciiTheme="minorEastAsia" w:hAnsiTheme="minorEastAsia"/>
                <w:szCs w:val="21"/>
              </w:rPr>
            </w:pPr>
            <w:r>
              <w:rPr>
                <w:rFonts w:hint="eastAsia" w:asciiTheme="minorEastAsia" w:hAnsiTheme="minorEastAsia"/>
                <w:szCs w:val="21"/>
              </w:rPr>
              <w:t>A查看电源指示灯状态，如绿灯则正常，红灯表示有警告信息；</w:t>
            </w:r>
          </w:p>
          <w:p w14:paraId="78471BD7">
            <w:pPr>
              <w:widowControl w:val="0"/>
              <w:spacing w:after="0" w:line="400" w:lineRule="exact"/>
              <w:jc w:val="center"/>
              <w:rPr>
                <w:rFonts w:asciiTheme="minorEastAsia" w:hAnsiTheme="minorEastAsia"/>
                <w:szCs w:val="21"/>
              </w:rPr>
            </w:pPr>
            <w:r>
              <w:rPr>
                <w:rFonts w:hint="eastAsia" w:asciiTheme="minorEastAsia" w:hAnsiTheme="minorEastAsia"/>
                <w:szCs w:val="21"/>
              </w:rPr>
              <w:t>B查看内部状态报警灯，如绿灯则正常，红灯表示有警告信息。</w:t>
            </w:r>
          </w:p>
        </w:tc>
        <w:tc>
          <w:tcPr>
            <w:tcW w:w="1129" w:type="dxa"/>
            <w:gridSpan w:val="2"/>
            <w:vAlign w:val="center"/>
          </w:tcPr>
          <w:p w14:paraId="1F3B5514">
            <w:pPr>
              <w:widowControl w:val="0"/>
              <w:spacing w:after="0" w:line="400" w:lineRule="exact"/>
              <w:jc w:val="center"/>
              <w:rPr>
                <w:rFonts w:asciiTheme="minorEastAsia" w:hAnsiTheme="minorEastAsia"/>
                <w:szCs w:val="21"/>
              </w:rPr>
            </w:pPr>
            <w:r>
              <w:rPr>
                <w:rFonts w:hint="eastAsia" w:asciiTheme="minorEastAsia" w:hAnsiTheme="minorEastAsia"/>
                <w:szCs w:val="21"/>
              </w:rPr>
              <w:t>半月</w:t>
            </w:r>
          </w:p>
        </w:tc>
      </w:tr>
      <w:tr w14:paraId="56903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959" w:type="dxa"/>
            <w:vAlign w:val="center"/>
          </w:tcPr>
          <w:p w14:paraId="0753EC28">
            <w:pPr>
              <w:widowControl w:val="0"/>
              <w:spacing w:after="0" w:line="400" w:lineRule="exact"/>
              <w:jc w:val="center"/>
              <w:rPr>
                <w:rFonts w:asciiTheme="minorEastAsia" w:hAnsiTheme="minorEastAsia"/>
                <w:szCs w:val="21"/>
              </w:rPr>
            </w:pPr>
            <w:r>
              <w:rPr>
                <w:rFonts w:hint="eastAsia" w:asciiTheme="minorEastAsia" w:hAnsiTheme="minorEastAsia"/>
                <w:szCs w:val="21"/>
              </w:rPr>
              <w:t>2.2</w:t>
            </w:r>
          </w:p>
        </w:tc>
        <w:tc>
          <w:tcPr>
            <w:tcW w:w="1843" w:type="dxa"/>
            <w:vAlign w:val="center"/>
          </w:tcPr>
          <w:p w14:paraId="118E1C59">
            <w:pPr>
              <w:widowControl w:val="0"/>
              <w:spacing w:after="0" w:line="400" w:lineRule="exact"/>
              <w:jc w:val="center"/>
              <w:rPr>
                <w:rFonts w:asciiTheme="minorEastAsia" w:hAnsiTheme="minorEastAsia"/>
                <w:szCs w:val="21"/>
              </w:rPr>
            </w:pPr>
            <w:r>
              <w:rPr>
                <w:rFonts w:hint="eastAsia" w:asciiTheme="minorEastAsia" w:hAnsiTheme="minorEastAsia"/>
                <w:szCs w:val="21"/>
              </w:rPr>
              <w:t>处理器负荷率</w:t>
            </w:r>
          </w:p>
        </w:tc>
        <w:tc>
          <w:tcPr>
            <w:tcW w:w="4682" w:type="dxa"/>
            <w:gridSpan w:val="2"/>
            <w:vAlign w:val="center"/>
          </w:tcPr>
          <w:p w14:paraId="0A8D1532">
            <w:pPr>
              <w:widowControl w:val="0"/>
              <w:spacing w:after="0" w:line="400" w:lineRule="exact"/>
              <w:jc w:val="center"/>
              <w:rPr>
                <w:rFonts w:asciiTheme="minorEastAsia" w:hAnsiTheme="minorEastAsia"/>
                <w:szCs w:val="21"/>
              </w:rPr>
            </w:pPr>
            <w:r>
              <w:rPr>
                <w:rFonts w:hint="eastAsia" w:asciiTheme="minorEastAsia" w:hAnsiTheme="minorEastAsia"/>
                <w:szCs w:val="21"/>
              </w:rPr>
              <w:t>计算处理器负荷率：正常状态30分钟内＜30％；突发任务10s内＜60％</w:t>
            </w:r>
          </w:p>
        </w:tc>
        <w:tc>
          <w:tcPr>
            <w:tcW w:w="1129" w:type="dxa"/>
            <w:gridSpan w:val="2"/>
            <w:vAlign w:val="center"/>
          </w:tcPr>
          <w:p w14:paraId="2D424C8B">
            <w:pPr>
              <w:widowControl w:val="0"/>
              <w:spacing w:after="0" w:line="400" w:lineRule="exact"/>
              <w:jc w:val="center"/>
              <w:rPr>
                <w:rFonts w:asciiTheme="minorEastAsia" w:hAnsiTheme="minorEastAsia"/>
                <w:szCs w:val="21"/>
              </w:rPr>
            </w:pPr>
            <w:r>
              <w:rPr>
                <w:rFonts w:hint="eastAsia" w:asciiTheme="minorEastAsia" w:hAnsiTheme="minorEastAsia"/>
                <w:szCs w:val="21"/>
              </w:rPr>
              <w:t>半月</w:t>
            </w:r>
          </w:p>
        </w:tc>
      </w:tr>
      <w:tr w14:paraId="4C34C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959" w:type="dxa"/>
            <w:vAlign w:val="center"/>
          </w:tcPr>
          <w:p w14:paraId="59BB328C">
            <w:pPr>
              <w:widowControl w:val="0"/>
              <w:spacing w:after="0" w:line="400" w:lineRule="exact"/>
              <w:jc w:val="center"/>
              <w:rPr>
                <w:rFonts w:asciiTheme="minorEastAsia" w:hAnsiTheme="minorEastAsia"/>
                <w:szCs w:val="21"/>
              </w:rPr>
            </w:pPr>
            <w:r>
              <w:rPr>
                <w:rFonts w:hint="eastAsia" w:asciiTheme="minorEastAsia" w:hAnsiTheme="minorEastAsia"/>
                <w:szCs w:val="21"/>
              </w:rPr>
              <w:t>2.3</w:t>
            </w:r>
          </w:p>
        </w:tc>
        <w:tc>
          <w:tcPr>
            <w:tcW w:w="1843" w:type="dxa"/>
            <w:vAlign w:val="center"/>
          </w:tcPr>
          <w:p w14:paraId="77213A25">
            <w:pPr>
              <w:widowControl w:val="0"/>
              <w:spacing w:after="0" w:line="400" w:lineRule="exact"/>
              <w:jc w:val="center"/>
              <w:rPr>
                <w:rFonts w:asciiTheme="minorEastAsia" w:hAnsiTheme="minorEastAsia"/>
                <w:szCs w:val="21"/>
              </w:rPr>
            </w:pPr>
            <w:r>
              <w:rPr>
                <w:rFonts w:hint="eastAsia" w:asciiTheme="minorEastAsia" w:hAnsiTheme="minorEastAsia"/>
                <w:szCs w:val="21"/>
              </w:rPr>
              <w:t>内存使用情况</w:t>
            </w:r>
          </w:p>
        </w:tc>
        <w:tc>
          <w:tcPr>
            <w:tcW w:w="4682" w:type="dxa"/>
            <w:gridSpan w:val="2"/>
            <w:vAlign w:val="center"/>
          </w:tcPr>
          <w:p w14:paraId="20D13970">
            <w:pPr>
              <w:widowControl w:val="0"/>
              <w:spacing w:after="0" w:line="400" w:lineRule="exact"/>
              <w:jc w:val="center"/>
              <w:rPr>
                <w:rFonts w:asciiTheme="minorEastAsia" w:hAnsiTheme="minorEastAsia"/>
                <w:szCs w:val="21"/>
              </w:rPr>
            </w:pPr>
            <w:r>
              <w:rPr>
                <w:rFonts w:hint="eastAsia" w:asciiTheme="minorEastAsia" w:hAnsiTheme="minorEastAsia"/>
                <w:szCs w:val="21"/>
              </w:rPr>
              <w:t>计算机内存最大使用率（平均）≤50%，每个月末对通信机进行重启，释放空间。</w:t>
            </w:r>
          </w:p>
        </w:tc>
        <w:tc>
          <w:tcPr>
            <w:tcW w:w="1129" w:type="dxa"/>
            <w:gridSpan w:val="2"/>
            <w:vAlign w:val="center"/>
          </w:tcPr>
          <w:p w14:paraId="0E15B9EE">
            <w:pPr>
              <w:widowControl w:val="0"/>
              <w:spacing w:after="0" w:line="400" w:lineRule="exact"/>
              <w:jc w:val="center"/>
              <w:rPr>
                <w:rFonts w:asciiTheme="minorEastAsia" w:hAnsiTheme="minorEastAsia"/>
                <w:szCs w:val="21"/>
              </w:rPr>
            </w:pPr>
            <w:r>
              <w:rPr>
                <w:rFonts w:hint="eastAsia" w:asciiTheme="minorEastAsia" w:hAnsiTheme="minorEastAsia"/>
                <w:szCs w:val="21"/>
              </w:rPr>
              <w:t>半月</w:t>
            </w:r>
          </w:p>
        </w:tc>
      </w:tr>
      <w:tr w14:paraId="35BCD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959" w:type="dxa"/>
            <w:vAlign w:val="center"/>
          </w:tcPr>
          <w:p w14:paraId="740B4596">
            <w:pPr>
              <w:widowControl w:val="0"/>
              <w:spacing w:after="0" w:line="400" w:lineRule="exact"/>
              <w:jc w:val="center"/>
              <w:rPr>
                <w:rFonts w:asciiTheme="minorEastAsia" w:hAnsiTheme="minorEastAsia"/>
                <w:szCs w:val="21"/>
              </w:rPr>
            </w:pPr>
            <w:r>
              <w:rPr>
                <w:rFonts w:hint="eastAsia" w:asciiTheme="minorEastAsia" w:hAnsiTheme="minorEastAsia"/>
                <w:szCs w:val="21"/>
              </w:rPr>
              <w:t>2.4</w:t>
            </w:r>
          </w:p>
        </w:tc>
        <w:tc>
          <w:tcPr>
            <w:tcW w:w="1843" w:type="dxa"/>
            <w:vAlign w:val="center"/>
          </w:tcPr>
          <w:p w14:paraId="321E6FD7">
            <w:pPr>
              <w:widowControl w:val="0"/>
              <w:spacing w:after="0" w:line="400" w:lineRule="exact"/>
              <w:jc w:val="center"/>
              <w:rPr>
                <w:rFonts w:asciiTheme="minorEastAsia" w:hAnsiTheme="minorEastAsia"/>
                <w:szCs w:val="21"/>
              </w:rPr>
            </w:pPr>
            <w:r>
              <w:rPr>
                <w:rFonts w:hint="eastAsia" w:asciiTheme="minorEastAsia" w:hAnsiTheme="minorEastAsia"/>
                <w:szCs w:val="21"/>
              </w:rPr>
              <w:t>硬盘自由空间情况</w:t>
            </w:r>
          </w:p>
        </w:tc>
        <w:tc>
          <w:tcPr>
            <w:tcW w:w="4682" w:type="dxa"/>
            <w:gridSpan w:val="2"/>
            <w:vAlign w:val="center"/>
          </w:tcPr>
          <w:p w14:paraId="029D2EDF">
            <w:pPr>
              <w:widowControl w:val="0"/>
              <w:spacing w:after="0" w:line="400" w:lineRule="exact"/>
              <w:jc w:val="center"/>
              <w:rPr>
                <w:rFonts w:asciiTheme="minorEastAsia" w:hAnsiTheme="minorEastAsia"/>
                <w:szCs w:val="21"/>
              </w:rPr>
            </w:pPr>
            <w:r>
              <w:rPr>
                <w:rFonts w:hint="eastAsia" w:asciiTheme="minorEastAsia" w:hAnsiTheme="minorEastAsia"/>
                <w:szCs w:val="21"/>
              </w:rPr>
              <w:t>检查磁盘空间，要求存放日志的硬盘要保留至少500MB的自由空间，否则预处理程序会由于写不进日志而停止运行。</w:t>
            </w:r>
          </w:p>
        </w:tc>
        <w:tc>
          <w:tcPr>
            <w:tcW w:w="1129" w:type="dxa"/>
            <w:gridSpan w:val="2"/>
            <w:vAlign w:val="center"/>
          </w:tcPr>
          <w:p w14:paraId="43C92266">
            <w:pPr>
              <w:widowControl w:val="0"/>
              <w:spacing w:after="0" w:line="400" w:lineRule="exact"/>
              <w:jc w:val="center"/>
              <w:rPr>
                <w:rFonts w:asciiTheme="minorEastAsia" w:hAnsiTheme="minorEastAsia"/>
                <w:szCs w:val="21"/>
              </w:rPr>
            </w:pPr>
            <w:r>
              <w:rPr>
                <w:rFonts w:hint="eastAsia" w:asciiTheme="minorEastAsia" w:hAnsiTheme="minorEastAsia"/>
                <w:szCs w:val="21"/>
              </w:rPr>
              <w:t>半月</w:t>
            </w:r>
          </w:p>
        </w:tc>
      </w:tr>
      <w:tr w14:paraId="7CCAC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959" w:type="dxa"/>
            <w:vAlign w:val="center"/>
          </w:tcPr>
          <w:p w14:paraId="57DB4D65">
            <w:pPr>
              <w:widowControl w:val="0"/>
              <w:spacing w:after="0" w:line="400" w:lineRule="exact"/>
              <w:jc w:val="center"/>
              <w:rPr>
                <w:rFonts w:asciiTheme="minorEastAsia" w:hAnsiTheme="minorEastAsia"/>
                <w:szCs w:val="21"/>
              </w:rPr>
            </w:pPr>
            <w:r>
              <w:rPr>
                <w:rFonts w:hint="eastAsia" w:asciiTheme="minorEastAsia" w:hAnsiTheme="minorEastAsia"/>
                <w:szCs w:val="21"/>
              </w:rPr>
              <w:t>2.5</w:t>
            </w:r>
          </w:p>
        </w:tc>
        <w:tc>
          <w:tcPr>
            <w:tcW w:w="1843" w:type="dxa"/>
            <w:vAlign w:val="center"/>
          </w:tcPr>
          <w:p w14:paraId="308B1211">
            <w:pPr>
              <w:widowControl w:val="0"/>
              <w:spacing w:after="0" w:line="400" w:lineRule="exact"/>
              <w:jc w:val="center"/>
              <w:rPr>
                <w:rFonts w:asciiTheme="minorEastAsia" w:hAnsiTheme="minorEastAsia"/>
                <w:szCs w:val="21"/>
              </w:rPr>
            </w:pPr>
            <w:r>
              <w:rPr>
                <w:rFonts w:hint="eastAsia" w:asciiTheme="minorEastAsia" w:hAnsiTheme="minorEastAsia"/>
                <w:szCs w:val="21"/>
              </w:rPr>
              <w:t>服务器运行更替</w:t>
            </w:r>
          </w:p>
        </w:tc>
        <w:tc>
          <w:tcPr>
            <w:tcW w:w="4682" w:type="dxa"/>
            <w:gridSpan w:val="2"/>
            <w:vAlign w:val="center"/>
          </w:tcPr>
          <w:p w14:paraId="5F8E931A">
            <w:pPr>
              <w:widowControl w:val="0"/>
              <w:spacing w:after="0" w:line="400" w:lineRule="exact"/>
              <w:jc w:val="center"/>
              <w:rPr>
                <w:rFonts w:asciiTheme="minorEastAsia" w:hAnsiTheme="minorEastAsia"/>
                <w:szCs w:val="21"/>
              </w:rPr>
            </w:pPr>
            <w:r>
              <w:rPr>
                <w:rFonts w:hint="eastAsia" w:asciiTheme="minorEastAsia" w:hAnsiTheme="minorEastAsia"/>
                <w:szCs w:val="21"/>
              </w:rPr>
              <w:t>每季度对服务器主机和备机轮换上线运行</w:t>
            </w:r>
          </w:p>
        </w:tc>
        <w:tc>
          <w:tcPr>
            <w:tcW w:w="1129" w:type="dxa"/>
            <w:gridSpan w:val="2"/>
            <w:vAlign w:val="center"/>
          </w:tcPr>
          <w:p w14:paraId="4B90EAD9">
            <w:pPr>
              <w:widowControl w:val="0"/>
              <w:spacing w:after="0" w:line="400" w:lineRule="exact"/>
              <w:jc w:val="center"/>
              <w:rPr>
                <w:rFonts w:asciiTheme="minorEastAsia" w:hAnsiTheme="minorEastAsia"/>
                <w:szCs w:val="21"/>
              </w:rPr>
            </w:pPr>
            <w:r>
              <w:rPr>
                <w:rFonts w:hint="eastAsia" w:asciiTheme="minorEastAsia" w:hAnsiTheme="minorEastAsia"/>
                <w:szCs w:val="21"/>
              </w:rPr>
              <w:t>季</w:t>
            </w:r>
          </w:p>
        </w:tc>
      </w:tr>
      <w:tr w14:paraId="0F4BA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959" w:type="dxa"/>
            <w:vAlign w:val="center"/>
          </w:tcPr>
          <w:p w14:paraId="11DF3ABC">
            <w:pPr>
              <w:widowControl w:val="0"/>
              <w:spacing w:after="0" w:line="400" w:lineRule="exact"/>
              <w:jc w:val="center"/>
              <w:rPr>
                <w:rFonts w:asciiTheme="minorEastAsia" w:hAnsiTheme="minorEastAsia"/>
                <w:szCs w:val="21"/>
              </w:rPr>
            </w:pPr>
            <w:r>
              <w:rPr>
                <w:rFonts w:hint="eastAsia" w:asciiTheme="minorEastAsia" w:hAnsiTheme="minorEastAsia"/>
                <w:szCs w:val="21"/>
              </w:rPr>
              <w:t>2.6</w:t>
            </w:r>
          </w:p>
        </w:tc>
        <w:tc>
          <w:tcPr>
            <w:tcW w:w="1843" w:type="dxa"/>
            <w:vAlign w:val="center"/>
          </w:tcPr>
          <w:p w14:paraId="3E71474F">
            <w:pPr>
              <w:widowControl w:val="0"/>
              <w:spacing w:after="0" w:line="400" w:lineRule="exact"/>
              <w:jc w:val="center"/>
              <w:rPr>
                <w:rFonts w:asciiTheme="minorEastAsia" w:hAnsiTheme="minorEastAsia"/>
                <w:szCs w:val="21"/>
              </w:rPr>
            </w:pPr>
            <w:r>
              <w:rPr>
                <w:rFonts w:hint="eastAsia" w:asciiTheme="minorEastAsia" w:hAnsiTheme="minorEastAsia"/>
                <w:szCs w:val="21"/>
              </w:rPr>
              <w:t>服务进程运行情况</w:t>
            </w:r>
          </w:p>
        </w:tc>
        <w:tc>
          <w:tcPr>
            <w:tcW w:w="4682" w:type="dxa"/>
            <w:gridSpan w:val="2"/>
            <w:vAlign w:val="center"/>
          </w:tcPr>
          <w:p w14:paraId="246C7829">
            <w:pPr>
              <w:widowControl w:val="0"/>
              <w:spacing w:after="0" w:line="400" w:lineRule="exact"/>
              <w:jc w:val="center"/>
              <w:rPr>
                <w:rFonts w:asciiTheme="minorEastAsia" w:hAnsiTheme="minorEastAsia"/>
                <w:szCs w:val="21"/>
              </w:rPr>
            </w:pPr>
            <w:r>
              <w:rPr>
                <w:rFonts w:hint="eastAsia" w:asciiTheme="minorEastAsia" w:hAnsiTheme="minorEastAsia"/>
                <w:szCs w:val="21"/>
              </w:rPr>
              <w:t>检查每台服务器进程运行情况，有无暇运行的进程或程序，并及时清理无关进程。</w:t>
            </w:r>
          </w:p>
        </w:tc>
        <w:tc>
          <w:tcPr>
            <w:tcW w:w="1129" w:type="dxa"/>
            <w:gridSpan w:val="2"/>
            <w:vAlign w:val="center"/>
          </w:tcPr>
          <w:p w14:paraId="758D8A04">
            <w:pPr>
              <w:widowControl w:val="0"/>
              <w:spacing w:after="0" w:line="400" w:lineRule="exact"/>
              <w:jc w:val="center"/>
              <w:rPr>
                <w:rFonts w:asciiTheme="minorEastAsia" w:hAnsiTheme="minorEastAsia"/>
                <w:szCs w:val="21"/>
              </w:rPr>
            </w:pPr>
            <w:r>
              <w:rPr>
                <w:rFonts w:hint="eastAsia" w:asciiTheme="minorEastAsia" w:hAnsiTheme="minorEastAsia"/>
                <w:szCs w:val="21"/>
              </w:rPr>
              <w:t>半月</w:t>
            </w:r>
          </w:p>
        </w:tc>
      </w:tr>
      <w:tr w14:paraId="1397A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959" w:type="dxa"/>
            <w:vAlign w:val="center"/>
          </w:tcPr>
          <w:p w14:paraId="0FD34A78">
            <w:pPr>
              <w:widowControl w:val="0"/>
              <w:spacing w:after="0" w:line="400" w:lineRule="exact"/>
              <w:jc w:val="center"/>
              <w:rPr>
                <w:rFonts w:asciiTheme="minorEastAsia" w:hAnsiTheme="minorEastAsia"/>
                <w:szCs w:val="21"/>
              </w:rPr>
            </w:pPr>
            <w:r>
              <w:rPr>
                <w:rFonts w:hint="eastAsia" w:asciiTheme="minorEastAsia" w:hAnsiTheme="minorEastAsia"/>
                <w:szCs w:val="21"/>
              </w:rPr>
              <w:t>2.7</w:t>
            </w:r>
          </w:p>
        </w:tc>
        <w:tc>
          <w:tcPr>
            <w:tcW w:w="1843" w:type="dxa"/>
            <w:vAlign w:val="center"/>
          </w:tcPr>
          <w:p w14:paraId="57CC1117">
            <w:pPr>
              <w:widowControl w:val="0"/>
              <w:spacing w:after="0" w:line="400" w:lineRule="exact"/>
              <w:jc w:val="center"/>
              <w:rPr>
                <w:rFonts w:asciiTheme="minorEastAsia" w:hAnsiTheme="minorEastAsia"/>
                <w:szCs w:val="21"/>
              </w:rPr>
            </w:pPr>
            <w:r>
              <w:rPr>
                <w:rFonts w:hint="eastAsia" w:asciiTheme="minorEastAsia" w:hAnsiTheme="minorEastAsia"/>
                <w:szCs w:val="21"/>
              </w:rPr>
              <w:t>用户连接数检查</w:t>
            </w:r>
          </w:p>
        </w:tc>
        <w:tc>
          <w:tcPr>
            <w:tcW w:w="4682" w:type="dxa"/>
            <w:gridSpan w:val="2"/>
            <w:vAlign w:val="center"/>
          </w:tcPr>
          <w:p w14:paraId="4C58A857">
            <w:pPr>
              <w:widowControl w:val="0"/>
              <w:spacing w:after="0" w:line="400" w:lineRule="exact"/>
              <w:jc w:val="center"/>
              <w:rPr>
                <w:rFonts w:asciiTheme="minorEastAsia" w:hAnsiTheme="minorEastAsia"/>
                <w:szCs w:val="21"/>
              </w:rPr>
            </w:pPr>
            <w:r>
              <w:rPr>
                <w:rFonts w:hint="eastAsia" w:asciiTheme="minorEastAsia" w:hAnsiTheme="minorEastAsia"/>
                <w:szCs w:val="21"/>
              </w:rPr>
              <w:t>要求用户连接数不能达到饱和</w:t>
            </w:r>
          </w:p>
        </w:tc>
        <w:tc>
          <w:tcPr>
            <w:tcW w:w="1129" w:type="dxa"/>
            <w:gridSpan w:val="2"/>
            <w:vAlign w:val="center"/>
          </w:tcPr>
          <w:p w14:paraId="72831DC3">
            <w:pPr>
              <w:widowControl w:val="0"/>
              <w:spacing w:after="0" w:line="400" w:lineRule="exact"/>
              <w:jc w:val="center"/>
              <w:rPr>
                <w:rFonts w:asciiTheme="minorEastAsia" w:hAnsiTheme="minorEastAsia"/>
                <w:szCs w:val="21"/>
              </w:rPr>
            </w:pPr>
            <w:r>
              <w:rPr>
                <w:rFonts w:hint="eastAsia" w:asciiTheme="minorEastAsia" w:hAnsiTheme="minorEastAsia"/>
                <w:szCs w:val="21"/>
              </w:rPr>
              <w:t>半月</w:t>
            </w:r>
          </w:p>
        </w:tc>
      </w:tr>
      <w:tr w14:paraId="44A75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959" w:type="dxa"/>
            <w:vAlign w:val="center"/>
          </w:tcPr>
          <w:p w14:paraId="6024A7E7">
            <w:pPr>
              <w:widowControl w:val="0"/>
              <w:spacing w:after="0" w:line="400" w:lineRule="exact"/>
              <w:jc w:val="center"/>
              <w:rPr>
                <w:rFonts w:asciiTheme="minorEastAsia" w:hAnsiTheme="minorEastAsia"/>
                <w:szCs w:val="21"/>
              </w:rPr>
            </w:pPr>
            <w:r>
              <w:rPr>
                <w:rFonts w:hint="eastAsia" w:asciiTheme="minorEastAsia" w:hAnsiTheme="minorEastAsia"/>
                <w:szCs w:val="21"/>
              </w:rPr>
              <w:t>2.8</w:t>
            </w:r>
          </w:p>
        </w:tc>
        <w:tc>
          <w:tcPr>
            <w:tcW w:w="1843" w:type="dxa"/>
            <w:vAlign w:val="center"/>
          </w:tcPr>
          <w:p w14:paraId="24680D46">
            <w:pPr>
              <w:widowControl w:val="0"/>
              <w:spacing w:after="0" w:line="400" w:lineRule="exact"/>
              <w:jc w:val="center"/>
              <w:rPr>
                <w:rFonts w:asciiTheme="minorEastAsia" w:hAnsiTheme="minorEastAsia"/>
                <w:szCs w:val="21"/>
              </w:rPr>
            </w:pPr>
            <w:r>
              <w:rPr>
                <w:rFonts w:hint="eastAsia" w:asciiTheme="minorEastAsia" w:hAnsiTheme="minorEastAsia"/>
                <w:szCs w:val="21"/>
              </w:rPr>
              <w:t>日志检查</w:t>
            </w:r>
          </w:p>
        </w:tc>
        <w:tc>
          <w:tcPr>
            <w:tcW w:w="4682" w:type="dxa"/>
            <w:gridSpan w:val="2"/>
            <w:vAlign w:val="center"/>
          </w:tcPr>
          <w:p w14:paraId="3BC5BBAC">
            <w:pPr>
              <w:widowControl w:val="0"/>
              <w:spacing w:after="0" w:line="400" w:lineRule="exact"/>
              <w:jc w:val="center"/>
              <w:rPr>
                <w:rFonts w:asciiTheme="minorEastAsia" w:hAnsiTheme="minorEastAsia"/>
                <w:szCs w:val="21"/>
              </w:rPr>
            </w:pPr>
            <w:r>
              <w:rPr>
                <w:rFonts w:hint="eastAsia" w:asciiTheme="minorEastAsia" w:hAnsiTheme="minorEastAsia"/>
                <w:szCs w:val="21"/>
              </w:rPr>
              <w:t>检查并适时清理系统日志中报警记录。查看网管软件中是否有严重报警出现。</w:t>
            </w:r>
          </w:p>
        </w:tc>
        <w:tc>
          <w:tcPr>
            <w:tcW w:w="1129" w:type="dxa"/>
            <w:gridSpan w:val="2"/>
            <w:vAlign w:val="center"/>
          </w:tcPr>
          <w:p w14:paraId="55C5BA54">
            <w:pPr>
              <w:widowControl w:val="0"/>
              <w:spacing w:after="0" w:line="400" w:lineRule="exact"/>
              <w:jc w:val="center"/>
              <w:rPr>
                <w:rFonts w:asciiTheme="minorEastAsia" w:hAnsiTheme="minorEastAsia"/>
                <w:szCs w:val="21"/>
              </w:rPr>
            </w:pPr>
            <w:r>
              <w:rPr>
                <w:rFonts w:hint="eastAsia" w:asciiTheme="minorEastAsia" w:hAnsiTheme="minorEastAsia"/>
                <w:szCs w:val="21"/>
              </w:rPr>
              <w:t>半月</w:t>
            </w:r>
          </w:p>
        </w:tc>
      </w:tr>
      <w:tr w14:paraId="0938D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959" w:type="dxa"/>
            <w:vAlign w:val="center"/>
          </w:tcPr>
          <w:p w14:paraId="4960B3B3">
            <w:pPr>
              <w:widowControl w:val="0"/>
              <w:spacing w:after="0" w:line="400" w:lineRule="exact"/>
              <w:jc w:val="center"/>
              <w:rPr>
                <w:rFonts w:asciiTheme="minorEastAsia" w:hAnsiTheme="minorEastAsia"/>
                <w:szCs w:val="21"/>
              </w:rPr>
            </w:pPr>
            <w:r>
              <w:rPr>
                <w:rFonts w:hint="eastAsia" w:asciiTheme="minorEastAsia" w:hAnsiTheme="minorEastAsia"/>
                <w:szCs w:val="21"/>
              </w:rPr>
              <w:t>3</w:t>
            </w:r>
          </w:p>
        </w:tc>
        <w:tc>
          <w:tcPr>
            <w:tcW w:w="7654" w:type="dxa"/>
            <w:gridSpan w:val="5"/>
            <w:vAlign w:val="center"/>
          </w:tcPr>
          <w:p w14:paraId="2DA2CF12">
            <w:pPr>
              <w:widowControl w:val="0"/>
              <w:spacing w:after="0" w:line="400" w:lineRule="exact"/>
              <w:jc w:val="center"/>
              <w:rPr>
                <w:rFonts w:asciiTheme="minorEastAsia" w:hAnsiTheme="minorEastAsia"/>
                <w:szCs w:val="21"/>
              </w:rPr>
            </w:pPr>
            <w:r>
              <w:rPr>
                <w:rFonts w:hint="eastAsia" w:asciiTheme="minorEastAsia" w:hAnsiTheme="minorEastAsia"/>
                <w:szCs w:val="21"/>
              </w:rPr>
              <w:t>磁盘阵列</w:t>
            </w:r>
          </w:p>
        </w:tc>
      </w:tr>
      <w:tr w14:paraId="0B9D5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959" w:type="dxa"/>
            <w:vAlign w:val="center"/>
          </w:tcPr>
          <w:p w14:paraId="61551DE7">
            <w:pPr>
              <w:widowControl w:val="0"/>
              <w:spacing w:after="0" w:line="400" w:lineRule="exact"/>
              <w:jc w:val="center"/>
              <w:rPr>
                <w:rFonts w:asciiTheme="minorEastAsia" w:hAnsiTheme="minorEastAsia"/>
                <w:szCs w:val="21"/>
              </w:rPr>
            </w:pPr>
            <w:r>
              <w:rPr>
                <w:rFonts w:hint="eastAsia" w:asciiTheme="minorEastAsia" w:hAnsiTheme="minorEastAsia"/>
                <w:szCs w:val="21"/>
              </w:rPr>
              <w:t>3.1</w:t>
            </w:r>
          </w:p>
        </w:tc>
        <w:tc>
          <w:tcPr>
            <w:tcW w:w="1843" w:type="dxa"/>
            <w:vAlign w:val="center"/>
          </w:tcPr>
          <w:p w14:paraId="7391E2B2">
            <w:pPr>
              <w:widowControl w:val="0"/>
              <w:spacing w:after="0" w:line="400" w:lineRule="exact"/>
              <w:jc w:val="center"/>
              <w:rPr>
                <w:rFonts w:asciiTheme="minorEastAsia" w:hAnsiTheme="minorEastAsia"/>
                <w:szCs w:val="21"/>
              </w:rPr>
            </w:pPr>
            <w:r>
              <w:rPr>
                <w:rFonts w:hint="eastAsia" w:asciiTheme="minorEastAsia" w:hAnsiTheme="minorEastAsia"/>
                <w:szCs w:val="21"/>
              </w:rPr>
              <w:t>面板指示灯状态</w:t>
            </w:r>
          </w:p>
        </w:tc>
        <w:tc>
          <w:tcPr>
            <w:tcW w:w="4682" w:type="dxa"/>
            <w:gridSpan w:val="2"/>
            <w:vAlign w:val="center"/>
          </w:tcPr>
          <w:p w14:paraId="62007393">
            <w:pPr>
              <w:widowControl w:val="0"/>
              <w:spacing w:after="0" w:line="400" w:lineRule="exact"/>
              <w:jc w:val="center"/>
              <w:rPr>
                <w:rFonts w:asciiTheme="minorEastAsia" w:hAnsiTheme="minorEastAsia"/>
                <w:szCs w:val="21"/>
              </w:rPr>
            </w:pPr>
            <w:r>
              <w:rPr>
                <w:rFonts w:hint="eastAsia" w:asciiTheme="minorEastAsia" w:hAnsiTheme="minorEastAsia"/>
                <w:szCs w:val="21"/>
              </w:rPr>
              <w:t>观察、检查指示灯状态，状态颜色是否正常</w:t>
            </w:r>
          </w:p>
        </w:tc>
        <w:tc>
          <w:tcPr>
            <w:tcW w:w="1129" w:type="dxa"/>
            <w:gridSpan w:val="2"/>
            <w:vAlign w:val="center"/>
          </w:tcPr>
          <w:p w14:paraId="1E0D1226">
            <w:pPr>
              <w:widowControl w:val="0"/>
              <w:spacing w:after="0" w:line="400" w:lineRule="exact"/>
              <w:jc w:val="center"/>
              <w:rPr>
                <w:rFonts w:asciiTheme="minorEastAsia" w:hAnsiTheme="minorEastAsia"/>
                <w:szCs w:val="21"/>
              </w:rPr>
            </w:pPr>
            <w:r>
              <w:rPr>
                <w:rFonts w:hint="eastAsia" w:asciiTheme="minorEastAsia" w:hAnsiTheme="minorEastAsia"/>
                <w:szCs w:val="21"/>
              </w:rPr>
              <w:t>半月</w:t>
            </w:r>
          </w:p>
        </w:tc>
      </w:tr>
      <w:tr w14:paraId="60263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959" w:type="dxa"/>
            <w:vAlign w:val="center"/>
          </w:tcPr>
          <w:p w14:paraId="38E9A39F">
            <w:pPr>
              <w:widowControl w:val="0"/>
              <w:spacing w:after="0" w:line="400" w:lineRule="exact"/>
              <w:jc w:val="center"/>
              <w:rPr>
                <w:rFonts w:asciiTheme="minorEastAsia" w:hAnsiTheme="minorEastAsia"/>
                <w:szCs w:val="21"/>
              </w:rPr>
            </w:pPr>
            <w:r>
              <w:rPr>
                <w:rFonts w:hint="eastAsia" w:asciiTheme="minorEastAsia" w:hAnsiTheme="minorEastAsia"/>
                <w:szCs w:val="21"/>
              </w:rPr>
              <w:t>3.2</w:t>
            </w:r>
          </w:p>
        </w:tc>
        <w:tc>
          <w:tcPr>
            <w:tcW w:w="1843" w:type="dxa"/>
            <w:vAlign w:val="center"/>
          </w:tcPr>
          <w:p w14:paraId="4C88940C">
            <w:pPr>
              <w:widowControl w:val="0"/>
              <w:spacing w:after="0" w:line="400" w:lineRule="exact"/>
              <w:jc w:val="center"/>
              <w:rPr>
                <w:rFonts w:asciiTheme="minorEastAsia" w:hAnsiTheme="minorEastAsia"/>
                <w:szCs w:val="21"/>
              </w:rPr>
            </w:pPr>
            <w:r>
              <w:rPr>
                <w:rFonts w:hint="eastAsia" w:asciiTheme="minorEastAsia" w:hAnsiTheme="minorEastAsia"/>
                <w:szCs w:val="21"/>
              </w:rPr>
              <w:t>每块盘阵清洁情况</w:t>
            </w:r>
          </w:p>
        </w:tc>
        <w:tc>
          <w:tcPr>
            <w:tcW w:w="4682" w:type="dxa"/>
            <w:gridSpan w:val="2"/>
            <w:vAlign w:val="center"/>
          </w:tcPr>
          <w:p w14:paraId="792CC128">
            <w:pPr>
              <w:widowControl w:val="0"/>
              <w:spacing w:after="0" w:line="400" w:lineRule="exact"/>
              <w:jc w:val="center"/>
              <w:rPr>
                <w:rFonts w:asciiTheme="minorEastAsia" w:hAnsiTheme="minorEastAsia"/>
                <w:szCs w:val="21"/>
              </w:rPr>
            </w:pPr>
            <w:r>
              <w:rPr>
                <w:rFonts w:hint="eastAsia" w:asciiTheme="minorEastAsia" w:hAnsiTheme="minorEastAsia"/>
                <w:szCs w:val="21"/>
              </w:rPr>
              <w:t>仔细小心地对每块盘表面做保洁工作</w:t>
            </w:r>
          </w:p>
        </w:tc>
        <w:tc>
          <w:tcPr>
            <w:tcW w:w="1129" w:type="dxa"/>
            <w:gridSpan w:val="2"/>
            <w:vAlign w:val="center"/>
          </w:tcPr>
          <w:p w14:paraId="014FD3A6">
            <w:pPr>
              <w:widowControl w:val="0"/>
              <w:spacing w:after="0" w:line="400" w:lineRule="exact"/>
              <w:jc w:val="center"/>
              <w:rPr>
                <w:rFonts w:asciiTheme="minorEastAsia" w:hAnsiTheme="minorEastAsia"/>
                <w:szCs w:val="21"/>
              </w:rPr>
            </w:pPr>
            <w:r>
              <w:rPr>
                <w:rFonts w:hint="eastAsia" w:asciiTheme="minorEastAsia" w:hAnsiTheme="minorEastAsia"/>
                <w:szCs w:val="21"/>
              </w:rPr>
              <w:t>年</w:t>
            </w:r>
          </w:p>
        </w:tc>
      </w:tr>
      <w:tr w14:paraId="69C04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959" w:type="dxa"/>
            <w:vAlign w:val="center"/>
          </w:tcPr>
          <w:p w14:paraId="688E8ECF">
            <w:pPr>
              <w:widowControl w:val="0"/>
              <w:spacing w:after="0" w:line="400" w:lineRule="exact"/>
              <w:jc w:val="center"/>
              <w:rPr>
                <w:rFonts w:asciiTheme="minorEastAsia" w:hAnsiTheme="minorEastAsia"/>
                <w:szCs w:val="21"/>
              </w:rPr>
            </w:pPr>
            <w:r>
              <w:rPr>
                <w:rFonts w:hint="eastAsia" w:asciiTheme="minorEastAsia" w:hAnsiTheme="minorEastAsia"/>
                <w:szCs w:val="21"/>
              </w:rPr>
              <w:t>3.3</w:t>
            </w:r>
          </w:p>
        </w:tc>
        <w:tc>
          <w:tcPr>
            <w:tcW w:w="1843" w:type="dxa"/>
            <w:vAlign w:val="center"/>
          </w:tcPr>
          <w:p w14:paraId="15F659AA">
            <w:pPr>
              <w:widowControl w:val="0"/>
              <w:spacing w:after="0" w:line="400" w:lineRule="exact"/>
              <w:jc w:val="center"/>
              <w:rPr>
                <w:rFonts w:asciiTheme="minorEastAsia" w:hAnsiTheme="minorEastAsia"/>
                <w:szCs w:val="21"/>
              </w:rPr>
            </w:pPr>
            <w:r>
              <w:rPr>
                <w:rFonts w:hint="eastAsia" w:asciiTheme="minorEastAsia" w:hAnsiTheme="minorEastAsia"/>
                <w:szCs w:val="21"/>
              </w:rPr>
              <w:t>磁盘空间情况</w:t>
            </w:r>
          </w:p>
        </w:tc>
        <w:tc>
          <w:tcPr>
            <w:tcW w:w="4682" w:type="dxa"/>
            <w:gridSpan w:val="2"/>
            <w:vAlign w:val="center"/>
          </w:tcPr>
          <w:p w14:paraId="0C97ECD8">
            <w:pPr>
              <w:widowControl w:val="0"/>
              <w:spacing w:after="0" w:line="400" w:lineRule="exact"/>
              <w:jc w:val="center"/>
              <w:rPr>
                <w:rFonts w:asciiTheme="minorEastAsia" w:hAnsiTheme="minorEastAsia"/>
                <w:szCs w:val="21"/>
              </w:rPr>
            </w:pPr>
            <w:r>
              <w:rPr>
                <w:rFonts w:hint="eastAsia" w:asciiTheme="minorEastAsia" w:hAnsiTheme="minorEastAsia"/>
                <w:szCs w:val="21"/>
              </w:rPr>
              <w:t>检查磁盘总空间，要求盘空间要保留至少500MB自由空间</w:t>
            </w:r>
          </w:p>
        </w:tc>
        <w:tc>
          <w:tcPr>
            <w:tcW w:w="1129" w:type="dxa"/>
            <w:gridSpan w:val="2"/>
            <w:vAlign w:val="center"/>
          </w:tcPr>
          <w:p w14:paraId="5C3928EB">
            <w:pPr>
              <w:widowControl w:val="0"/>
              <w:spacing w:after="0" w:line="400" w:lineRule="exact"/>
              <w:jc w:val="center"/>
              <w:rPr>
                <w:rFonts w:asciiTheme="minorEastAsia" w:hAnsiTheme="minorEastAsia"/>
                <w:szCs w:val="21"/>
              </w:rPr>
            </w:pPr>
            <w:r>
              <w:rPr>
                <w:rFonts w:hint="eastAsia" w:asciiTheme="minorEastAsia" w:hAnsiTheme="minorEastAsia"/>
                <w:szCs w:val="21"/>
              </w:rPr>
              <w:t>半月</w:t>
            </w:r>
          </w:p>
        </w:tc>
      </w:tr>
      <w:tr w14:paraId="6CDD7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959" w:type="dxa"/>
            <w:vAlign w:val="center"/>
          </w:tcPr>
          <w:p w14:paraId="65CD2737">
            <w:pPr>
              <w:widowControl w:val="0"/>
              <w:spacing w:after="0" w:line="400" w:lineRule="exact"/>
              <w:jc w:val="center"/>
              <w:rPr>
                <w:rFonts w:asciiTheme="minorEastAsia" w:hAnsiTheme="minorEastAsia"/>
                <w:szCs w:val="21"/>
              </w:rPr>
            </w:pPr>
            <w:r>
              <w:rPr>
                <w:rFonts w:hint="eastAsia" w:asciiTheme="minorEastAsia" w:hAnsiTheme="minorEastAsia"/>
                <w:szCs w:val="21"/>
              </w:rPr>
              <w:t>3.4</w:t>
            </w:r>
          </w:p>
        </w:tc>
        <w:tc>
          <w:tcPr>
            <w:tcW w:w="1843" w:type="dxa"/>
            <w:vAlign w:val="center"/>
          </w:tcPr>
          <w:p w14:paraId="539C8C09">
            <w:pPr>
              <w:widowControl w:val="0"/>
              <w:spacing w:after="0" w:line="400" w:lineRule="exact"/>
              <w:jc w:val="center"/>
              <w:rPr>
                <w:rFonts w:asciiTheme="minorEastAsia" w:hAnsiTheme="minorEastAsia"/>
                <w:szCs w:val="21"/>
              </w:rPr>
            </w:pPr>
            <w:r>
              <w:rPr>
                <w:rFonts w:hint="eastAsia" w:asciiTheme="minorEastAsia" w:hAnsiTheme="minorEastAsia"/>
                <w:szCs w:val="21"/>
              </w:rPr>
              <w:t>日志检查</w:t>
            </w:r>
          </w:p>
        </w:tc>
        <w:tc>
          <w:tcPr>
            <w:tcW w:w="4682" w:type="dxa"/>
            <w:gridSpan w:val="2"/>
            <w:vAlign w:val="center"/>
          </w:tcPr>
          <w:p w14:paraId="697DD8E1">
            <w:pPr>
              <w:widowControl w:val="0"/>
              <w:spacing w:after="0" w:line="400" w:lineRule="exact"/>
              <w:jc w:val="center"/>
              <w:rPr>
                <w:rFonts w:asciiTheme="minorEastAsia" w:hAnsiTheme="minorEastAsia"/>
                <w:szCs w:val="21"/>
              </w:rPr>
            </w:pPr>
            <w:r>
              <w:rPr>
                <w:rFonts w:hint="eastAsia" w:asciiTheme="minorEastAsia" w:hAnsiTheme="minorEastAsia"/>
                <w:szCs w:val="21"/>
              </w:rPr>
              <w:t>查看网管软件中是否有严重报警信息</w:t>
            </w:r>
          </w:p>
        </w:tc>
        <w:tc>
          <w:tcPr>
            <w:tcW w:w="1129" w:type="dxa"/>
            <w:gridSpan w:val="2"/>
            <w:vAlign w:val="center"/>
          </w:tcPr>
          <w:p w14:paraId="7E019E11">
            <w:pPr>
              <w:widowControl w:val="0"/>
              <w:spacing w:after="0" w:line="400" w:lineRule="exact"/>
              <w:jc w:val="center"/>
              <w:rPr>
                <w:rFonts w:asciiTheme="minorEastAsia" w:hAnsiTheme="minorEastAsia"/>
                <w:szCs w:val="21"/>
              </w:rPr>
            </w:pPr>
            <w:r>
              <w:rPr>
                <w:rFonts w:hint="eastAsia" w:asciiTheme="minorEastAsia" w:hAnsiTheme="minorEastAsia"/>
                <w:szCs w:val="21"/>
              </w:rPr>
              <w:t>半月</w:t>
            </w:r>
          </w:p>
        </w:tc>
      </w:tr>
      <w:tr w14:paraId="2211F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2" w:hRule="atLeast"/>
          <w:jc w:val="center"/>
        </w:trPr>
        <w:tc>
          <w:tcPr>
            <w:tcW w:w="959" w:type="dxa"/>
            <w:vAlign w:val="center"/>
          </w:tcPr>
          <w:p w14:paraId="108D1BAC">
            <w:pPr>
              <w:widowControl w:val="0"/>
              <w:spacing w:after="0" w:line="400" w:lineRule="exact"/>
              <w:jc w:val="center"/>
              <w:rPr>
                <w:rFonts w:asciiTheme="minorEastAsia" w:hAnsiTheme="minorEastAsia"/>
                <w:szCs w:val="21"/>
              </w:rPr>
            </w:pPr>
            <w:r>
              <w:rPr>
                <w:rFonts w:hint="eastAsia" w:asciiTheme="minorEastAsia" w:hAnsiTheme="minorEastAsia"/>
                <w:szCs w:val="21"/>
              </w:rPr>
              <w:t>4</w:t>
            </w:r>
          </w:p>
        </w:tc>
        <w:tc>
          <w:tcPr>
            <w:tcW w:w="7654" w:type="dxa"/>
            <w:gridSpan w:val="5"/>
            <w:vAlign w:val="center"/>
          </w:tcPr>
          <w:p w14:paraId="4F3BF395">
            <w:pPr>
              <w:widowControl w:val="0"/>
              <w:spacing w:after="0" w:line="400" w:lineRule="exact"/>
              <w:jc w:val="center"/>
              <w:rPr>
                <w:rFonts w:asciiTheme="minorEastAsia" w:hAnsiTheme="minorEastAsia"/>
                <w:szCs w:val="21"/>
              </w:rPr>
            </w:pPr>
            <w:r>
              <w:rPr>
                <w:rFonts w:hint="eastAsia" w:asciiTheme="minorEastAsia" w:hAnsiTheme="minorEastAsia"/>
                <w:szCs w:val="21"/>
              </w:rPr>
              <w:t>相关软件维护</w:t>
            </w:r>
          </w:p>
        </w:tc>
      </w:tr>
      <w:tr w14:paraId="4C977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6" w:type="dxa"/>
          <w:trHeight w:val="794" w:hRule="atLeast"/>
          <w:jc w:val="center"/>
        </w:trPr>
        <w:tc>
          <w:tcPr>
            <w:tcW w:w="959" w:type="dxa"/>
            <w:vAlign w:val="center"/>
          </w:tcPr>
          <w:p w14:paraId="1C5AD472">
            <w:pPr>
              <w:widowControl w:val="0"/>
              <w:spacing w:after="0" w:line="400" w:lineRule="exact"/>
              <w:jc w:val="center"/>
              <w:rPr>
                <w:rFonts w:asciiTheme="minorEastAsia" w:hAnsiTheme="minorEastAsia"/>
                <w:szCs w:val="21"/>
              </w:rPr>
            </w:pPr>
            <w:r>
              <w:rPr>
                <w:rFonts w:hint="eastAsia" w:asciiTheme="minorEastAsia" w:hAnsiTheme="minorEastAsia"/>
                <w:szCs w:val="21"/>
              </w:rPr>
              <w:t>4.1</w:t>
            </w:r>
          </w:p>
        </w:tc>
        <w:tc>
          <w:tcPr>
            <w:tcW w:w="1843" w:type="dxa"/>
            <w:vAlign w:val="center"/>
          </w:tcPr>
          <w:p w14:paraId="27E62B46">
            <w:pPr>
              <w:widowControl w:val="0"/>
              <w:spacing w:after="0" w:line="400" w:lineRule="exact"/>
              <w:jc w:val="center"/>
              <w:rPr>
                <w:rFonts w:asciiTheme="minorEastAsia" w:hAnsiTheme="minorEastAsia"/>
                <w:szCs w:val="21"/>
              </w:rPr>
            </w:pPr>
            <w:r>
              <w:rPr>
                <w:rFonts w:hint="eastAsia" w:asciiTheme="minorEastAsia" w:hAnsiTheme="minorEastAsia"/>
                <w:szCs w:val="21"/>
              </w:rPr>
              <w:t>系统安全性检查</w:t>
            </w:r>
          </w:p>
        </w:tc>
        <w:tc>
          <w:tcPr>
            <w:tcW w:w="4639" w:type="dxa"/>
            <w:vAlign w:val="center"/>
          </w:tcPr>
          <w:p w14:paraId="5313368F">
            <w:pPr>
              <w:widowControl w:val="0"/>
              <w:spacing w:after="0" w:line="400" w:lineRule="exact"/>
              <w:jc w:val="center"/>
              <w:rPr>
                <w:rFonts w:asciiTheme="minorEastAsia" w:hAnsiTheme="minorEastAsia"/>
                <w:szCs w:val="21"/>
              </w:rPr>
            </w:pPr>
            <w:r>
              <w:rPr>
                <w:rFonts w:hint="eastAsia" w:asciiTheme="minorEastAsia" w:hAnsiTheme="minorEastAsia"/>
                <w:szCs w:val="21"/>
              </w:rPr>
              <w:t>系统软件的安全级别符合《计算机信息系统安全保护等级划分准则》（GB17859）的有关规定。定期更换系统密码，定期核准用户权限，防止系统出现越权访问。定期进行IP地址测试，检测非法用户，防止非法用户入侵。</w:t>
            </w:r>
          </w:p>
        </w:tc>
        <w:tc>
          <w:tcPr>
            <w:tcW w:w="1076" w:type="dxa"/>
            <w:gridSpan w:val="2"/>
            <w:vAlign w:val="center"/>
          </w:tcPr>
          <w:p w14:paraId="25099038">
            <w:pPr>
              <w:widowControl w:val="0"/>
              <w:spacing w:after="0" w:line="400" w:lineRule="exact"/>
              <w:jc w:val="center"/>
              <w:rPr>
                <w:rFonts w:asciiTheme="minorEastAsia" w:hAnsiTheme="minorEastAsia"/>
                <w:szCs w:val="21"/>
              </w:rPr>
            </w:pPr>
            <w:r>
              <w:rPr>
                <w:rFonts w:hint="eastAsia" w:asciiTheme="minorEastAsia" w:hAnsiTheme="minorEastAsia"/>
                <w:szCs w:val="21"/>
              </w:rPr>
              <w:t>半年</w:t>
            </w:r>
          </w:p>
        </w:tc>
      </w:tr>
      <w:tr w14:paraId="50C62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6" w:type="dxa"/>
          <w:trHeight w:val="794" w:hRule="atLeast"/>
          <w:jc w:val="center"/>
        </w:trPr>
        <w:tc>
          <w:tcPr>
            <w:tcW w:w="959" w:type="dxa"/>
            <w:vAlign w:val="center"/>
          </w:tcPr>
          <w:p w14:paraId="1256251A">
            <w:pPr>
              <w:widowControl w:val="0"/>
              <w:spacing w:after="0" w:line="400" w:lineRule="exact"/>
              <w:jc w:val="center"/>
              <w:rPr>
                <w:rFonts w:asciiTheme="minorEastAsia" w:hAnsiTheme="minorEastAsia"/>
                <w:szCs w:val="21"/>
              </w:rPr>
            </w:pPr>
            <w:r>
              <w:rPr>
                <w:rFonts w:hint="eastAsia" w:asciiTheme="minorEastAsia" w:hAnsiTheme="minorEastAsia"/>
                <w:szCs w:val="21"/>
              </w:rPr>
              <w:t>4.2</w:t>
            </w:r>
          </w:p>
        </w:tc>
        <w:tc>
          <w:tcPr>
            <w:tcW w:w="1843" w:type="dxa"/>
            <w:vAlign w:val="center"/>
          </w:tcPr>
          <w:p w14:paraId="192859D3">
            <w:pPr>
              <w:widowControl w:val="0"/>
              <w:spacing w:after="0" w:line="400" w:lineRule="exact"/>
              <w:jc w:val="center"/>
              <w:rPr>
                <w:rFonts w:asciiTheme="minorEastAsia" w:hAnsiTheme="minorEastAsia"/>
                <w:szCs w:val="21"/>
              </w:rPr>
            </w:pPr>
            <w:r>
              <w:rPr>
                <w:rFonts w:hint="eastAsia" w:asciiTheme="minorEastAsia" w:hAnsiTheme="minorEastAsia"/>
                <w:szCs w:val="21"/>
              </w:rPr>
              <w:t>主机状况检查</w:t>
            </w:r>
          </w:p>
        </w:tc>
        <w:tc>
          <w:tcPr>
            <w:tcW w:w="4639" w:type="dxa"/>
            <w:vAlign w:val="center"/>
          </w:tcPr>
          <w:p w14:paraId="41DA59C4">
            <w:pPr>
              <w:widowControl w:val="0"/>
              <w:spacing w:after="0" w:line="400" w:lineRule="exact"/>
              <w:jc w:val="center"/>
              <w:rPr>
                <w:rFonts w:asciiTheme="minorEastAsia" w:hAnsiTheme="minorEastAsia"/>
                <w:szCs w:val="21"/>
              </w:rPr>
            </w:pPr>
            <w:r>
              <w:rPr>
                <w:rFonts w:hint="eastAsia" w:asciiTheme="minorEastAsia" w:hAnsiTheme="minorEastAsia"/>
                <w:szCs w:val="21"/>
              </w:rPr>
              <w:t>定期检查主机系统运行状况，对主机系统安全进行监控和安全状况评估</w:t>
            </w:r>
          </w:p>
        </w:tc>
        <w:tc>
          <w:tcPr>
            <w:tcW w:w="1076" w:type="dxa"/>
            <w:gridSpan w:val="2"/>
            <w:vAlign w:val="center"/>
          </w:tcPr>
          <w:p w14:paraId="0BF54367">
            <w:pPr>
              <w:widowControl w:val="0"/>
              <w:spacing w:after="0" w:line="400" w:lineRule="exact"/>
              <w:jc w:val="center"/>
              <w:rPr>
                <w:rFonts w:asciiTheme="minorEastAsia" w:hAnsiTheme="minorEastAsia"/>
                <w:szCs w:val="21"/>
              </w:rPr>
            </w:pPr>
            <w:r>
              <w:rPr>
                <w:rFonts w:hint="eastAsia" w:asciiTheme="minorEastAsia" w:hAnsiTheme="minorEastAsia"/>
                <w:szCs w:val="21"/>
              </w:rPr>
              <w:t>季</w:t>
            </w:r>
          </w:p>
        </w:tc>
      </w:tr>
      <w:tr w14:paraId="228DE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6" w:type="dxa"/>
          <w:trHeight w:val="794" w:hRule="atLeast"/>
          <w:jc w:val="center"/>
        </w:trPr>
        <w:tc>
          <w:tcPr>
            <w:tcW w:w="959" w:type="dxa"/>
            <w:vAlign w:val="center"/>
          </w:tcPr>
          <w:p w14:paraId="72CD5AD7">
            <w:pPr>
              <w:widowControl w:val="0"/>
              <w:spacing w:after="0" w:line="400" w:lineRule="exact"/>
              <w:jc w:val="center"/>
              <w:rPr>
                <w:rFonts w:asciiTheme="minorEastAsia" w:hAnsiTheme="minorEastAsia"/>
                <w:szCs w:val="21"/>
              </w:rPr>
            </w:pPr>
            <w:r>
              <w:rPr>
                <w:rFonts w:hint="eastAsia" w:asciiTheme="minorEastAsia" w:hAnsiTheme="minorEastAsia"/>
                <w:szCs w:val="21"/>
              </w:rPr>
              <w:t>4.3</w:t>
            </w:r>
          </w:p>
        </w:tc>
        <w:tc>
          <w:tcPr>
            <w:tcW w:w="1843" w:type="dxa"/>
            <w:vAlign w:val="center"/>
          </w:tcPr>
          <w:p w14:paraId="4E2F1A91">
            <w:pPr>
              <w:widowControl w:val="0"/>
              <w:spacing w:after="0" w:line="400" w:lineRule="exact"/>
              <w:jc w:val="center"/>
              <w:rPr>
                <w:rFonts w:asciiTheme="minorEastAsia" w:hAnsiTheme="minorEastAsia"/>
                <w:szCs w:val="21"/>
              </w:rPr>
            </w:pPr>
            <w:r>
              <w:rPr>
                <w:rFonts w:hint="eastAsia" w:asciiTheme="minorEastAsia" w:hAnsiTheme="minorEastAsia"/>
                <w:szCs w:val="21"/>
              </w:rPr>
              <w:t>网络状况检查</w:t>
            </w:r>
          </w:p>
        </w:tc>
        <w:tc>
          <w:tcPr>
            <w:tcW w:w="4639" w:type="dxa"/>
            <w:vAlign w:val="center"/>
          </w:tcPr>
          <w:p w14:paraId="16896714">
            <w:pPr>
              <w:widowControl w:val="0"/>
              <w:spacing w:after="0" w:line="400" w:lineRule="exact"/>
              <w:jc w:val="center"/>
              <w:rPr>
                <w:rFonts w:asciiTheme="minorEastAsia" w:hAnsiTheme="minorEastAsia"/>
                <w:szCs w:val="21"/>
              </w:rPr>
            </w:pPr>
            <w:r>
              <w:rPr>
                <w:rFonts w:hint="eastAsia" w:asciiTheme="minorEastAsia" w:hAnsiTheme="minorEastAsia"/>
                <w:szCs w:val="21"/>
              </w:rPr>
              <w:t>检查网络运行状况，对网络安全进行监控和安全状况评估，杜绝网络中断事件的发生。</w:t>
            </w:r>
          </w:p>
        </w:tc>
        <w:tc>
          <w:tcPr>
            <w:tcW w:w="1076" w:type="dxa"/>
            <w:gridSpan w:val="2"/>
            <w:vAlign w:val="center"/>
          </w:tcPr>
          <w:p w14:paraId="6133DB3E">
            <w:pPr>
              <w:widowControl w:val="0"/>
              <w:spacing w:after="0" w:line="400" w:lineRule="exact"/>
              <w:jc w:val="center"/>
              <w:rPr>
                <w:rFonts w:asciiTheme="minorEastAsia" w:hAnsiTheme="minorEastAsia"/>
                <w:szCs w:val="21"/>
              </w:rPr>
            </w:pPr>
            <w:r>
              <w:rPr>
                <w:rFonts w:hint="eastAsia" w:asciiTheme="minorEastAsia" w:hAnsiTheme="minorEastAsia"/>
                <w:szCs w:val="21"/>
              </w:rPr>
              <w:t>季</w:t>
            </w:r>
          </w:p>
        </w:tc>
      </w:tr>
      <w:tr w14:paraId="5609E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6" w:type="dxa"/>
          <w:trHeight w:val="794" w:hRule="atLeast"/>
          <w:jc w:val="center"/>
        </w:trPr>
        <w:tc>
          <w:tcPr>
            <w:tcW w:w="959" w:type="dxa"/>
            <w:vAlign w:val="center"/>
          </w:tcPr>
          <w:p w14:paraId="1284D028">
            <w:pPr>
              <w:widowControl w:val="0"/>
              <w:spacing w:after="0" w:line="400" w:lineRule="exact"/>
              <w:jc w:val="center"/>
              <w:rPr>
                <w:rFonts w:asciiTheme="minorEastAsia" w:hAnsiTheme="minorEastAsia"/>
                <w:szCs w:val="21"/>
              </w:rPr>
            </w:pPr>
            <w:r>
              <w:rPr>
                <w:rFonts w:hint="eastAsia" w:asciiTheme="minorEastAsia" w:hAnsiTheme="minorEastAsia"/>
                <w:szCs w:val="21"/>
              </w:rPr>
              <w:t>4.4</w:t>
            </w:r>
          </w:p>
        </w:tc>
        <w:tc>
          <w:tcPr>
            <w:tcW w:w="1843" w:type="dxa"/>
            <w:vAlign w:val="center"/>
          </w:tcPr>
          <w:p w14:paraId="5E9D320E">
            <w:pPr>
              <w:widowControl w:val="0"/>
              <w:spacing w:after="0" w:line="400" w:lineRule="exact"/>
              <w:jc w:val="center"/>
              <w:rPr>
                <w:rFonts w:asciiTheme="minorEastAsia" w:hAnsiTheme="minorEastAsia"/>
                <w:szCs w:val="21"/>
              </w:rPr>
            </w:pPr>
            <w:r>
              <w:rPr>
                <w:rFonts w:hint="eastAsia" w:asciiTheme="minorEastAsia" w:hAnsiTheme="minorEastAsia"/>
                <w:szCs w:val="21"/>
              </w:rPr>
              <w:t>软件运行状态检查</w:t>
            </w:r>
          </w:p>
        </w:tc>
        <w:tc>
          <w:tcPr>
            <w:tcW w:w="4639" w:type="dxa"/>
            <w:vAlign w:val="center"/>
          </w:tcPr>
          <w:p w14:paraId="7CBBC51C">
            <w:pPr>
              <w:widowControl w:val="0"/>
              <w:spacing w:after="0" w:line="400" w:lineRule="exact"/>
              <w:jc w:val="center"/>
              <w:rPr>
                <w:rFonts w:asciiTheme="minorEastAsia" w:hAnsiTheme="minorEastAsia"/>
                <w:szCs w:val="21"/>
              </w:rPr>
            </w:pPr>
            <w:r>
              <w:rPr>
                <w:rFonts w:hint="eastAsia" w:asciiTheme="minorEastAsia" w:hAnsiTheme="minorEastAsia"/>
                <w:szCs w:val="21"/>
              </w:rPr>
              <w:t>要求服务器端和相关客户端的软件运行稳定，软件无卡机和假运行现象。</w:t>
            </w:r>
          </w:p>
        </w:tc>
        <w:tc>
          <w:tcPr>
            <w:tcW w:w="1076" w:type="dxa"/>
            <w:gridSpan w:val="2"/>
            <w:vAlign w:val="center"/>
          </w:tcPr>
          <w:p w14:paraId="5B478E72">
            <w:pPr>
              <w:widowControl w:val="0"/>
              <w:spacing w:after="0" w:line="400" w:lineRule="exact"/>
              <w:jc w:val="center"/>
              <w:rPr>
                <w:rFonts w:asciiTheme="minorEastAsia" w:hAnsiTheme="minorEastAsia"/>
                <w:szCs w:val="21"/>
              </w:rPr>
            </w:pPr>
            <w:r>
              <w:rPr>
                <w:rFonts w:hint="eastAsia" w:asciiTheme="minorEastAsia" w:hAnsiTheme="minorEastAsia"/>
                <w:szCs w:val="21"/>
              </w:rPr>
              <w:t>月</w:t>
            </w:r>
          </w:p>
        </w:tc>
      </w:tr>
      <w:tr w14:paraId="748A6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6" w:type="dxa"/>
          <w:trHeight w:val="794" w:hRule="atLeast"/>
          <w:jc w:val="center"/>
        </w:trPr>
        <w:tc>
          <w:tcPr>
            <w:tcW w:w="959" w:type="dxa"/>
            <w:vAlign w:val="center"/>
          </w:tcPr>
          <w:p w14:paraId="7F430C85">
            <w:pPr>
              <w:widowControl w:val="0"/>
              <w:spacing w:after="0" w:line="400" w:lineRule="exact"/>
              <w:jc w:val="center"/>
              <w:rPr>
                <w:rFonts w:asciiTheme="minorEastAsia" w:hAnsiTheme="minorEastAsia"/>
                <w:szCs w:val="21"/>
              </w:rPr>
            </w:pPr>
            <w:r>
              <w:rPr>
                <w:rFonts w:hint="eastAsia" w:asciiTheme="minorEastAsia" w:hAnsiTheme="minorEastAsia"/>
                <w:szCs w:val="21"/>
              </w:rPr>
              <w:t>4.5</w:t>
            </w:r>
          </w:p>
        </w:tc>
        <w:tc>
          <w:tcPr>
            <w:tcW w:w="1843" w:type="dxa"/>
            <w:vAlign w:val="center"/>
          </w:tcPr>
          <w:p w14:paraId="437CDDCF">
            <w:pPr>
              <w:widowControl w:val="0"/>
              <w:spacing w:after="0" w:line="400" w:lineRule="exact"/>
              <w:jc w:val="center"/>
              <w:rPr>
                <w:rFonts w:asciiTheme="minorEastAsia" w:hAnsiTheme="minorEastAsia"/>
                <w:szCs w:val="21"/>
              </w:rPr>
            </w:pPr>
            <w:r>
              <w:rPr>
                <w:rFonts w:hint="eastAsia" w:asciiTheme="minorEastAsia" w:hAnsiTheme="minorEastAsia"/>
                <w:szCs w:val="21"/>
              </w:rPr>
              <w:t>软件变更管理</w:t>
            </w:r>
          </w:p>
        </w:tc>
        <w:tc>
          <w:tcPr>
            <w:tcW w:w="4639" w:type="dxa"/>
            <w:vAlign w:val="center"/>
          </w:tcPr>
          <w:p w14:paraId="0A5DC06A">
            <w:pPr>
              <w:widowControl w:val="0"/>
              <w:spacing w:after="0" w:line="400" w:lineRule="exact"/>
              <w:jc w:val="center"/>
              <w:rPr>
                <w:rFonts w:asciiTheme="minorEastAsia" w:hAnsiTheme="minorEastAsia"/>
                <w:szCs w:val="21"/>
              </w:rPr>
            </w:pPr>
            <w:r>
              <w:rPr>
                <w:rFonts w:hint="eastAsia" w:asciiTheme="minorEastAsia" w:hAnsiTheme="minorEastAsia"/>
                <w:szCs w:val="21"/>
              </w:rPr>
              <w:t>软件的变更（增加、修改、删除、调整）应符合软件规范，并上报甲方提出“软件变更申请单”经甲方审核通过后执行</w:t>
            </w:r>
          </w:p>
        </w:tc>
        <w:tc>
          <w:tcPr>
            <w:tcW w:w="1076" w:type="dxa"/>
            <w:gridSpan w:val="2"/>
            <w:vAlign w:val="center"/>
          </w:tcPr>
          <w:p w14:paraId="6B838A93">
            <w:pPr>
              <w:widowControl w:val="0"/>
              <w:spacing w:after="0" w:line="400" w:lineRule="exact"/>
              <w:jc w:val="center"/>
              <w:rPr>
                <w:rFonts w:asciiTheme="minorEastAsia" w:hAnsiTheme="minorEastAsia"/>
                <w:szCs w:val="21"/>
              </w:rPr>
            </w:pPr>
            <w:r>
              <w:rPr>
                <w:rFonts w:hint="eastAsia" w:asciiTheme="minorEastAsia" w:hAnsiTheme="minorEastAsia"/>
                <w:szCs w:val="21"/>
              </w:rPr>
              <w:t>软件变更时</w:t>
            </w:r>
          </w:p>
        </w:tc>
      </w:tr>
      <w:tr w14:paraId="0524D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6" w:type="dxa"/>
          <w:trHeight w:val="794" w:hRule="atLeast"/>
          <w:jc w:val="center"/>
        </w:trPr>
        <w:tc>
          <w:tcPr>
            <w:tcW w:w="959" w:type="dxa"/>
            <w:vAlign w:val="center"/>
          </w:tcPr>
          <w:p w14:paraId="0758BC3C">
            <w:pPr>
              <w:widowControl w:val="0"/>
              <w:spacing w:after="0" w:line="400" w:lineRule="exact"/>
              <w:jc w:val="center"/>
              <w:rPr>
                <w:rFonts w:asciiTheme="minorEastAsia" w:hAnsiTheme="minorEastAsia"/>
                <w:szCs w:val="21"/>
              </w:rPr>
            </w:pPr>
            <w:r>
              <w:rPr>
                <w:rFonts w:hint="eastAsia" w:asciiTheme="minorEastAsia" w:hAnsiTheme="minorEastAsia"/>
                <w:szCs w:val="21"/>
              </w:rPr>
              <w:t>4.6</w:t>
            </w:r>
          </w:p>
        </w:tc>
        <w:tc>
          <w:tcPr>
            <w:tcW w:w="1843" w:type="dxa"/>
            <w:vAlign w:val="center"/>
          </w:tcPr>
          <w:p w14:paraId="6E5D4DE8">
            <w:pPr>
              <w:widowControl w:val="0"/>
              <w:spacing w:after="0" w:line="400" w:lineRule="exact"/>
              <w:jc w:val="center"/>
              <w:rPr>
                <w:rFonts w:asciiTheme="minorEastAsia" w:hAnsiTheme="minorEastAsia"/>
                <w:szCs w:val="21"/>
              </w:rPr>
            </w:pPr>
            <w:r>
              <w:rPr>
                <w:rFonts w:hint="eastAsia" w:asciiTheme="minorEastAsia" w:hAnsiTheme="minorEastAsia"/>
                <w:szCs w:val="21"/>
              </w:rPr>
              <w:t>软件故障恢复管理</w:t>
            </w:r>
          </w:p>
        </w:tc>
        <w:tc>
          <w:tcPr>
            <w:tcW w:w="4639" w:type="dxa"/>
            <w:vAlign w:val="center"/>
          </w:tcPr>
          <w:p w14:paraId="11B5B34C">
            <w:pPr>
              <w:widowControl w:val="0"/>
              <w:spacing w:after="0" w:line="400" w:lineRule="exact"/>
              <w:jc w:val="center"/>
              <w:rPr>
                <w:rFonts w:asciiTheme="minorEastAsia" w:hAnsiTheme="minorEastAsia"/>
                <w:szCs w:val="21"/>
              </w:rPr>
            </w:pPr>
            <w:r>
              <w:rPr>
                <w:rFonts w:hint="eastAsia" w:asciiTheme="minorEastAsia" w:hAnsiTheme="minorEastAsia"/>
                <w:szCs w:val="21"/>
              </w:rPr>
              <w:t>对软件（如操作系统、数据库系统、备份软件、重要设备配置信息等）能够自动或在人工干预下从故障状态下恢复到正常状态而不致造成系统混乱和数据丢失。</w:t>
            </w:r>
          </w:p>
        </w:tc>
        <w:tc>
          <w:tcPr>
            <w:tcW w:w="1076" w:type="dxa"/>
            <w:gridSpan w:val="2"/>
            <w:vAlign w:val="center"/>
          </w:tcPr>
          <w:p w14:paraId="2DF9DD69">
            <w:pPr>
              <w:widowControl w:val="0"/>
              <w:spacing w:after="0" w:line="400" w:lineRule="exact"/>
              <w:jc w:val="center"/>
              <w:rPr>
                <w:rFonts w:asciiTheme="minorEastAsia" w:hAnsiTheme="minorEastAsia"/>
                <w:szCs w:val="21"/>
              </w:rPr>
            </w:pPr>
            <w:r>
              <w:rPr>
                <w:rFonts w:hint="eastAsia" w:asciiTheme="minorEastAsia" w:hAnsiTheme="minorEastAsia"/>
                <w:szCs w:val="21"/>
              </w:rPr>
              <w:t>发生故障时</w:t>
            </w:r>
          </w:p>
        </w:tc>
      </w:tr>
      <w:tr w14:paraId="63621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6" w:type="dxa"/>
          <w:trHeight w:val="794" w:hRule="atLeast"/>
          <w:jc w:val="center"/>
        </w:trPr>
        <w:tc>
          <w:tcPr>
            <w:tcW w:w="959" w:type="dxa"/>
            <w:vAlign w:val="center"/>
          </w:tcPr>
          <w:p w14:paraId="4E745B9C">
            <w:pPr>
              <w:widowControl w:val="0"/>
              <w:spacing w:after="0" w:line="400" w:lineRule="exact"/>
              <w:jc w:val="center"/>
              <w:rPr>
                <w:rFonts w:asciiTheme="minorEastAsia" w:hAnsiTheme="minorEastAsia"/>
                <w:szCs w:val="21"/>
              </w:rPr>
            </w:pPr>
            <w:r>
              <w:rPr>
                <w:rFonts w:hint="eastAsia" w:asciiTheme="minorEastAsia" w:hAnsiTheme="minorEastAsia"/>
                <w:szCs w:val="21"/>
              </w:rPr>
              <w:t>4.7</w:t>
            </w:r>
          </w:p>
        </w:tc>
        <w:tc>
          <w:tcPr>
            <w:tcW w:w="1843" w:type="dxa"/>
            <w:vAlign w:val="center"/>
          </w:tcPr>
          <w:p w14:paraId="2A43D152">
            <w:pPr>
              <w:widowControl w:val="0"/>
              <w:spacing w:after="0" w:line="400" w:lineRule="exact"/>
              <w:jc w:val="center"/>
              <w:rPr>
                <w:rFonts w:asciiTheme="minorEastAsia" w:hAnsiTheme="minorEastAsia"/>
                <w:szCs w:val="21"/>
              </w:rPr>
            </w:pPr>
            <w:r>
              <w:rPr>
                <w:rFonts w:hint="eastAsia" w:asciiTheme="minorEastAsia" w:hAnsiTheme="minorEastAsia"/>
                <w:szCs w:val="21"/>
              </w:rPr>
              <w:t>系统日志管理</w:t>
            </w:r>
          </w:p>
        </w:tc>
        <w:tc>
          <w:tcPr>
            <w:tcW w:w="4639" w:type="dxa"/>
            <w:vAlign w:val="center"/>
          </w:tcPr>
          <w:p w14:paraId="75E315FA">
            <w:pPr>
              <w:widowControl w:val="0"/>
              <w:spacing w:after="0" w:line="400" w:lineRule="exact"/>
              <w:jc w:val="center"/>
              <w:rPr>
                <w:rFonts w:asciiTheme="minorEastAsia" w:hAnsiTheme="minorEastAsia"/>
                <w:szCs w:val="21"/>
              </w:rPr>
            </w:pPr>
            <w:r>
              <w:rPr>
                <w:rFonts w:hint="eastAsia" w:asciiTheme="minorEastAsia" w:hAnsiTheme="minorEastAsia"/>
                <w:szCs w:val="21"/>
              </w:rPr>
              <w:t>备份并清理过期日志记录，避免发生磁盘空间溢出。定期查看与分析设备日志，定期汇报设备运行状况。</w:t>
            </w:r>
          </w:p>
        </w:tc>
        <w:tc>
          <w:tcPr>
            <w:tcW w:w="1076" w:type="dxa"/>
            <w:gridSpan w:val="2"/>
            <w:vAlign w:val="center"/>
          </w:tcPr>
          <w:p w14:paraId="0767A2E6">
            <w:pPr>
              <w:widowControl w:val="0"/>
              <w:spacing w:after="0" w:line="400" w:lineRule="exact"/>
              <w:jc w:val="center"/>
              <w:rPr>
                <w:rFonts w:asciiTheme="minorEastAsia" w:hAnsiTheme="minorEastAsia"/>
                <w:szCs w:val="21"/>
              </w:rPr>
            </w:pPr>
            <w:r>
              <w:rPr>
                <w:rFonts w:hint="eastAsia" w:asciiTheme="minorEastAsia" w:hAnsiTheme="minorEastAsia"/>
                <w:szCs w:val="21"/>
              </w:rPr>
              <w:t>季</w:t>
            </w:r>
          </w:p>
        </w:tc>
      </w:tr>
      <w:tr w14:paraId="69110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6" w:type="dxa"/>
          <w:trHeight w:val="607" w:hRule="atLeast"/>
          <w:jc w:val="center"/>
        </w:trPr>
        <w:tc>
          <w:tcPr>
            <w:tcW w:w="959" w:type="dxa"/>
            <w:vAlign w:val="center"/>
          </w:tcPr>
          <w:p w14:paraId="3FD1D3F1">
            <w:pPr>
              <w:widowControl w:val="0"/>
              <w:spacing w:after="0" w:line="400" w:lineRule="exact"/>
              <w:jc w:val="center"/>
              <w:rPr>
                <w:rFonts w:asciiTheme="minorEastAsia" w:hAnsiTheme="minorEastAsia"/>
                <w:szCs w:val="21"/>
              </w:rPr>
            </w:pPr>
            <w:r>
              <w:rPr>
                <w:rFonts w:hint="eastAsia" w:asciiTheme="minorEastAsia" w:hAnsiTheme="minorEastAsia"/>
                <w:szCs w:val="21"/>
              </w:rPr>
              <w:t>5</w:t>
            </w:r>
          </w:p>
        </w:tc>
        <w:tc>
          <w:tcPr>
            <w:tcW w:w="7558" w:type="dxa"/>
            <w:gridSpan w:val="4"/>
            <w:vAlign w:val="center"/>
          </w:tcPr>
          <w:p w14:paraId="7E23083D">
            <w:pPr>
              <w:widowControl w:val="0"/>
              <w:spacing w:after="0" w:line="400" w:lineRule="exact"/>
              <w:jc w:val="center"/>
              <w:rPr>
                <w:rFonts w:asciiTheme="minorEastAsia" w:hAnsiTheme="minorEastAsia"/>
                <w:szCs w:val="21"/>
              </w:rPr>
            </w:pPr>
            <w:r>
              <w:rPr>
                <w:rFonts w:hint="eastAsia" w:asciiTheme="minorEastAsia" w:hAnsiTheme="minorEastAsia"/>
                <w:szCs w:val="21"/>
              </w:rPr>
              <w:t>培训和总结</w:t>
            </w:r>
          </w:p>
        </w:tc>
      </w:tr>
      <w:tr w14:paraId="1D80E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6" w:type="dxa"/>
          <w:trHeight w:val="794" w:hRule="atLeast"/>
          <w:jc w:val="center"/>
        </w:trPr>
        <w:tc>
          <w:tcPr>
            <w:tcW w:w="959" w:type="dxa"/>
            <w:vAlign w:val="center"/>
          </w:tcPr>
          <w:p w14:paraId="7C5C3B40">
            <w:pPr>
              <w:widowControl w:val="0"/>
              <w:spacing w:after="0" w:line="400" w:lineRule="exact"/>
              <w:jc w:val="center"/>
              <w:rPr>
                <w:rFonts w:asciiTheme="minorEastAsia" w:hAnsiTheme="minorEastAsia"/>
                <w:szCs w:val="21"/>
              </w:rPr>
            </w:pPr>
            <w:r>
              <w:rPr>
                <w:rFonts w:hint="eastAsia" w:asciiTheme="minorEastAsia" w:hAnsiTheme="minorEastAsia"/>
                <w:szCs w:val="21"/>
              </w:rPr>
              <w:t>5.1</w:t>
            </w:r>
          </w:p>
        </w:tc>
        <w:tc>
          <w:tcPr>
            <w:tcW w:w="1843" w:type="dxa"/>
            <w:vAlign w:val="center"/>
          </w:tcPr>
          <w:p w14:paraId="1FF0C70A">
            <w:pPr>
              <w:widowControl w:val="0"/>
              <w:spacing w:after="0" w:line="400" w:lineRule="exact"/>
              <w:jc w:val="center"/>
              <w:rPr>
                <w:rFonts w:asciiTheme="minorEastAsia" w:hAnsiTheme="minorEastAsia"/>
                <w:szCs w:val="21"/>
              </w:rPr>
            </w:pPr>
            <w:r>
              <w:rPr>
                <w:rFonts w:hint="eastAsia" w:asciiTheme="minorEastAsia" w:hAnsiTheme="minorEastAsia"/>
                <w:szCs w:val="21"/>
              </w:rPr>
              <w:t>用户培训</w:t>
            </w:r>
          </w:p>
        </w:tc>
        <w:tc>
          <w:tcPr>
            <w:tcW w:w="4639" w:type="dxa"/>
            <w:vAlign w:val="center"/>
          </w:tcPr>
          <w:p w14:paraId="3945DBAF">
            <w:pPr>
              <w:widowControl w:val="0"/>
              <w:spacing w:after="0" w:line="400" w:lineRule="exact"/>
              <w:jc w:val="center"/>
              <w:rPr>
                <w:rFonts w:asciiTheme="minorEastAsia" w:hAnsiTheme="minorEastAsia"/>
                <w:szCs w:val="21"/>
              </w:rPr>
            </w:pPr>
            <w:r>
              <w:rPr>
                <w:rFonts w:hint="eastAsia" w:asciiTheme="minorEastAsia" w:hAnsiTheme="minorEastAsia"/>
                <w:szCs w:val="21"/>
              </w:rPr>
              <w:t>对用户进行操作和常规维护技术培训</w:t>
            </w:r>
          </w:p>
        </w:tc>
        <w:tc>
          <w:tcPr>
            <w:tcW w:w="1076" w:type="dxa"/>
            <w:gridSpan w:val="2"/>
            <w:vAlign w:val="center"/>
          </w:tcPr>
          <w:p w14:paraId="58F54E95">
            <w:pPr>
              <w:widowControl w:val="0"/>
              <w:spacing w:after="0" w:line="400" w:lineRule="exact"/>
              <w:jc w:val="center"/>
              <w:rPr>
                <w:rFonts w:asciiTheme="minorEastAsia" w:hAnsiTheme="minorEastAsia"/>
                <w:szCs w:val="21"/>
              </w:rPr>
            </w:pPr>
            <w:r>
              <w:rPr>
                <w:rFonts w:hint="eastAsia" w:asciiTheme="minorEastAsia" w:hAnsiTheme="minorEastAsia"/>
                <w:szCs w:val="21"/>
              </w:rPr>
              <w:t>年</w:t>
            </w:r>
          </w:p>
        </w:tc>
      </w:tr>
      <w:tr w14:paraId="1DDF0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6" w:type="dxa"/>
          <w:trHeight w:val="794" w:hRule="atLeast"/>
          <w:jc w:val="center"/>
        </w:trPr>
        <w:tc>
          <w:tcPr>
            <w:tcW w:w="959" w:type="dxa"/>
            <w:vAlign w:val="center"/>
          </w:tcPr>
          <w:p w14:paraId="65D50A71">
            <w:pPr>
              <w:widowControl w:val="0"/>
              <w:spacing w:after="0" w:line="400" w:lineRule="exact"/>
              <w:jc w:val="center"/>
              <w:rPr>
                <w:rFonts w:asciiTheme="minorEastAsia" w:hAnsiTheme="minorEastAsia"/>
                <w:szCs w:val="21"/>
              </w:rPr>
            </w:pPr>
            <w:r>
              <w:rPr>
                <w:rFonts w:hint="eastAsia" w:asciiTheme="minorEastAsia" w:hAnsiTheme="minorEastAsia"/>
                <w:szCs w:val="21"/>
              </w:rPr>
              <w:t>5.2</w:t>
            </w:r>
          </w:p>
        </w:tc>
        <w:tc>
          <w:tcPr>
            <w:tcW w:w="1843" w:type="dxa"/>
            <w:vAlign w:val="center"/>
          </w:tcPr>
          <w:p w14:paraId="299B9839">
            <w:pPr>
              <w:widowControl w:val="0"/>
              <w:spacing w:after="0" w:line="400" w:lineRule="exact"/>
              <w:jc w:val="center"/>
              <w:rPr>
                <w:rFonts w:asciiTheme="minorEastAsia" w:hAnsiTheme="minorEastAsia"/>
                <w:szCs w:val="21"/>
              </w:rPr>
            </w:pPr>
            <w:r>
              <w:rPr>
                <w:rFonts w:hint="eastAsia" w:asciiTheme="minorEastAsia" w:hAnsiTheme="minorEastAsia"/>
                <w:szCs w:val="21"/>
              </w:rPr>
              <w:t>系统维护总结</w:t>
            </w:r>
          </w:p>
        </w:tc>
        <w:tc>
          <w:tcPr>
            <w:tcW w:w="4639" w:type="dxa"/>
            <w:vAlign w:val="center"/>
          </w:tcPr>
          <w:p w14:paraId="214ED248">
            <w:pPr>
              <w:widowControl w:val="0"/>
              <w:spacing w:after="0" w:line="400" w:lineRule="exact"/>
              <w:jc w:val="center"/>
              <w:rPr>
                <w:rFonts w:asciiTheme="minorEastAsia" w:hAnsiTheme="minorEastAsia"/>
                <w:szCs w:val="21"/>
              </w:rPr>
            </w:pPr>
            <w:r>
              <w:rPr>
                <w:rFonts w:hint="eastAsia" w:asciiTheme="minorEastAsia" w:hAnsiTheme="minorEastAsia"/>
                <w:szCs w:val="21"/>
              </w:rPr>
              <w:t>对系统维护情况进行总结并汇编成年报</w:t>
            </w:r>
          </w:p>
        </w:tc>
        <w:tc>
          <w:tcPr>
            <w:tcW w:w="1076" w:type="dxa"/>
            <w:gridSpan w:val="2"/>
            <w:vAlign w:val="center"/>
          </w:tcPr>
          <w:p w14:paraId="098F4BA5">
            <w:pPr>
              <w:widowControl w:val="0"/>
              <w:spacing w:after="0" w:line="400" w:lineRule="exact"/>
              <w:jc w:val="center"/>
              <w:rPr>
                <w:rFonts w:asciiTheme="minorEastAsia" w:hAnsiTheme="minorEastAsia"/>
                <w:szCs w:val="21"/>
              </w:rPr>
            </w:pPr>
            <w:r>
              <w:rPr>
                <w:rFonts w:hint="eastAsia" w:asciiTheme="minorEastAsia" w:hAnsiTheme="minorEastAsia"/>
                <w:szCs w:val="21"/>
              </w:rPr>
              <w:t>年</w:t>
            </w:r>
          </w:p>
        </w:tc>
      </w:tr>
    </w:tbl>
    <w:p w14:paraId="68447144">
      <w:pPr>
        <w:spacing w:after="0" w:line="400" w:lineRule="exact"/>
        <w:ind w:firstLine="210" w:firstLineChars="100"/>
        <w:rPr>
          <w:rFonts w:asciiTheme="minorEastAsia" w:hAnsiTheme="minorEastAsia"/>
          <w:szCs w:val="21"/>
        </w:rPr>
      </w:pPr>
      <w:r>
        <w:rPr>
          <w:rFonts w:hint="eastAsia" w:asciiTheme="minorEastAsia" w:hAnsiTheme="minorEastAsia"/>
          <w:szCs w:val="21"/>
        </w:rPr>
        <w:t>1.2升级和迁移要求</w:t>
      </w:r>
    </w:p>
    <w:p w14:paraId="3C600965">
      <w:pPr>
        <w:spacing w:after="0" w:line="400" w:lineRule="exact"/>
        <w:ind w:firstLine="420" w:firstLineChars="200"/>
        <w:rPr>
          <w:rFonts w:asciiTheme="minorEastAsia" w:hAnsiTheme="minorEastAsia"/>
          <w:szCs w:val="21"/>
        </w:rPr>
      </w:pPr>
      <w:r>
        <w:rPr>
          <w:rFonts w:hint="eastAsia" w:asciiTheme="minorEastAsia" w:hAnsiTheme="minorEastAsia"/>
          <w:szCs w:val="21"/>
        </w:rPr>
        <w:t>在日常维护巡检的基础上，对系统性能和运行情况进行分析，包括CPU、内存、硬盘、I/O 等资源的利用情况和系统性能信息，并提出系统各项性能参数配置优化方案建议。包括硬件配置的升级、网络的优化方案和数据库优化调整方案。</w:t>
      </w:r>
    </w:p>
    <w:p w14:paraId="2E6586CE">
      <w:pPr>
        <w:spacing w:after="0" w:line="400" w:lineRule="exact"/>
        <w:ind w:firstLine="420" w:firstLineChars="200"/>
        <w:rPr>
          <w:rFonts w:asciiTheme="minorEastAsia" w:hAnsiTheme="minorEastAsia"/>
          <w:szCs w:val="21"/>
        </w:rPr>
      </w:pPr>
      <w:r>
        <w:rPr>
          <w:rFonts w:hint="eastAsia" w:asciiTheme="minorEastAsia" w:hAnsiTheme="minorEastAsia"/>
          <w:szCs w:val="21"/>
        </w:rPr>
        <w:t>根据系统优化的需要，制定合理的升级方案，提供设备详细的配置文件和技术报告，并完成相应系统的安装和配置。</w:t>
      </w:r>
    </w:p>
    <w:p w14:paraId="7BA022F2">
      <w:pPr>
        <w:spacing w:after="0" w:line="400" w:lineRule="exact"/>
        <w:ind w:firstLine="420" w:firstLineChars="200"/>
        <w:rPr>
          <w:rFonts w:asciiTheme="minorEastAsia" w:hAnsiTheme="minorEastAsia"/>
          <w:szCs w:val="21"/>
        </w:rPr>
      </w:pPr>
      <w:r>
        <w:rPr>
          <w:rFonts w:hint="eastAsia" w:asciiTheme="minorEastAsia" w:hAnsiTheme="minorEastAsia"/>
          <w:szCs w:val="21"/>
        </w:rPr>
        <w:t>根据用户需求制定系统迁移方案，以确保系统和数据正常无误迁移， 保障整个系统经迁移后的正常稳定运行。</w:t>
      </w:r>
    </w:p>
    <w:p w14:paraId="33D72FCC">
      <w:pPr>
        <w:spacing w:after="0" w:line="400" w:lineRule="exact"/>
        <w:ind w:firstLine="210" w:firstLineChars="100"/>
        <w:rPr>
          <w:rFonts w:asciiTheme="minorEastAsia" w:hAnsiTheme="minorEastAsia"/>
          <w:szCs w:val="21"/>
        </w:rPr>
      </w:pPr>
      <w:r>
        <w:rPr>
          <w:rFonts w:hint="eastAsia" w:asciiTheme="minorEastAsia" w:hAnsiTheme="minorEastAsia"/>
          <w:szCs w:val="21"/>
        </w:rPr>
        <w:t>1.3软件维护周报</w:t>
      </w:r>
    </w:p>
    <w:p w14:paraId="6495FC4C">
      <w:pPr>
        <w:spacing w:after="0" w:line="400" w:lineRule="exact"/>
        <w:ind w:firstLine="630" w:firstLineChars="300"/>
        <w:rPr>
          <w:rFonts w:asciiTheme="minorEastAsia" w:hAnsiTheme="minorEastAsia"/>
          <w:szCs w:val="21"/>
        </w:rPr>
      </w:pPr>
      <w:r>
        <w:rPr>
          <w:rFonts w:hint="eastAsia" w:asciiTheme="minorEastAsia" w:hAnsiTheme="minorEastAsia"/>
          <w:szCs w:val="21"/>
        </w:rPr>
        <w:t>应用软件应按照维护内容、维护要求和频次进行巡检,并填写巡检表。对于巡检中发现的故障，进行分析，记录故障原因。如果是应用软件的问题，则对软件或配置进行升级;如果是非应用软件问题，则向甲方汇报故障原因，并配合相关单位进行解决。</w:t>
      </w:r>
    </w:p>
    <w:p w14:paraId="73BB6C18">
      <w:pPr>
        <w:spacing w:after="0" w:line="400" w:lineRule="exact"/>
        <w:rPr>
          <w:rFonts w:asciiTheme="minorEastAsia" w:hAnsiTheme="minorEastAsia"/>
          <w:szCs w:val="21"/>
        </w:rPr>
      </w:pPr>
      <w:r>
        <w:rPr>
          <w:rFonts w:hint="eastAsia" w:asciiTheme="minorEastAsia" w:hAnsiTheme="minorEastAsia"/>
          <w:szCs w:val="21"/>
        </w:rPr>
        <w:t>要求每周提交软件维护周报。</w:t>
      </w:r>
    </w:p>
    <w:p w14:paraId="6FB30E63">
      <w:pPr>
        <w:spacing w:after="0" w:line="400" w:lineRule="exact"/>
        <w:ind w:firstLine="210" w:firstLineChars="100"/>
        <w:rPr>
          <w:rFonts w:asciiTheme="minorEastAsia" w:hAnsiTheme="minorEastAsia"/>
          <w:szCs w:val="21"/>
        </w:rPr>
      </w:pPr>
      <w:r>
        <w:rPr>
          <w:rFonts w:hint="eastAsia" w:asciiTheme="minorEastAsia" w:hAnsiTheme="minorEastAsia"/>
          <w:szCs w:val="21"/>
        </w:rPr>
        <w:t>1.4系统接入</w:t>
      </w:r>
    </w:p>
    <w:p w14:paraId="5229E166">
      <w:pPr>
        <w:spacing w:after="0" w:line="400" w:lineRule="exact"/>
        <w:ind w:left="420" w:leftChars="200"/>
        <w:rPr>
          <w:rFonts w:asciiTheme="minorEastAsia" w:hAnsiTheme="minorEastAsia"/>
          <w:szCs w:val="21"/>
        </w:rPr>
      </w:pPr>
      <w:r>
        <w:rPr>
          <w:rFonts w:hint="eastAsia" w:asciiTheme="minorEastAsia" w:hAnsiTheme="minorEastAsia"/>
          <w:szCs w:val="21"/>
        </w:rPr>
        <w:t>1)设备接入</w:t>
      </w:r>
    </w:p>
    <w:p w14:paraId="639B00BD">
      <w:pPr>
        <w:spacing w:after="0" w:line="400" w:lineRule="exact"/>
        <w:ind w:firstLine="420" w:firstLineChars="200"/>
        <w:rPr>
          <w:rFonts w:asciiTheme="minorEastAsia" w:hAnsiTheme="minorEastAsia"/>
          <w:szCs w:val="21"/>
        </w:rPr>
      </w:pPr>
      <w:r>
        <w:rPr>
          <w:rFonts w:hint="eastAsia" w:asciiTheme="minorEastAsia" w:hAnsiTheme="minorEastAsia"/>
          <w:szCs w:val="21"/>
        </w:rPr>
        <w:t>若因甲方业务发展需求，需要增加新的同类外场设备时，应及时按要求配置软件接入新增设备到当前运行系统平台中，并对相关软件进行完善优化。</w:t>
      </w:r>
    </w:p>
    <w:p w14:paraId="54A3DB8B">
      <w:pPr>
        <w:spacing w:after="0" w:line="400" w:lineRule="exact"/>
        <w:ind w:firstLine="420" w:firstLineChars="200"/>
        <w:rPr>
          <w:rFonts w:asciiTheme="minorEastAsia" w:hAnsiTheme="minorEastAsia"/>
          <w:szCs w:val="21"/>
        </w:rPr>
      </w:pPr>
      <w:r>
        <w:rPr>
          <w:rFonts w:hint="eastAsia" w:asciiTheme="minorEastAsia" w:hAnsiTheme="minorEastAsia"/>
          <w:szCs w:val="21"/>
        </w:rPr>
        <w:t>2)子系统接入</w:t>
      </w:r>
    </w:p>
    <w:p w14:paraId="44555B84">
      <w:pPr>
        <w:spacing w:after="0" w:line="400" w:lineRule="exact"/>
        <w:ind w:firstLine="420" w:firstLineChars="200"/>
        <w:rPr>
          <w:rFonts w:asciiTheme="minorEastAsia" w:hAnsiTheme="minorEastAsia"/>
          <w:szCs w:val="21"/>
        </w:rPr>
      </w:pPr>
      <w:r>
        <w:rPr>
          <w:rFonts w:hint="eastAsia" w:asciiTheme="minorEastAsia" w:hAnsiTheme="minorEastAsia"/>
          <w:szCs w:val="21"/>
        </w:rPr>
        <w:t>若因甲方业务发展需求，如新建子系统的接入或其他系统接入时，应及时按甲方的要求，完成新增子系统接入到当前运行平台，并对相关软件进行完善优化。</w:t>
      </w:r>
    </w:p>
    <w:p w14:paraId="74187618">
      <w:pPr>
        <w:spacing w:after="0" w:line="400" w:lineRule="exact"/>
        <w:ind w:firstLine="420" w:firstLineChars="200"/>
        <w:rPr>
          <w:rFonts w:asciiTheme="minorEastAsia" w:hAnsiTheme="minorEastAsia"/>
          <w:szCs w:val="21"/>
        </w:rPr>
      </w:pPr>
    </w:p>
    <w:p w14:paraId="42A24676">
      <w:pPr>
        <w:spacing w:after="0" w:line="400" w:lineRule="exact"/>
        <w:ind w:firstLine="420" w:firstLineChars="200"/>
        <w:rPr>
          <w:rFonts w:asciiTheme="minorEastAsia" w:hAnsiTheme="minorEastAsia"/>
          <w:szCs w:val="21"/>
        </w:rPr>
      </w:pPr>
    </w:p>
    <w:p w14:paraId="7801815F">
      <w:pPr>
        <w:spacing w:after="0" w:line="400" w:lineRule="exact"/>
        <w:ind w:firstLine="420" w:firstLineChars="200"/>
        <w:rPr>
          <w:rFonts w:asciiTheme="minorEastAsia" w:hAnsiTheme="minorEastAsia"/>
          <w:szCs w:val="21"/>
        </w:rPr>
      </w:pPr>
    </w:p>
    <w:p w14:paraId="0DE9A141">
      <w:pPr>
        <w:pStyle w:val="16"/>
        <w:spacing w:after="0" w:line="400" w:lineRule="exact"/>
        <w:ind w:left="420"/>
        <w:rPr>
          <w:szCs w:val="21"/>
        </w:rPr>
      </w:pPr>
    </w:p>
    <w:p w14:paraId="43C39C7E">
      <w:pPr>
        <w:pStyle w:val="16"/>
        <w:spacing w:after="0" w:line="400" w:lineRule="exact"/>
        <w:ind w:left="420"/>
        <w:rPr>
          <w:szCs w:val="21"/>
        </w:rPr>
      </w:pPr>
    </w:p>
    <w:p w14:paraId="19C99219">
      <w:pPr>
        <w:pStyle w:val="16"/>
        <w:spacing w:after="0" w:line="400" w:lineRule="exact"/>
        <w:ind w:left="420"/>
        <w:rPr>
          <w:szCs w:val="21"/>
        </w:rPr>
      </w:pPr>
    </w:p>
    <w:p w14:paraId="65DD2E01">
      <w:pPr>
        <w:pStyle w:val="16"/>
        <w:spacing w:after="0" w:line="400" w:lineRule="exact"/>
        <w:ind w:left="420"/>
        <w:rPr>
          <w:szCs w:val="21"/>
        </w:rPr>
      </w:pPr>
    </w:p>
    <w:p w14:paraId="1508E5DC">
      <w:pPr>
        <w:pStyle w:val="16"/>
        <w:spacing w:after="0" w:line="400" w:lineRule="exact"/>
        <w:ind w:left="420"/>
        <w:rPr>
          <w:szCs w:val="21"/>
        </w:rPr>
      </w:pPr>
    </w:p>
    <w:p w14:paraId="6AC048A1">
      <w:pPr>
        <w:pStyle w:val="16"/>
        <w:spacing w:after="0" w:line="400" w:lineRule="exact"/>
        <w:ind w:left="420"/>
        <w:rPr>
          <w:szCs w:val="21"/>
        </w:rPr>
      </w:pPr>
    </w:p>
    <w:p w14:paraId="231C7396">
      <w:pPr>
        <w:pStyle w:val="16"/>
        <w:spacing w:after="0" w:line="400" w:lineRule="exact"/>
        <w:ind w:left="420"/>
        <w:rPr>
          <w:szCs w:val="21"/>
        </w:rPr>
      </w:pPr>
    </w:p>
    <w:p w14:paraId="43851AA7">
      <w:pPr>
        <w:pStyle w:val="16"/>
        <w:spacing w:after="0" w:line="400" w:lineRule="exact"/>
        <w:ind w:left="420"/>
        <w:rPr>
          <w:szCs w:val="21"/>
        </w:rPr>
      </w:pPr>
    </w:p>
    <w:p w14:paraId="57F0D0D5">
      <w:pPr>
        <w:pStyle w:val="16"/>
        <w:spacing w:after="0" w:line="400" w:lineRule="exact"/>
        <w:ind w:left="420"/>
        <w:rPr>
          <w:szCs w:val="21"/>
        </w:rPr>
      </w:pPr>
    </w:p>
    <w:p w14:paraId="22B2F3D7">
      <w:pPr>
        <w:pStyle w:val="16"/>
        <w:spacing w:after="0" w:line="400" w:lineRule="exact"/>
        <w:ind w:left="420"/>
        <w:rPr>
          <w:szCs w:val="21"/>
        </w:rPr>
      </w:pPr>
    </w:p>
    <w:p w14:paraId="4B2DDE83">
      <w:pPr>
        <w:pStyle w:val="16"/>
        <w:spacing w:after="0" w:line="400" w:lineRule="exact"/>
        <w:ind w:left="420"/>
        <w:rPr>
          <w:szCs w:val="21"/>
        </w:rPr>
      </w:pPr>
    </w:p>
    <w:p w14:paraId="04324BCE">
      <w:pPr>
        <w:pStyle w:val="16"/>
        <w:spacing w:after="0" w:line="400" w:lineRule="exact"/>
        <w:ind w:left="420"/>
        <w:rPr>
          <w:szCs w:val="21"/>
        </w:rPr>
      </w:pPr>
    </w:p>
    <w:p w14:paraId="590FA7D8">
      <w:pPr>
        <w:pStyle w:val="16"/>
        <w:spacing w:after="0" w:line="400" w:lineRule="exact"/>
        <w:ind w:left="420"/>
        <w:rPr>
          <w:szCs w:val="21"/>
        </w:rPr>
      </w:pPr>
    </w:p>
    <w:p w14:paraId="5E3EF3AE">
      <w:pPr>
        <w:pStyle w:val="16"/>
        <w:spacing w:after="0" w:line="400" w:lineRule="exact"/>
        <w:ind w:left="420"/>
        <w:rPr>
          <w:szCs w:val="21"/>
        </w:rPr>
      </w:pPr>
    </w:p>
    <w:p w14:paraId="0F65B982">
      <w:pPr>
        <w:pStyle w:val="16"/>
        <w:spacing w:after="0" w:line="400" w:lineRule="exact"/>
        <w:ind w:left="420"/>
        <w:rPr>
          <w:szCs w:val="21"/>
        </w:rPr>
      </w:pPr>
    </w:p>
    <w:p w14:paraId="52306663">
      <w:pPr>
        <w:pStyle w:val="16"/>
        <w:spacing w:after="0" w:line="400" w:lineRule="exact"/>
        <w:ind w:left="420"/>
        <w:rPr>
          <w:szCs w:val="21"/>
        </w:rPr>
      </w:pPr>
    </w:p>
    <w:p w14:paraId="327EB2B8">
      <w:pPr>
        <w:pStyle w:val="16"/>
        <w:spacing w:after="0" w:line="400" w:lineRule="exact"/>
        <w:ind w:left="420"/>
        <w:rPr>
          <w:szCs w:val="21"/>
        </w:rPr>
      </w:pPr>
    </w:p>
    <w:p w14:paraId="632D2EF5">
      <w:pPr>
        <w:pStyle w:val="16"/>
        <w:spacing w:after="0" w:line="400" w:lineRule="exact"/>
        <w:ind w:left="420"/>
        <w:rPr>
          <w:szCs w:val="21"/>
        </w:rPr>
      </w:pPr>
    </w:p>
    <w:p w14:paraId="31FECA58">
      <w:pPr>
        <w:pStyle w:val="16"/>
        <w:spacing w:after="0" w:line="400" w:lineRule="exact"/>
        <w:ind w:left="420"/>
        <w:rPr>
          <w:szCs w:val="21"/>
        </w:rPr>
      </w:pPr>
    </w:p>
    <w:p w14:paraId="14E64CD7">
      <w:pPr>
        <w:pStyle w:val="16"/>
        <w:spacing w:after="0" w:line="400" w:lineRule="exact"/>
        <w:ind w:left="420"/>
        <w:rPr>
          <w:szCs w:val="21"/>
        </w:rPr>
      </w:pPr>
    </w:p>
    <w:p w14:paraId="14837F54">
      <w:pPr>
        <w:pStyle w:val="16"/>
        <w:spacing w:after="0" w:line="400" w:lineRule="exact"/>
        <w:ind w:left="420"/>
        <w:rPr>
          <w:szCs w:val="21"/>
        </w:rPr>
      </w:pPr>
    </w:p>
    <w:p w14:paraId="6528E440">
      <w:pPr>
        <w:pStyle w:val="16"/>
        <w:spacing w:after="0" w:line="400" w:lineRule="exact"/>
        <w:ind w:left="420"/>
        <w:rPr>
          <w:szCs w:val="21"/>
        </w:rPr>
      </w:pPr>
    </w:p>
    <w:p w14:paraId="69D4EF03">
      <w:pPr>
        <w:pStyle w:val="16"/>
        <w:spacing w:after="0" w:line="400" w:lineRule="exact"/>
        <w:ind w:left="420"/>
        <w:rPr>
          <w:szCs w:val="21"/>
        </w:rPr>
      </w:pPr>
    </w:p>
    <w:p w14:paraId="102CAFD0">
      <w:pPr>
        <w:pStyle w:val="16"/>
        <w:spacing w:after="0" w:line="400" w:lineRule="exact"/>
        <w:ind w:left="420"/>
        <w:rPr>
          <w:szCs w:val="21"/>
        </w:rPr>
      </w:pPr>
    </w:p>
    <w:p w14:paraId="56DA165A">
      <w:pPr>
        <w:spacing w:after="0" w:line="400" w:lineRule="exact"/>
        <w:ind w:firstLine="420" w:firstLineChars="200"/>
        <w:rPr>
          <w:rFonts w:asciiTheme="minorEastAsia" w:hAnsiTheme="minorEastAsia"/>
          <w:szCs w:val="21"/>
        </w:rPr>
      </w:pPr>
    </w:p>
    <w:p w14:paraId="5B96DAD3">
      <w:pPr>
        <w:spacing w:after="0" w:line="400" w:lineRule="exact"/>
        <w:rPr>
          <w:rFonts w:asciiTheme="minorEastAsia" w:hAnsiTheme="minorEastAsia"/>
          <w:szCs w:val="21"/>
        </w:rPr>
      </w:pPr>
      <w:r>
        <w:rPr>
          <w:rFonts w:hint="eastAsia" w:asciiTheme="minorEastAsia" w:hAnsiTheme="minorEastAsia"/>
          <w:szCs w:val="21"/>
        </w:rPr>
        <w:t>附件2</w:t>
      </w:r>
    </w:p>
    <w:p w14:paraId="6ABE9CB5">
      <w:pPr>
        <w:spacing w:after="0" w:line="400" w:lineRule="exact"/>
        <w:ind w:firstLine="3200" w:firstLineChars="1000"/>
        <w:rPr>
          <w:rFonts w:asciiTheme="minorEastAsia" w:hAnsiTheme="minorEastAsia"/>
          <w:sz w:val="32"/>
          <w:szCs w:val="32"/>
        </w:rPr>
      </w:pPr>
      <w:r>
        <w:rPr>
          <w:rFonts w:asciiTheme="minorEastAsia" w:hAnsiTheme="minorEastAsia"/>
          <w:sz w:val="32"/>
          <w:szCs w:val="32"/>
        </w:rPr>
        <w:t>关于</w:t>
      </w:r>
      <w:r>
        <w:rPr>
          <w:rFonts w:hint="eastAsia" w:asciiTheme="minorEastAsia" w:hAnsiTheme="minorEastAsia"/>
          <w:sz w:val="32"/>
          <w:szCs w:val="32"/>
        </w:rPr>
        <w:t>系统</w:t>
      </w:r>
      <w:r>
        <w:rPr>
          <w:rFonts w:asciiTheme="minorEastAsia" w:hAnsiTheme="minorEastAsia"/>
          <w:sz w:val="32"/>
          <w:szCs w:val="32"/>
        </w:rPr>
        <w:t>网络</w:t>
      </w:r>
    </w:p>
    <w:p w14:paraId="0AB58B37">
      <w:pPr>
        <w:pStyle w:val="16"/>
        <w:ind w:left="420"/>
      </w:pPr>
    </w:p>
    <w:p w14:paraId="49B92E14">
      <w:pPr>
        <w:pStyle w:val="16"/>
        <w:numPr>
          <w:ilvl w:val="0"/>
          <w:numId w:val="10"/>
        </w:numPr>
        <w:ind w:left="0" w:leftChars="0" w:firstLine="630" w:firstLineChars="300"/>
        <w:rPr>
          <w:rFonts w:ascii="宋体" w:hAnsi="宋体" w:cs="宋体"/>
          <w:color w:val="auto"/>
          <w:kern w:val="0"/>
          <w:szCs w:val="21"/>
          <w:highlight w:val="none"/>
        </w:rPr>
      </w:pPr>
      <w:r>
        <w:rPr>
          <w:rFonts w:hint="eastAsia" w:ascii="宋体" w:hAnsi="宋体" w:cs="宋体"/>
          <w:kern w:val="0"/>
          <w:szCs w:val="21"/>
        </w:rPr>
        <w:t>本次招标信号灯网络服务费100兆数据传输线路，具有独立IP地址，专线建设符合国际电信级运营标准</w:t>
      </w:r>
      <w:r>
        <w:rPr>
          <w:rFonts w:hint="eastAsia" w:ascii="宋体" w:hAnsi="宋体" w:cs="宋体"/>
          <w:color w:val="auto"/>
          <w:kern w:val="0"/>
          <w:szCs w:val="21"/>
          <w:highlight w:val="none"/>
        </w:rPr>
        <w:t>，</w:t>
      </w:r>
      <w:r>
        <w:rPr>
          <w:rFonts w:hint="eastAsia" w:ascii="宋体" w:hAnsi="宋体" w:eastAsia="宋体" w:cs="宋体"/>
          <w:color w:val="auto"/>
          <w:kern w:val="0"/>
          <w:szCs w:val="21"/>
          <w:highlight w:val="none"/>
          <w:lang w:val="en-US" w:eastAsia="zh-CN"/>
        </w:rPr>
        <w:t>***</w:t>
      </w:r>
      <w:r>
        <w:rPr>
          <w:rFonts w:hint="eastAsia" w:ascii="宋体" w:hAnsi="宋体" w:cs="宋体"/>
          <w:color w:val="auto"/>
          <w:kern w:val="0"/>
          <w:szCs w:val="21"/>
          <w:highlight w:val="none"/>
        </w:rPr>
        <w:t>元/年/路口；电子警察网络服务费1000兆数据传输线路，具有独立IP地址，专线建设符合国际电信级运营标准，</w:t>
      </w:r>
      <w:r>
        <w:rPr>
          <w:rFonts w:hint="eastAsia" w:ascii="宋体" w:hAnsi="宋体" w:eastAsia="宋体" w:cs="宋体"/>
          <w:color w:val="auto"/>
          <w:kern w:val="0"/>
          <w:szCs w:val="21"/>
          <w:highlight w:val="none"/>
          <w:lang w:val="en-US" w:eastAsia="zh-CN"/>
        </w:rPr>
        <w:t>***</w:t>
      </w:r>
      <w:r>
        <w:rPr>
          <w:rFonts w:hint="eastAsia" w:ascii="宋体" w:hAnsi="宋体" w:cs="宋体"/>
          <w:color w:val="auto"/>
          <w:kern w:val="0"/>
          <w:szCs w:val="21"/>
          <w:highlight w:val="none"/>
        </w:rPr>
        <w:t>元/年/点或路口。</w:t>
      </w:r>
    </w:p>
    <w:p w14:paraId="54714019">
      <w:pPr>
        <w:pStyle w:val="16"/>
        <w:ind w:left="0" w:leftChars="0" w:firstLine="630" w:firstLineChars="300"/>
        <w:rPr>
          <w:rFonts w:asciiTheme="minorEastAsia" w:hAnsiTheme="minorEastAsia"/>
          <w:color w:val="auto"/>
          <w:szCs w:val="21"/>
          <w:highlight w:val="none"/>
        </w:rPr>
      </w:pPr>
      <w:r>
        <w:rPr>
          <w:rFonts w:hint="eastAsia" w:asciiTheme="minorEastAsia" w:hAnsiTheme="minorEastAsia" w:eastAsiaTheme="minorEastAsia"/>
          <w:color w:val="auto"/>
          <w:kern w:val="0"/>
          <w:szCs w:val="21"/>
          <w:highlight w:val="none"/>
        </w:rPr>
        <w:t>2、“林州市道路交通大提升交通设施采购项目C包”</w:t>
      </w:r>
      <w:r>
        <w:rPr>
          <w:rFonts w:asciiTheme="minorEastAsia" w:hAnsiTheme="minorEastAsia"/>
          <w:color w:val="auto"/>
          <w:szCs w:val="21"/>
          <w:highlight w:val="none"/>
        </w:rPr>
        <w:t>建设的217个网点</w:t>
      </w:r>
      <w:r>
        <w:rPr>
          <w:rFonts w:hint="eastAsia" w:asciiTheme="minorEastAsia" w:hAnsiTheme="minorEastAsia"/>
          <w:color w:val="auto"/>
          <w:szCs w:val="21"/>
          <w:highlight w:val="none"/>
        </w:rPr>
        <w:t>，按照合同</w:t>
      </w:r>
      <w:r>
        <w:rPr>
          <w:rFonts w:asciiTheme="minorEastAsia" w:hAnsiTheme="minorEastAsia"/>
          <w:color w:val="auto"/>
          <w:szCs w:val="21"/>
          <w:highlight w:val="none"/>
        </w:rPr>
        <w:t>已通过</w:t>
      </w:r>
      <w:r>
        <w:rPr>
          <w:rFonts w:hint="eastAsia" w:asciiTheme="minorEastAsia" w:hAnsiTheme="minorEastAsia"/>
          <w:color w:val="auto"/>
          <w:szCs w:val="21"/>
          <w:highlight w:val="none"/>
        </w:rPr>
        <w:t>该项目付</w:t>
      </w:r>
      <w:r>
        <w:rPr>
          <w:rFonts w:asciiTheme="minorEastAsia" w:hAnsiTheme="minorEastAsia"/>
          <w:color w:val="auto"/>
          <w:szCs w:val="21"/>
          <w:highlight w:val="none"/>
        </w:rPr>
        <w:t>给“</w:t>
      </w:r>
      <w:r>
        <w:rPr>
          <w:rFonts w:hint="eastAsia" w:eastAsia="宋体" w:asciiTheme="minorEastAsia" w:hAnsiTheme="minorEastAsia"/>
          <w:color w:val="auto"/>
          <w:szCs w:val="21"/>
          <w:highlight w:val="none"/>
          <w:lang w:val="en-US" w:eastAsia="zh-CN"/>
        </w:rPr>
        <w:t>原施工单位</w:t>
      </w:r>
      <w:r>
        <w:rPr>
          <w:rFonts w:asciiTheme="minorEastAsia" w:hAnsiTheme="minorEastAsia"/>
          <w:color w:val="auto"/>
          <w:szCs w:val="21"/>
          <w:highlight w:val="none"/>
        </w:rPr>
        <w:t>”3年</w:t>
      </w:r>
      <w:r>
        <w:rPr>
          <w:rFonts w:hint="eastAsia" w:asciiTheme="minorEastAsia" w:hAnsiTheme="minorEastAsia"/>
          <w:color w:val="auto"/>
          <w:szCs w:val="21"/>
          <w:highlight w:val="none"/>
        </w:rPr>
        <w:t>网络费用，点位3年</w:t>
      </w:r>
      <w:r>
        <w:rPr>
          <w:rFonts w:asciiTheme="minorEastAsia" w:hAnsiTheme="minorEastAsia"/>
          <w:color w:val="auto"/>
          <w:szCs w:val="21"/>
          <w:highlight w:val="none"/>
        </w:rPr>
        <w:t>期满之后，按照本次</w:t>
      </w:r>
      <w:r>
        <w:rPr>
          <w:rFonts w:hint="eastAsia" w:asciiTheme="minorEastAsia" w:hAnsiTheme="minorEastAsia"/>
          <w:color w:val="auto"/>
          <w:szCs w:val="21"/>
          <w:highlight w:val="none"/>
        </w:rPr>
        <w:t>招</w:t>
      </w:r>
      <w:r>
        <w:rPr>
          <w:rFonts w:asciiTheme="minorEastAsia" w:hAnsiTheme="minorEastAsia"/>
          <w:color w:val="auto"/>
          <w:szCs w:val="21"/>
          <w:highlight w:val="none"/>
        </w:rPr>
        <w:t>标的</w:t>
      </w:r>
      <w:r>
        <w:rPr>
          <w:rFonts w:hint="eastAsia" w:asciiTheme="minorEastAsia" w:hAnsiTheme="minorEastAsia"/>
          <w:color w:val="auto"/>
          <w:szCs w:val="21"/>
          <w:highlight w:val="none"/>
        </w:rPr>
        <w:t>中标价格（电子警察网络费用每个路口或者一个点位每年</w:t>
      </w:r>
      <w:r>
        <w:rPr>
          <w:rFonts w:hint="eastAsia" w:eastAsia="宋体" w:asciiTheme="minorEastAsia" w:hAnsiTheme="minorEastAsia"/>
          <w:color w:val="auto"/>
          <w:szCs w:val="21"/>
          <w:highlight w:val="none"/>
          <w:lang w:val="en-US" w:eastAsia="zh-CN"/>
        </w:rPr>
        <w:t>***</w:t>
      </w:r>
      <w:r>
        <w:rPr>
          <w:rFonts w:hint="eastAsia" w:asciiTheme="minorEastAsia" w:hAnsiTheme="minorEastAsia"/>
          <w:color w:val="auto"/>
          <w:szCs w:val="21"/>
          <w:highlight w:val="none"/>
        </w:rPr>
        <w:t>元），经科技中队、设施中队共同核实之后，有中标单位续费据实结算，至本标合同期满。</w:t>
      </w:r>
    </w:p>
    <w:p w14:paraId="37568CF6">
      <w:pPr>
        <w:spacing w:after="0" w:line="400" w:lineRule="exact"/>
        <w:ind w:firstLine="630" w:firstLineChars="300"/>
        <w:rPr>
          <w:rFonts w:asciiTheme="minorEastAsia" w:hAnsiTheme="minorEastAsia"/>
          <w:szCs w:val="21"/>
        </w:rPr>
      </w:pPr>
      <w:r>
        <w:rPr>
          <w:rFonts w:hint="eastAsia" w:asciiTheme="minorEastAsia" w:hAnsiTheme="minorEastAsia"/>
          <w:color w:val="auto"/>
          <w:szCs w:val="21"/>
          <w:highlight w:val="none"/>
        </w:rPr>
        <w:t>3、本标包含信号灯绿波</w:t>
      </w:r>
      <w:r>
        <w:rPr>
          <w:rFonts w:asciiTheme="minorEastAsia" w:hAnsiTheme="minorEastAsia"/>
          <w:color w:val="auto"/>
          <w:szCs w:val="21"/>
          <w:highlight w:val="none"/>
        </w:rPr>
        <w:t>网络</w:t>
      </w:r>
      <w:r>
        <w:rPr>
          <w:rFonts w:hint="eastAsia" w:asciiTheme="minorEastAsia" w:hAnsiTheme="minorEastAsia"/>
          <w:color w:val="auto"/>
          <w:szCs w:val="21"/>
          <w:highlight w:val="none"/>
        </w:rPr>
        <w:t>，费用为每个路口</w:t>
      </w:r>
      <w:r>
        <w:rPr>
          <w:rFonts w:hint="eastAsia" w:eastAsia="宋体" w:asciiTheme="minorEastAsia" w:hAnsiTheme="minorEastAsia"/>
          <w:color w:val="auto"/>
          <w:szCs w:val="21"/>
          <w:highlight w:val="none"/>
          <w:lang w:val="en-US" w:eastAsia="zh-CN"/>
        </w:rPr>
        <w:t>***</w:t>
      </w:r>
      <w:r>
        <w:rPr>
          <w:rFonts w:hint="eastAsia" w:asciiTheme="minorEastAsia" w:hAnsiTheme="minorEastAsia"/>
          <w:color w:val="auto"/>
          <w:szCs w:val="21"/>
          <w:highlight w:val="none"/>
        </w:rPr>
        <w:t>元，2017</w:t>
      </w:r>
      <w:r>
        <w:rPr>
          <w:rFonts w:hint="eastAsia" w:asciiTheme="minorEastAsia" w:hAnsiTheme="minorEastAsia"/>
          <w:szCs w:val="21"/>
        </w:rPr>
        <w:t>年4月20日林州交警大队与中国联合网络通信有限公司林州市分公司签订的“电路租用协议书</w:t>
      </w:r>
      <w:r>
        <w:rPr>
          <w:rFonts w:asciiTheme="minorEastAsia" w:hAnsiTheme="minorEastAsia"/>
          <w:szCs w:val="21"/>
        </w:rPr>
        <w:t>”</w:t>
      </w:r>
      <w:r>
        <w:rPr>
          <w:rFonts w:hint="eastAsia" w:asciiTheme="minorEastAsia" w:hAnsiTheme="minorEastAsia"/>
          <w:szCs w:val="21"/>
        </w:rPr>
        <w:t>2020年2月28日期满后，费用由乙方支付，经设施中队核准后，按照本次招标中标价格由乙方续费据实结算，至本标合同期满。</w:t>
      </w:r>
    </w:p>
    <w:p w14:paraId="5EB2E28A">
      <w:pPr>
        <w:spacing w:after="0" w:line="400" w:lineRule="exact"/>
        <w:ind w:firstLine="630" w:firstLineChars="300"/>
        <w:rPr>
          <w:rFonts w:asciiTheme="minorEastAsia" w:hAnsiTheme="minorEastAsia"/>
          <w:szCs w:val="21"/>
        </w:rPr>
      </w:pPr>
      <w:r>
        <w:rPr>
          <w:rFonts w:hint="eastAsia" w:asciiTheme="minorEastAsia" w:hAnsiTheme="minorEastAsia"/>
          <w:szCs w:val="21"/>
        </w:rPr>
        <w:t>4</w:t>
      </w:r>
      <w:r>
        <w:rPr>
          <w:rFonts w:asciiTheme="minorEastAsia" w:hAnsiTheme="minorEastAsia"/>
          <w:szCs w:val="21"/>
        </w:rPr>
        <w:t>、交警大队</w:t>
      </w:r>
      <w:r>
        <w:rPr>
          <w:rFonts w:hint="eastAsia" w:asciiTheme="minorEastAsia" w:hAnsiTheme="minorEastAsia"/>
          <w:szCs w:val="21"/>
        </w:rPr>
        <w:t>在</w:t>
      </w:r>
      <w:r>
        <w:rPr>
          <w:rFonts w:hint="eastAsia" w:asciiTheme="minorEastAsia" w:hAnsiTheme="minorEastAsia" w:eastAsiaTheme="minorEastAsia"/>
          <w:kern w:val="0"/>
          <w:szCs w:val="21"/>
        </w:rPr>
        <w:t>“林州市道路交通大提升交通设施采购项目C包”工程项目之前，</w:t>
      </w:r>
      <w:r>
        <w:rPr>
          <w:rFonts w:asciiTheme="minorEastAsia" w:hAnsiTheme="minorEastAsia"/>
          <w:szCs w:val="21"/>
        </w:rPr>
        <w:t>有91个老网点使用</w:t>
      </w:r>
      <w:r>
        <w:rPr>
          <w:rFonts w:hint="eastAsia" w:asciiTheme="minorEastAsia" w:hAnsiTheme="minorEastAsia"/>
          <w:szCs w:val="21"/>
        </w:rPr>
        <w:t>中国联合网络通信有限公司林州市分公司网络租用服务</w:t>
      </w:r>
      <w:r>
        <w:rPr>
          <w:rFonts w:asciiTheme="minorEastAsia" w:hAnsiTheme="minorEastAsia"/>
          <w:szCs w:val="21"/>
        </w:rPr>
        <w:t>(有协议)，其中34个点位在交通安全大提升当中已经改造，费用已包括到大提升做的217个点位当中，剩余的57个老点位在2020年2月28日合同期满后执行本标，</w:t>
      </w:r>
      <w:r>
        <w:rPr>
          <w:rFonts w:hint="eastAsia" w:asciiTheme="minorEastAsia" w:hAnsiTheme="minorEastAsia"/>
          <w:szCs w:val="21"/>
        </w:rPr>
        <w:t>经设科技、施中队核准后，按照信号灯绿波、电子警察的中标价格，由乙方续费据实结算，至本标合同期满。</w:t>
      </w:r>
    </w:p>
    <w:p w14:paraId="2A2E0FA2">
      <w:pPr>
        <w:spacing w:after="0" w:line="400" w:lineRule="exact"/>
        <w:ind w:firstLine="630" w:firstLineChars="300"/>
        <w:rPr>
          <w:rFonts w:asciiTheme="minorEastAsia" w:hAnsiTheme="minorEastAsia"/>
          <w:szCs w:val="21"/>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szCs w:val="21"/>
        </w:rPr>
        <w:t>5</w:t>
      </w:r>
      <w:r>
        <w:rPr>
          <w:rFonts w:asciiTheme="minorEastAsia" w:hAnsiTheme="minorEastAsia"/>
          <w:szCs w:val="21"/>
        </w:rPr>
        <w:t>、经交警大队</w:t>
      </w:r>
      <w:r>
        <w:rPr>
          <w:rFonts w:hint="eastAsia" w:asciiTheme="minorEastAsia" w:hAnsiTheme="minorEastAsia"/>
          <w:szCs w:val="21"/>
        </w:rPr>
        <w:t>许可</w:t>
      </w:r>
      <w:r>
        <w:rPr>
          <w:rFonts w:asciiTheme="minorEastAsia" w:hAnsiTheme="minorEastAsia"/>
          <w:szCs w:val="21"/>
        </w:rPr>
        <w:t>，</w:t>
      </w:r>
      <w:r>
        <w:rPr>
          <w:rFonts w:hint="eastAsia" w:asciiTheme="minorEastAsia" w:hAnsiTheme="minorEastAsia"/>
          <w:szCs w:val="21"/>
        </w:rPr>
        <w:t>公路局、住建局、陵阳镇等</w:t>
      </w:r>
      <w:r>
        <w:rPr>
          <w:rFonts w:asciiTheme="minorEastAsia" w:hAnsiTheme="minorEastAsia"/>
          <w:szCs w:val="21"/>
        </w:rPr>
        <w:t>其他单位新建电子警察系统</w:t>
      </w:r>
      <w:r>
        <w:rPr>
          <w:rFonts w:hint="eastAsia" w:asciiTheme="minorEastAsia" w:hAnsiTheme="minorEastAsia"/>
          <w:szCs w:val="21"/>
        </w:rPr>
        <w:t>接入交警大队</w:t>
      </w:r>
      <w:r>
        <w:rPr>
          <w:rFonts w:asciiTheme="minorEastAsia" w:hAnsiTheme="minorEastAsia"/>
          <w:szCs w:val="21"/>
        </w:rPr>
        <w:t>的网络费用</w:t>
      </w:r>
      <w:r>
        <w:rPr>
          <w:rFonts w:hint="eastAsia" w:asciiTheme="minorEastAsia" w:hAnsiTheme="minorEastAsia"/>
          <w:szCs w:val="21"/>
        </w:rPr>
        <w:t>（包括信号灯绿波和电子警察）</w:t>
      </w:r>
      <w:r>
        <w:rPr>
          <w:rFonts w:asciiTheme="minorEastAsia" w:hAnsiTheme="minorEastAsia"/>
          <w:szCs w:val="21"/>
        </w:rPr>
        <w:t>，</w:t>
      </w:r>
      <w:r>
        <w:rPr>
          <w:rFonts w:hint="eastAsia" w:asciiTheme="minorEastAsia" w:hAnsiTheme="minorEastAsia"/>
          <w:szCs w:val="21"/>
        </w:rPr>
        <w:t>由</w:t>
      </w:r>
      <w:r>
        <w:rPr>
          <w:rFonts w:asciiTheme="minorEastAsia" w:hAnsiTheme="minorEastAsia"/>
          <w:szCs w:val="21"/>
        </w:rPr>
        <w:t>本标中支出，</w:t>
      </w:r>
      <w:r>
        <w:rPr>
          <w:rFonts w:hint="eastAsia" w:asciiTheme="minorEastAsia" w:hAnsiTheme="minorEastAsia"/>
          <w:szCs w:val="21"/>
        </w:rPr>
        <w:t>经科技中队、设施中队核实之后，</w:t>
      </w:r>
      <w:r>
        <w:rPr>
          <w:rFonts w:asciiTheme="minorEastAsia" w:hAnsiTheme="minorEastAsia"/>
          <w:szCs w:val="21"/>
        </w:rPr>
        <w:t>依照本次招标</w:t>
      </w:r>
      <w:r>
        <w:rPr>
          <w:rFonts w:hint="eastAsia" w:asciiTheme="minorEastAsia" w:hAnsiTheme="minorEastAsia"/>
          <w:szCs w:val="21"/>
        </w:rPr>
        <w:t>中标价格据实结算，至本标合同期满。</w:t>
      </w:r>
    </w:p>
    <w:p w14:paraId="77181B80">
      <w:pPr>
        <w:spacing w:after="0" w:line="400" w:lineRule="exact"/>
        <w:ind w:firstLine="420" w:firstLineChars="200"/>
        <w:rPr>
          <w:rFonts w:asciiTheme="minorEastAsia" w:hAnsiTheme="minorEastAsia"/>
          <w:szCs w:val="21"/>
        </w:rPr>
      </w:pPr>
      <w:r>
        <w:rPr>
          <w:rFonts w:hint="eastAsia" w:asciiTheme="minorEastAsia" w:hAnsiTheme="minorEastAsia"/>
          <w:szCs w:val="21"/>
        </w:rPr>
        <w:t>附件3:</w:t>
      </w:r>
    </w:p>
    <w:p w14:paraId="4B441143">
      <w:pPr>
        <w:spacing w:after="0" w:line="400" w:lineRule="exact"/>
        <w:ind w:firstLine="420" w:firstLineChars="200"/>
        <w:jc w:val="center"/>
        <w:rPr>
          <w:rFonts w:asciiTheme="minorEastAsia" w:hAnsiTheme="minorEastAsia"/>
          <w:szCs w:val="21"/>
        </w:rPr>
      </w:pPr>
      <w:r>
        <w:rPr>
          <w:rFonts w:hint="eastAsia" w:asciiTheme="minorEastAsia" w:hAnsiTheme="minorEastAsia"/>
          <w:szCs w:val="21"/>
        </w:rPr>
        <w:t>派驻维护人员管理制度</w:t>
      </w:r>
    </w:p>
    <w:p w14:paraId="1567B259">
      <w:pPr>
        <w:spacing w:after="0" w:line="400" w:lineRule="exact"/>
        <w:ind w:firstLine="420" w:firstLineChars="200"/>
        <w:rPr>
          <w:rFonts w:asciiTheme="minorEastAsia" w:hAnsiTheme="minorEastAsia"/>
          <w:szCs w:val="21"/>
        </w:rPr>
      </w:pPr>
      <w:r>
        <w:rPr>
          <w:rFonts w:hint="eastAsia" w:asciiTheme="minorEastAsia" w:hAnsiTheme="minorEastAsia"/>
          <w:szCs w:val="21"/>
        </w:rPr>
        <w:t>为了加强设备管理，提高维护人员技术水平，保证设备正常运行，更好的为交警大队智能交通系统服务。设备维护工作应贯彻预防为主的原则，应把设备故障消灭在萌芽状态，防止设备事故的发生延长设备使用寿命和检修周期，保证设备的平稳运行，为全市智能交通系统提供最佳状态的运行。并根据设备维护保养规程定期进行维护保养。维修过程实行科学检修，文明施工，杜绝野蛮拆装。</w:t>
      </w:r>
    </w:p>
    <w:p w14:paraId="67C2D8FD">
      <w:pPr>
        <w:spacing w:after="0" w:line="400" w:lineRule="exact"/>
        <w:ind w:firstLine="420" w:firstLineChars="200"/>
        <w:rPr>
          <w:rFonts w:asciiTheme="minorEastAsia" w:hAnsiTheme="minorEastAsia"/>
          <w:szCs w:val="21"/>
        </w:rPr>
      </w:pPr>
      <w:r>
        <w:rPr>
          <w:rFonts w:hint="eastAsia" w:asciiTheme="minorEastAsia" w:hAnsiTheme="minorEastAsia"/>
          <w:szCs w:val="21"/>
        </w:rPr>
        <w:t>1、维护人员必须遵守工作纪律，认真学习业务知识，努力提高自身素质和修养。</w:t>
      </w:r>
    </w:p>
    <w:p w14:paraId="3992A5A7">
      <w:pPr>
        <w:spacing w:after="0" w:line="400" w:lineRule="exact"/>
        <w:ind w:firstLine="420" w:firstLineChars="200"/>
        <w:rPr>
          <w:rFonts w:asciiTheme="minorEastAsia" w:hAnsiTheme="minorEastAsia"/>
          <w:szCs w:val="21"/>
        </w:rPr>
      </w:pPr>
      <w:r>
        <w:rPr>
          <w:rFonts w:hint="eastAsia" w:asciiTheme="minorEastAsia" w:hAnsiTheme="minorEastAsia"/>
          <w:szCs w:val="21"/>
        </w:rPr>
        <w:t>2、掌握所有设备的工作原理、使用方法、故障排除方法、使用性能和注意事项。</w:t>
      </w:r>
    </w:p>
    <w:p w14:paraId="3F32B1F6">
      <w:pPr>
        <w:spacing w:after="0" w:line="400" w:lineRule="exact"/>
        <w:ind w:firstLine="420" w:firstLineChars="200"/>
        <w:rPr>
          <w:rFonts w:asciiTheme="minorEastAsia" w:hAnsiTheme="minorEastAsia"/>
          <w:szCs w:val="21"/>
        </w:rPr>
      </w:pPr>
      <w:r>
        <w:rPr>
          <w:rFonts w:hint="eastAsia" w:asciiTheme="minorEastAsia" w:hAnsiTheme="minorEastAsia"/>
          <w:szCs w:val="21"/>
        </w:rPr>
        <w:t>3、做好每天的巡检工作，发现问题及时处理，认真填写好工作记录。</w:t>
      </w:r>
    </w:p>
    <w:p w14:paraId="7B07F857">
      <w:pPr>
        <w:spacing w:after="0" w:line="400" w:lineRule="exact"/>
        <w:ind w:firstLine="420" w:firstLineChars="200"/>
        <w:rPr>
          <w:rFonts w:asciiTheme="minorEastAsia" w:hAnsiTheme="minorEastAsia"/>
          <w:szCs w:val="21"/>
        </w:rPr>
      </w:pPr>
      <w:r>
        <w:rPr>
          <w:rFonts w:hint="eastAsia" w:asciiTheme="minorEastAsia" w:hAnsiTheme="minorEastAsia"/>
          <w:szCs w:val="21"/>
        </w:rPr>
        <w:t>4、对设备必须每月彻底清查一次，并做好记录。</w:t>
      </w:r>
    </w:p>
    <w:p w14:paraId="722C5D28">
      <w:pPr>
        <w:spacing w:after="0" w:line="400" w:lineRule="exact"/>
        <w:ind w:firstLine="420" w:firstLineChars="200"/>
        <w:rPr>
          <w:rFonts w:asciiTheme="minorEastAsia" w:hAnsiTheme="minorEastAsia"/>
          <w:szCs w:val="21"/>
        </w:rPr>
      </w:pPr>
      <w:r>
        <w:rPr>
          <w:rFonts w:hint="eastAsia" w:asciiTheme="minorEastAsia" w:hAnsiTheme="minorEastAsia"/>
          <w:szCs w:val="21"/>
        </w:rPr>
        <w:t>5、如设备发生故障，要及时迅速的进行检测排除，绝对不能拖延。如排除故障有困难要及时上报，不得置之不理。</w:t>
      </w:r>
    </w:p>
    <w:p w14:paraId="2ADF5289">
      <w:pPr>
        <w:spacing w:after="0" w:line="400" w:lineRule="exact"/>
        <w:ind w:firstLine="420" w:firstLineChars="200"/>
        <w:rPr>
          <w:rFonts w:asciiTheme="minorEastAsia" w:hAnsiTheme="minorEastAsia"/>
          <w:szCs w:val="21"/>
        </w:rPr>
      </w:pPr>
      <w:r>
        <w:rPr>
          <w:rFonts w:hint="eastAsia" w:asciiTheme="minorEastAsia" w:hAnsiTheme="minorEastAsia"/>
          <w:szCs w:val="21"/>
        </w:rPr>
        <w:t>6、设备维修完毕后，必须清理现场，收拾好工具，并认真做好记录。</w:t>
      </w:r>
    </w:p>
    <w:p w14:paraId="581B767F">
      <w:pPr>
        <w:spacing w:after="0" w:line="400" w:lineRule="exact"/>
        <w:ind w:firstLine="420" w:firstLineChars="200"/>
        <w:rPr>
          <w:rFonts w:asciiTheme="minorEastAsia" w:hAnsiTheme="minorEastAsia"/>
          <w:szCs w:val="21"/>
        </w:rPr>
      </w:pPr>
      <w:r>
        <w:rPr>
          <w:rFonts w:hint="eastAsia" w:asciiTheme="minorEastAsia" w:hAnsiTheme="minorEastAsia"/>
          <w:szCs w:val="21"/>
        </w:rPr>
        <w:t>7、维护人员不得在岗位做与工作无关的事，严格遵守各项规定。</w:t>
      </w:r>
    </w:p>
    <w:p w14:paraId="63DE1B91">
      <w:pPr>
        <w:spacing w:after="0" w:line="400" w:lineRule="exact"/>
        <w:ind w:firstLine="420" w:firstLineChars="200"/>
        <w:rPr>
          <w:rFonts w:asciiTheme="minorEastAsia" w:hAnsiTheme="minorEastAsia"/>
          <w:szCs w:val="21"/>
        </w:rPr>
        <w:sectPr>
          <w:pgSz w:w="11906" w:h="16838"/>
          <w:pgMar w:top="1440" w:right="1800" w:bottom="1440" w:left="1800" w:header="851" w:footer="992" w:gutter="0"/>
          <w:pgNumType w:fmt="decimal"/>
          <w:cols w:space="425" w:num="1"/>
          <w:docGrid w:type="lines" w:linePitch="312" w:charSpace="0"/>
        </w:sectPr>
      </w:pPr>
    </w:p>
    <w:p w14:paraId="2FB53D12">
      <w:pPr>
        <w:spacing w:after="0" w:line="400" w:lineRule="exact"/>
        <w:ind w:firstLine="420" w:firstLineChars="200"/>
        <w:rPr>
          <w:rFonts w:asciiTheme="minorEastAsia" w:hAnsiTheme="minorEastAsia"/>
          <w:szCs w:val="21"/>
        </w:rPr>
      </w:pPr>
      <w:r>
        <w:rPr>
          <w:rFonts w:hint="eastAsia" w:asciiTheme="minorEastAsia" w:hAnsiTheme="minorEastAsia"/>
          <w:szCs w:val="21"/>
        </w:rPr>
        <w:t>附件4:</w:t>
      </w:r>
    </w:p>
    <w:p w14:paraId="32A40DD4">
      <w:pPr>
        <w:spacing w:after="0" w:line="400" w:lineRule="exact"/>
        <w:ind w:firstLine="420" w:firstLineChars="200"/>
        <w:jc w:val="center"/>
        <w:rPr>
          <w:rFonts w:asciiTheme="minorEastAsia" w:hAnsiTheme="minorEastAsia"/>
          <w:szCs w:val="21"/>
        </w:rPr>
      </w:pPr>
      <w:r>
        <w:rPr>
          <w:rFonts w:hint="eastAsia" w:asciiTheme="minorEastAsia" w:hAnsiTheme="minorEastAsia"/>
          <w:szCs w:val="21"/>
        </w:rPr>
        <w:t>重特大事件及意外突发状况应急预案</w:t>
      </w:r>
    </w:p>
    <w:p w14:paraId="315F93AE">
      <w:pPr>
        <w:spacing w:after="0" w:line="400" w:lineRule="exact"/>
        <w:ind w:firstLine="420" w:firstLineChars="200"/>
        <w:rPr>
          <w:rFonts w:asciiTheme="minorEastAsia" w:hAnsiTheme="minorEastAsia"/>
          <w:szCs w:val="21"/>
        </w:rPr>
      </w:pPr>
      <w:r>
        <w:rPr>
          <w:rFonts w:hint="eastAsia" w:asciiTheme="minorEastAsia" w:hAnsiTheme="minorEastAsia"/>
          <w:szCs w:val="21"/>
        </w:rPr>
        <w:t>1.目的。为加强对全市道路交通技术监控智能系统管控力度，力保大队智能交通设备正常运行，内部严管严控切实做到防患于未然以外，特制订本应急预案。规范应急响应程序，及时有效的实施应急抢修工作，最大限度的减少由于设备故障造成的各种损失。</w:t>
      </w:r>
    </w:p>
    <w:p w14:paraId="7D95EDCE">
      <w:pPr>
        <w:spacing w:after="0" w:line="400" w:lineRule="exact"/>
        <w:ind w:firstLine="420" w:firstLineChars="200"/>
        <w:rPr>
          <w:rFonts w:asciiTheme="minorEastAsia" w:hAnsiTheme="minorEastAsia"/>
          <w:szCs w:val="21"/>
        </w:rPr>
      </w:pPr>
      <w:r>
        <w:rPr>
          <w:rFonts w:hint="eastAsia" w:asciiTheme="minorEastAsia" w:hAnsiTheme="minorEastAsia"/>
          <w:szCs w:val="21"/>
        </w:rPr>
        <w:t>2、工作原则。坚持预防为主、保障畅通的方针突出设备故障预防和控制措施，有效防止重大设备故障的发生。加强对本单位员工设施保护、业务技术培训以及安全技术宣传。提高从业者对设备维护的意识，确保交通设施的安全。</w:t>
      </w:r>
    </w:p>
    <w:p w14:paraId="6B50B2B4">
      <w:pPr>
        <w:spacing w:after="0" w:line="400" w:lineRule="exact"/>
        <w:ind w:firstLine="420" w:firstLineChars="200"/>
        <w:rPr>
          <w:rFonts w:asciiTheme="minorEastAsia" w:hAnsiTheme="minorEastAsia"/>
          <w:szCs w:val="21"/>
        </w:rPr>
      </w:pPr>
      <w:r>
        <w:rPr>
          <w:rFonts w:hint="eastAsia" w:asciiTheme="minorEastAsia" w:hAnsiTheme="minorEastAsia"/>
          <w:szCs w:val="21"/>
        </w:rPr>
        <w:t>3、统一指挥。成立设备故障应急抢修领导小组，由技术部技术负责人担任组长，组员由派驻大队维护人员组成。在技术负责人的统一指挥协调下组织开展设备故障抢险、抢修，故障排查和系统恢复。</w:t>
      </w:r>
    </w:p>
    <w:p w14:paraId="0132FE6D">
      <w:pPr>
        <w:spacing w:after="0" w:line="400" w:lineRule="exact"/>
        <w:ind w:firstLine="420" w:firstLineChars="200"/>
        <w:rPr>
          <w:rFonts w:asciiTheme="minorEastAsia" w:hAnsiTheme="minorEastAsia"/>
          <w:szCs w:val="21"/>
        </w:rPr>
      </w:pPr>
      <w:r>
        <w:rPr>
          <w:rFonts w:hint="eastAsia" w:asciiTheme="minorEastAsia" w:hAnsiTheme="minorEastAsia"/>
          <w:szCs w:val="21"/>
        </w:rPr>
        <w:t>4、分层分区。按照分层次、分区域，统一协调，各负其责的原则建立故障应急抢修体系。</w:t>
      </w:r>
    </w:p>
    <w:p w14:paraId="4857D38C">
      <w:pPr>
        <w:spacing w:after="0" w:line="400" w:lineRule="exact"/>
        <w:ind w:firstLine="420" w:firstLineChars="200"/>
        <w:rPr>
          <w:rFonts w:asciiTheme="minorEastAsia" w:hAnsiTheme="minorEastAsia"/>
          <w:szCs w:val="21"/>
        </w:rPr>
      </w:pPr>
      <w:r>
        <w:rPr>
          <w:rFonts w:hint="eastAsia" w:asciiTheme="minorEastAsia" w:hAnsiTheme="minorEastAsia"/>
          <w:szCs w:val="21"/>
        </w:rPr>
        <w:t>5、保障重点。在重大故障的处理排查和控制中，将确保道路畅通，确保安全放在第-位。对人口稠密、车辆密集的部位、地点进行重点归类。</w:t>
      </w:r>
    </w:p>
    <w:p w14:paraId="1FD6D31B">
      <w:pPr>
        <w:spacing w:after="0" w:line="400" w:lineRule="exact"/>
        <w:ind w:firstLine="420" w:firstLineChars="200"/>
        <w:rPr>
          <w:rFonts w:asciiTheme="minorEastAsia" w:hAnsiTheme="minorEastAsia"/>
          <w:szCs w:val="21"/>
        </w:rPr>
      </w:pPr>
      <w:r>
        <w:rPr>
          <w:rFonts w:hint="eastAsia" w:asciiTheme="minorEastAsia" w:hAnsiTheme="minorEastAsia"/>
          <w:szCs w:val="21"/>
        </w:rPr>
        <w:t>6、快速反应。快速反应力量由应急领导小组负责，确保通讯畅通，确保抢修车辆、设备及备品备件的落实。</w:t>
      </w:r>
    </w:p>
    <w:p w14:paraId="4A73FD2E">
      <w:pPr>
        <w:pStyle w:val="16"/>
        <w:ind w:left="420"/>
        <w:rPr>
          <w:rFonts w:asciiTheme="minorEastAsia" w:hAnsiTheme="minorEastAsia"/>
          <w:szCs w:val="21"/>
        </w:rPr>
      </w:pPr>
    </w:p>
    <w:p w14:paraId="4533458F">
      <w:pPr>
        <w:pStyle w:val="16"/>
        <w:ind w:left="420"/>
        <w:rPr>
          <w:rFonts w:asciiTheme="minorEastAsia" w:hAnsiTheme="minorEastAsia"/>
          <w:szCs w:val="21"/>
        </w:rPr>
      </w:pPr>
    </w:p>
    <w:p w14:paraId="4A3BC08E">
      <w:pPr>
        <w:pStyle w:val="16"/>
        <w:ind w:left="420"/>
        <w:rPr>
          <w:rFonts w:asciiTheme="minorEastAsia" w:hAnsiTheme="minorEastAsia"/>
          <w:szCs w:val="21"/>
        </w:rPr>
      </w:pPr>
    </w:p>
    <w:p w14:paraId="536190F7">
      <w:pPr>
        <w:pStyle w:val="16"/>
        <w:ind w:left="420"/>
        <w:rPr>
          <w:rFonts w:asciiTheme="minorEastAsia" w:hAnsiTheme="minorEastAsia"/>
          <w:szCs w:val="21"/>
        </w:rPr>
      </w:pPr>
    </w:p>
    <w:p w14:paraId="4AF3B14C">
      <w:pPr>
        <w:pStyle w:val="16"/>
        <w:ind w:left="420"/>
        <w:rPr>
          <w:rFonts w:asciiTheme="minorEastAsia" w:hAnsiTheme="minorEastAsia"/>
          <w:szCs w:val="21"/>
        </w:rPr>
      </w:pPr>
    </w:p>
    <w:p w14:paraId="0EDB6942">
      <w:pPr>
        <w:pStyle w:val="16"/>
        <w:ind w:left="420"/>
        <w:rPr>
          <w:rFonts w:asciiTheme="minorEastAsia" w:hAnsiTheme="minorEastAsia"/>
          <w:szCs w:val="21"/>
        </w:rPr>
      </w:pPr>
    </w:p>
    <w:p w14:paraId="50650370">
      <w:pPr>
        <w:pStyle w:val="16"/>
        <w:ind w:left="420"/>
        <w:rPr>
          <w:rFonts w:asciiTheme="minorEastAsia" w:hAnsiTheme="minorEastAsia"/>
          <w:szCs w:val="21"/>
        </w:rPr>
      </w:pPr>
    </w:p>
    <w:p w14:paraId="4E9D5A7D">
      <w:pPr>
        <w:pStyle w:val="16"/>
        <w:ind w:left="420"/>
        <w:rPr>
          <w:rFonts w:asciiTheme="minorEastAsia" w:hAnsiTheme="minorEastAsia"/>
          <w:szCs w:val="21"/>
        </w:rPr>
      </w:pPr>
    </w:p>
    <w:p w14:paraId="2C666E1F">
      <w:pPr>
        <w:pStyle w:val="16"/>
        <w:ind w:left="420"/>
        <w:rPr>
          <w:rFonts w:asciiTheme="minorEastAsia" w:hAnsiTheme="minorEastAsia"/>
          <w:szCs w:val="21"/>
        </w:rPr>
      </w:pPr>
    </w:p>
    <w:p w14:paraId="6DC3C48F">
      <w:pPr>
        <w:pStyle w:val="16"/>
        <w:ind w:left="420"/>
        <w:rPr>
          <w:rFonts w:asciiTheme="minorEastAsia" w:hAnsiTheme="minorEastAsia"/>
          <w:szCs w:val="21"/>
        </w:rPr>
      </w:pPr>
    </w:p>
    <w:p w14:paraId="5266E0BC">
      <w:pPr>
        <w:pStyle w:val="16"/>
        <w:ind w:left="420"/>
        <w:rPr>
          <w:rFonts w:asciiTheme="minorEastAsia" w:hAnsiTheme="minorEastAsia"/>
          <w:szCs w:val="21"/>
        </w:rPr>
      </w:pPr>
    </w:p>
    <w:p w14:paraId="68C35967">
      <w:pPr>
        <w:pStyle w:val="16"/>
        <w:ind w:left="420"/>
        <w:rPr>
          <w:rFonts w:asciiTheme="minorEastAsia" w:hAnsiTheme="minorEastAsia"/>
          <w:szCs w:val="21"/>
        </w:rPr>
      </w:pPr>
    </w:p>
    <w:p w14:paraId="16817FEA">
      <w:pPr>
        <w:pStyle w:val="16"/>
        <w:ind w:left="420"/>
        <w:rPr>
          <w:rFonts w:asciiTheme="minorEastAsia" w:hAnsiTheme="minorEastAsia"/>
          <w:szCs w:val="21"/>
        </w:rPr>
      </w:pPr>
    </w:p>
    <w:p w14:paraId="234ECCC4">
      <w:pPr>
        <w:pStyle w:val="16"/>
        <w:ind w:left="420"/>
        <w:rPr>
          <w:rFonts w:asciiTheme="minorEastAsia" w:hAnsiTheme="minorEastAsia"/>
          <w:szCs w:val="21"/>
        </w:rPr>
      </w:pPr>
    </w:p>
    <w:p w14:paraId="4D0DCCEF">
      <w:pPr>
        <w:pStyle w:val="16"/>
        <w:ind w:left="420"/>
        <w:rPr>
          <w:rFonts w:asciiTheme="minorEastAsia" w:hAnsiTheme="minorEastAsia"/>
          <w:szCs w:val="21"/>
        </w:rPr>
      </w:pPr>
    </w:p>
    <w:p w14:paraId="22A73A9C">
      <w:pPr>
        <w:pStyle w:val="16"/>
        <w:ind w:left="420"/>
        <w:rPr>
          <w:rFonts w:asciiTheme="minorEastAsia" w:hAnsiTheme="minorEastAsia"/>
          <w:szCs w:val="21"/>
        </w:rPr>
      </w:pPr>
    </w:p>
    <w:p w14:paraId="234C41C2">
      <w:pPr>
        <w:pStyle w:val="16"/>
        <w:ind w:left="0" w:leftChars="0" w:firstLine="0" w:firstLineChars="0"/>
        <w:rPr>
          <w:rFonts w:asciiTheme="minorEastAsia" w:hAnsiTheme="minorEastAsia"/>
          <w:szCs w:val="21"/>
        </w:rPr>
      </w:pPr>
    </w:p>
    <w:p w14:paraId="18C351D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附件5：</w:t>
      </w:r>
    </w:p>
    <w:p w14:paraId="39E38509">
      <w:pPr>
        <w:spacing w:line="360" w:lineRule="auto"/>
        <w:ind w:firstLine="640" w:firstLineChars="200"/>
        <w:jc w:val="center"/>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派驻</w:t>
      </w:r>
      <w:r>
        <w:rPr>
          <w:rFonts w:hint="eastAsia" w:asciiTheme="minorEastAsia" w:hAnsiTheme="minorEastAsia" w:cstheme="minorEastAsia"/>
          <w:sz w:val="32"/>
          <w:szCs w:val="32"/>
        </w:rPr>
        <w:t>交警队</w:t>
      </w:r>
      <w:r>
        <w:rPr>
          <w:rFonts w:hint="eastAsia" w:asciiTheme="minorEastAsia" w:hAnsiTheme="minorEastAsia" w:eastAsiaTheme="minorEastAsia" w:cstheme="minorEastAsia"/>
          <w:sz w:val="32"/>
          <w:szCs w:val="32"/>
        </w:rPr>
        <w:t>维护人员名单</w:t>
      </w:r>
    </w:p>
    <w:tbl>
      <w:tblPr>
        <w:tblStyle w:val="18"/>
        <w:tblW w:w="8739" w:type="dxa"/>
        <w:tblInd w:w="1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2274"/>
        <w:gridCol w:w="1730"/>
        <w:gridCol w:w="1730"/>
        <w:gridCol w:w="2042"/>
      </w:tblGrid>
      <w:tr w14:paraId="67FD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63" w:type="dxa"/>
          </w:tcPr>
          <w:p w14:paraId="6345B9B9">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2274" w:type="dxa"/>
          </w:tcPr>
          <w:p w14:paraId="204444A8">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姓名</w:t>
            </w:r>
          </w:p>
        </w:tc>
        <w:tc>
          <w:tcPr>
            <w:tcW w:w="1730" w:type="dxa"/>
          </w:tcPr>
          <w:p w14:paraId="27A438E1">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身份证号码</w:t>
            </w:r>
          </w:p>
        </w:tc>
        <w:tc>
          <w:tcPr>
            <w:tcW w:w="1730" w:type="dxa"/>
          </w:tcPr>
          <w:p w14:paraId="0F5D8FFF">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手机</w:t>
            </w:r>
          </w:p>
        </w:tc>
        <w:tc>
          <w:tcPr>
            <w:tcW w:w="2042" w:type="dxa"/>
          </w:tcPr>
          <w:p w14:paraId="1404A0C1">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值班电话</w:t>
            </w:r>
          </w:p>
        </w:tc>
      </w:tr>
      <w:tr w14:paraId="3B6F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963" w:type="dxa"/>
          </w:tcPr>
          <w:p w14:paraId="0CB1AAEE">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274" w:type="dxa"/>
          </w:tcPr>
          <w:p w14:paraId="784BCBF1">
            <w:pPr>
              <w:widowControl w:val="0"/>
              <w:spacing w:line="360" w:lineRule="auto"/>
              <w:jc w:val="center"/>
              <w:rPr>
                <w:rFonts w:asciiTheme="minorEastAsia" w:hAnsiTheme="minorEastAsia" w:eastAsiaTheme="minorEastAsia" w:cstheme="minorEastAsia"/>
                <w:szCs w:val="21"/>
              </w:rPr>
            </w:pPr>
          </w:p>
        </w:tc>
        <w:tc>
          <w:tcPr>
            <w:tcW w:w="1730" w:type="dxa"/>
          </w:tcPr>
          <w:p w14:paraId="1A705B54">
            <w:pPr>
              <w:widowControl w:val="0"/>
              <w:spacing w:line="360" w:lineRule="auto"/>
              <w:jc w:val="center"/>
              <w:rPr>
                <w:rFonts w:asciiTheme="minorEastAsia" w:hAnsiTheme="minorEastAsia" w:eastAsiaTheme="minorEastAsia" w:cstheme="minorEastAsia"/>
                <w:szCs w:val="21"/>
              </w:rPr>
            </w:pPr>
          </w:p>
        </w:tc>
        <w:tc>
          <w:tcPr>
            <w:tcW w:w="1730" w:type="dxa"/>
          </w:tcPr>
          <w:p w14:paraId="7A527232">
            <w:pPr>
              <w:widowControl w:val="0"/>
              <w:spacing w:line="360" w:lineRule="auto"/>
              <w:jc w:val="center"/>
              <w:rPr>
                <w:rFonts w:asciiTheme="minorEastAsia" w:hAnsiTheme="minorEastAsia" w:eastAsiaTheme="minorEastAsia" w:cstheme="minorEastAsia"/>
                <w:szCs w:val="21"/>
              </w:rPr>
            </w:pPr>
          </w:p>
        </w:tc>
        <w:tc>
          <w:tcPr>
            <w:tcW w:w="2042" w:type="dxa"/>
          </w:tcPr>
          <w:p w14:paraId="0CCB476E">
            <w:pPr>
              <w:widowControl w:val="0"/>
              <w:spacing w:line="360" w:lineRule="auto"/>
              <w:jc w:val="center"/>
              <w:rPr>
                <w:rFonts w:asciiTheme="minorEastAsia" w:hAnsiTheme="minorEastAsia" w:eastAsiaTheme="minorEastAsia" w:cstheme="minorEastAsia"/>
                <w:szCs w:val="21"/>
              </w:rPr>
            </w:pPr>
          </w:p>
        </w:tc>
      </w:tr>
      <w:tr w14:paraId="2EDC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963" w:type="dxa"/>
          </w:tcPr>
          <w:p w14:paraId="599BA634">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2274" w:type="dxa"/>
          </w:tcPr>
          <w:p w14:paraId="10A23EE3">
            <w:pPr>
              <w:widowControl w:val="0"/>
              <w:spacing w:line="360" w:lineRule="auto"/>
              <w:jc w:val="center"/>
              <w:rPr>
                <w:rFonts w:asciiTheme="minorEastAsia" w:hAnsiTheme="minorEastAsia" w:eastAsiaTheme="minorEastAsia" w:cstheme="minorEastAsia"/>
                <w:szCs w:val="21"/>
              </w:rPr>
            </w:pPr>
          </w:p>
        </w:tc>
        <w:tc>
          <w:tcPr>
            <w:tcW w:w="1730" w:type="dxa"/>
          </w:tcPr>
          <w:p w14:paraId="3B6CB9C8">
            <w:pPr>
              <w:widowControl w:val="0"/>
              <w:spacing w:line="360" w:lineRule="auto"/>
              <w:jc w:val="center"/>
              <w:rPr>
                <w:rFonts w:asciiTheme="minorEastAsia" w:hAnsiTheme="minorEastAsia" w:eastAsiaTheme="minorEastAsia" w:cstheme="minorEastAsia"/>
                <w:szCs w:val="21"/>
              </w:rPr>
            </w:pPr>
          </w:p>
        </w:tc>
        <w:tc>
          <w:tcPr>
            <w:tcW w:w="1730" w:type="dxa"/>
          </w:tcPr>
          <w:p w14:paraId="23E6E166">
            <w:pPr>
              <w:widowControl w:val="0"/>
              <w:spacing w:line="360" w:lineRule="auto"/>
              <w:jc w:val="center"/>
              <w:rPr>
                <w:rFonts w:asciiTheme="minorEastAsia" w:hAnsiTheme="minorEastAsia" w:eastAsiaTheme="minorEastAsia" w:cstheme="minorEastAsia"/>
                <w:szCs w:val="21"/>
              </w:rPr>
            </w:pPr>
          </w:p>
        </w:tc>
        <w:tc>
          <w:tcPr>
            <w:tcW w:w="2042" w:type="dxa"/>
          </w:tcPr>
          <w:p w14:paraId="7FCD658E">
            <w:pPr>
              <w:widowControl w:val="0"/>
              <w:spacing w:line="360" w:lineRule="auto"/>
              <w:jc w:val="center"/>
              <w:rPr>
                <w:rFonts w:asciiTheme="minorEastAsia" w:hAnsiTheme="minorEastAsia" w:eastAsiaTheme="minorEastAsia" w:cstheme="minorEastAsia"/>
                <w:szCs w:val="21"/>
              </w:rPr>
            </w:pPr>
          </w:p>
        </w:tc>
      </w:tr>
      <w:tr w14:paraId="4DB1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963" w:type="dxa"/>
          </w:tcPr>
          <w:p w14:paraId="6595C96F">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2274" w:type="dxa"/>
          </w:tcPr>
          <w:p w14:paraId="6AECA732">
            <w:pPr>
              <w:widowControl w:val="0"/>
              <w:spacing w:line="360" w:lineRule="auto"/>
              <w:jc w:val="center"/>
              <w:rPr>
                <w:rFonts w:asciiTheme="minorEastAsia" w:hAnsiTheme="minorEastAsia" w:eastAsiaTheme="minorEastAsia" w:cstheme="minorEastAsia"/>
                <w:szCs w:val="21"/>
              </w:rPr>
            </w:pPr>
          </w:p>
        </w:tc>
        <w:tc>
          <w:tcPr>
            <w:tcW w:w="1730" w:type="dxa"/>
          </w:tcPr>
          <w:p w14:paraId="7C129B1A">
            <w:pPr>
              <w:widowControl w:val="0"/>
              <w:spacing w:line="360" w:lineRule="auto"/>
              <w:jc w:val="center"/>
              <w:rPr>
                <w:rFonts w:asciiTheme="minorEastAsia" w:hAnsiTheme="minorEastAsia" w:eastAsiaTheme="minorEastAsia" w:cstheme="minorEastAsia"/>
                <w:szCs w:val="21"/>
              </w:rPr>
            </w:pPr>
          </w:p>
        </w:tc>
        <w:tc>
          <w:tcPr>
            <w:tcW w:w="1730" w:type="dxa"/>
          </w:tcPr>
          <w:p w14:paraId="64CD3776">
            <w:pPr>
              <w:widowControl w:val="0"/>
              <w:spacing w:line="360" w:lineRule="auto"/>
              <w:jc w:val="center"/>
              <w:rPr>
                <w:rFonts w:asciiTheme="minorEastAsia" w:hAnsiTheme="minorEastAsia" w:eastAsiaTheme="minorEastAsia" w:cstheme="minorEastAsia"/>
                <w:szCs w:val="21"/>
              </w:rPr>
            </w:pPr>
          </w:p>
        </w:tc>
        <w:tc>
          <w:tcPr>
            <w:tcW w:w="2042" w:type="dxa"/>
          </w:tcPr>
          <w:p w14:paraId="38C5143E">
            <w:pPr>
              <w:widowControl w:val="0"/>
              <w:spacing w:line="360" w:lineRule="auto"/>
              <w:jc w:val="center"/>
              <w:rPr>
                <w:rFonts w:asciiTheme="minorEastAsia" w:hAnsiTheme="minorEastAsia" w:eastAsiaTheme="minorEastAsia" w:cstheme="minorEastAsia"/>
                <w:szCs w:val="21"/>
              </w:rPr>
            </w:pPr>
          </w:p>
        </w:tc>
      </w:tr>
      <w:tr w14:paraId="4628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963" w:type="dxa"/>
          </w:tcPr>
          <w:p w14:paraId="1C3F6707">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2274" w:type="dxa"/>
          </w:tcPr>
          <w:p w14:paraId="29768A19">
            <w:pPr>
              <w:widowControl w:val="0"/>
              <w:spacing w:line="360" w:lineRule="auto"/>
              <w:jc w:val="center"/>
              <w:rPr>
                <w:rFonts w:asciiTheme="minorEastAsia" w:hAnsiTheme="minorEastAsia" w:eastAsiaTheme="minorEastAsia" w:cstheme="minorEastAsia"/>
                <w:szCs w:val="21"/>
              </w:rPr>
            </w:pPr>
          </w:p>
        </w:tc>
        <w:tc>
          <w:tcPr>
            <w:tcW w:w="1730" w:type="dxa"/>
          </w:tcPr>
          <w:p w14:paraId="5DD6717D">
            <w:pPr>
              <w:widowControl w:val="0"/>
              <w:spacing w:line="360" w:lineRule="auto"/>
              <w:jc w:val="center"/>
              <w:rPr>
                <w:rFonts w:asciiTheme="minorEastAsia" w:hAnsiTheme="minorEastAsia" w:eastAsiaTheme="minorEastAsia" w:cstheme="minorEastAsia"/>
                <w:szCs w:val="21"/>
              </w:rPr>
            </w:pPr>
          </w:p>
        </w:tc>
        <w:tc>
          <w:tcPr>
            <w:tcW w:w="1730" w:type="dxa"/>
          </w:tcPr>
          <w:p w14:paraId="767FCE92">
            <w:pPr>
              <w:widowControl w:val="0"/>
              <w:spacing w:line="360" w:lineRule="auto"/>
              <w:jc w:val="center"/>
              <w:rPr>
                <w:rFonts w:asciiTheme="minorEastAsia" w:hAnsiTheme="minorEastAsia" w:eastAsiaTheme="minorEastAsia" w:cstheme="minorEastAsia"/>
                <w:szCs w:val="21"/>
              </w:rPr>
            </w:pPr>
          </w:p>
        </w:tc>
        <w:tc>
          <w:tcPr>
            <w:tcW w:w="2042" w:type="dxa"/>
          </w:tcPr>
          <w:p w14:paraId="698EAD52">
            <w:pPr>
              <w:widowControl w:val="0"/>
              <w:spacing w:line="360" w:lineRule="auto"/>
              <w:jc w:val="center"/>
              <w:rPr>
                <w:rFonts w:asciiTheme="minorEastAsia" w:hAnsiTheme="minorEastAsia" w:eastAsiaTheme="minorEastAsia" w:cstheme="minorEastAsia"/>
                <w:szCs w:val="21"/>
              </w:rPr>
            </w:pPr>
          </w:p>
        </w:tc>
      </w:tr>
      <w:tr w14:paraId="55DB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963" w:type="dxa"/>
          </w:tcPr>
          <w:p w14:paraId="51BB51C6">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2274" w:type="dxa"/>
          </w:tcPr>
          <w:p w14:paraId="14F98C75">
            <w:pPr>
              <w:widowControl w:val="0"/>
              <w:spacing w:line="360" w:lineRule="auto"/>
              <w:jc w:val="center"/>
              <w:rPr>
                <w:rFonts w:asciiTheme="minorEastAsia" w:hAnsiTheme="minorEastAsia" w:eastAsiaTheme="minorEastAsia" w:cstheme="minorEastAsia"/>
                <w:szCs w:val="21"/>
              </w:rPr>
            </w:pPr>
          </w:p>
        </w:tc>
        <w:tc>
          <w:tcPr>
            <w:tcW w:w="1730" w:type="dxa"/>
          </w:tcPr>
          <w:p w14:paraId="2C5FA1AF">
            <w:pPr>
              <w:widowControl w:val="0"/>
              <w:spacing w:line="360" w:lineRule="auto"/>
              <w:jc w:val="center"/>
              <w:rPr>
                <w:rFonts w:asciiTheme="minorEastAsia" w:hAnsiTheme="minorEastAsia" w:eastAsiaTheme="minorEastAsia" w:cstheme="minorEastAsia"/>
                <w:szCs w:val="21"/>
              </w:rPr>
            </w:pPr>
          </w:p>
        </w:tc>
        <w:tc>
          <w:tcPr>
            <w:tcW w:w="1730" w:type="dxa"/>
          </w:tcPr>
          <w:p w14:paraId="0A3B8061">
            <w:pPr>
              <w:widowControl w:val="0"/>
              <w:spacing w:line="360" w:lineRule="auto"/>
              <w:jc w:val="center"/>
              <w:rPr>
                <w:rFonts w:asciiTheme="minorEastAsia" w:hAnsiTheme="minorEastAsia" w:eastAsiaTheme="minorEastAsia" w:cstheme="minorEastAsia"/>
                <w:szCs w:val="21"/>
              </w:rPr>
            </w:pPr>
          </w:p>
        </w:tc>
        <w:tc>
          <w:tcPr>
            <w:tcW w:w="2042" w:type="dxa"/>
          </w:tcPr>
          <w:p w14:paraId="0E23E6EB">
            <w:pPr>
              <w:widowControl w:val="0"/>
              <w:spacing w:line="360" w:lineRule="auto"/>
              <w:jc w:val="center"/>
              <w:rPr>
                <w:rFonts w:asciiTheme="minorEastAsia" w:hAnsiTheme="minorEastAsia" w:eastAsiaTheme="minorEastAsia" w:cstheme="minorEastAsia"/>
                <w:szCs w:val="21"/>
              </w:rPr>
            </w:pPr>
          </w:p>
        </w:tc>
      </w:tr>
      <w:tr w14:paraId="391A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963" w:type="dxa"/>
          </w:tcPr>
          <w:p w14:paraId="110DAFB1">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w:t>
            </w:r>
          </w:p>
        </w:tc>
        <w:tc>
          <w:tcPr>
            <w:tcW w:w="2274" w:type="dxa"/>
          </w:tcPr>
          <w:p w14:paraId="66E6FFE2">
            <w:pPr>
              <w:widowControl w:val="0"/>
              <w:spacing w:line="360" w:lineRule="auto"/>
              <w:jc w:val="center"/>
              <w:rPr>
                <w:rFonts w:asciiTheme="minorEastAsia" w:hAnsiTheme="minorEastAsia" w:eastAsiaTheme="minorEastAsia" w:cstheme="minorEastAsia"/>
                <w:szCs w:val="21"/>
              </w:rPr>
            </w:pPr>
          </w:p>
        </w:tc>
        <w:tc>
          <w:tcPr>
            <w:tcW w:w="1730" w:type="dxa"/>
          </w:tcPr>
          <w:p w14:paraId="7DB3150D">
            <w:pPr>
              <w:widowControl w:val="0"/>
              <w:spacing w:line="360" w:lineRule="auto"/>
              <w:jc w:val="center"/>
              <w:rPr>
                <w:rFonts w:asciiTheme="minorEastAsia" w:hAnsiTheme="minorEastAsia" w:eastAsiaTheme="minorEastAsia" w:cstheme="minorEastAsia"/>
                <w:szCs w:val="21"/>
              </w:rPr>
            </w:pPr>
          </w:p>
        </w:tc>
        <w:tc>
          <w:tcPr>
            <w:tcW w:w="1730" w:type="dxa"/>
          </w:tcPr>
          <w:p w14:paraId="555533DC">
            <w:pPr>
              <w:widowControl w:val="0"/>
              <w:spacing w:line="360" w:lineRule="auto"/>
              <w:jc w:val="center"/>
              <w:rPr>
                <w:rFonts w:asciiTheme="minorEastAsia" w:hAnsiTheme="minorEastAsia" w:eastAsiaTheme="minorEastAsia" w:cstheme="minorEastAsia"/>
                <w:szCs w:val="21"/>
              </w:rPr>
            </w:pPr>
          </w:p>
        </w:tc>
        <w:tc>
          <w:tcPr>
            <w:tcW w:w="2042" w:type="dxa"/>
          </w:tcPr>
          <w:p w14:paraId="636B5094">
            <w:pPr>
              <w:widowControl w:val="0"/>
              <w:spacing w:line="360" w:lineRule="auto"/>
              <w:jc w:val="center"/>
              <w:rPr>
                <w:rFonts w:asciiTheme="minorEastAsia" w:hAnsiTheme="minorEastAsia" w:eastAsiaTheme="minorEastAsia" w:cstheme="minorEastAsia"/>
                <w:szCs w:val="21"/>
              </w:rPr>
            </w:pPr>
          </w:p>
        </w:tc>
      </w:tr>
      <w:tr w14:paraId="76BD4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963" w:type="dxa"/>
          </w:tcPr>
          <w:p w14:paraId="4D1CEC19">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w:t>
            </w:r>
          </w:p>
        </w:tc>
        <w:tc>
          <w:tcPr>
            <w:tcW w:w="2274" w:type="dxa"/>
          </w:tcPr>
          <w:p w14:paraId="6434A9A5">
            <w:pPr>
              <w:widowControl w:val="0"/>
              <w:spacing w:line="360" w:lineRule="auto"/>
              <w:jc w:val="center"/>
              <w:rPr>
                <w:rFonts w:asciiTheme="minorEastAsia" w:hAnsiTheme="minorEastAsia" w:eastAsiaTheme="minorEastAsia" w:cstheme="minorEastAsia"/>
                <w:szCs w:val="21"/>
              </w:rPr>
            </w:pPr>
          </w:p>
        </w:tc>
        <w:tc>
          <w:tcPr>
            <w:tcW w:w="1730" w:type="dxa"/>
          </w:tcPr>
          <w:p w14:paraId="1D5D8A8E">
            <w:pPr>
              <w:widowControl w:val="0"/>
              <w:spacing w:line="360" w:lineRule="auto"/>
              <w:jc w:val="center"/>
              <w:rPr>
                <w:rFonts w:asciiTheme="minorEastAsia" w:hAnsiTheme="minorEastAsia" w:eastAsiaTheme="minorEastAsia" w:cstheme="minorEastAsia"/>
                <w:szCs w:val="21"/>
              </w:rPr>
            </w:pPr>
          </w:p>
        </w:tc>
        <w:tc>
          <w:tcPr>
            <w:tcW w:w="1730" w:type="dxa"/>
          </w:tcPr>
          <w:p w14:paraId="0ABBA549">
            <w:pPr>
              <w:widowControl w:val="0"/>
              <w:spacing w:line="360" w:lineRule="auto"/>
              <w:jc w:val="center"/>
              <w:rPr>
                <w:rFonts w:asciiTheme="minorEastAsia" w:hAnsiTheme="minorEastAsia" w:eastAsiaTheme="minorEastAsia" w:cstheme="minorEastAsia"/>
                <w:szCs w:val="21"/>
              </w:rPr>
            </w:pPr>
          </w:p>
        </w:tc>
        <w:tc>
          <w:tcPr>
            <w:tcW w:w="2042" w:type="dxa"/>
          </w:tcPr>
          <w:p w14:paraId="462F7C67">
            <w:pPr>
              <w:widowControl w:val="0"/>
              <w:spacing w:line="360" w:lineRule="auto"/>
              <w:jc w:val="center"/>
              <w:rPr>
                <w:rFonts w:asciiTheme="minorEastAsia" w:hAnsiTheme="minorEastAsia" w:eastAsiaTheme="minorEastAsia" w:cstheme="minorEastAsia"/>
                <w:szCs w:val="21"/>
              </w:rPr>
            </w:pPr>
          </w:p>
        </w:tc>
      </w:tr>
      <w:tr w14:paraId="331A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963" w:type="dxa"/>
          </w:tcPr>
          <w:p w14:paraId="09740757">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w:t>
            </w:r>
          </w:p>
        </w:tc>
        <w:tc>
          <w:tcPr>
            <w:tcW w:w="2274" w:type="dxa"/>
          </w:tcPr>
          <w:p w14:paraId="3450ABED">
            <w:pPr>
              <w:widowControl w:val="0"/>
              <w:spacing w:line="360" w:lineRule="auto"/>
              <w:jc w:val="center"/>
              <w:rPr>
                <w:rFonts w:asciiTheme="minorEastAsia" w:hAnsiTheme="minorEastAsia" w:eastAsiaTheme="minorEastAsia" w:cstheme="minorEastAsia"/>
                <w:szCs w:val="21"/>
              </w:rPr>
            </w:pPr>
          </w:p>
        </w:tc>
        <w:tc>
          <w:tcPr>
            <w:tcW w:w="1730" w:type="dxa"/>
          </w:tcPr>
          <w:p w14:paraId="094C64A0">
            <w:pPr>
              <w:widowControl w:val="0"/>
              <w:spacing w:line="360" w:lineRule="auto"/>
              <w:jc w:val="center"/>
              <w:rPr>
                <w:rFonts w:asciiTheme="minorEastAsia" w:hAnsiTheme="minorEastAsia" w:eastAsiaTheme="minorEastAsia" w:cstheme="minorEastAsia"/>
                <w:szCs w:val="21"/>
              </w:rPr>
            </w:pPr>
          </w:p>
        </w:tc>
        <w:tc>
          <w:tcPr>
            <w:tcW w:w="1730" w:type="dxa"/>
          </w:tcPr>
          <w:p w14:paraId="2F2A2A02">
            <w:pPr>
              <w:widowControl w:val="0"/>
              <w:spacing w:line="360" w:lineRule="auto"/>
              <w:jc w:val="center"/>
              <w:rPr>
                <w:rFonts w:asciiTheme="minorEastAsia" w:hAnsiTheme="minorEastAsia" w:eastAsiaTheme="minorEastAsia" w:cstheme="minorEastAsia"/>
                <w:szCs w:val="21"/>
              </w:rPr>
            </w:pPr>
          </w:p>
        </w:tc>
        <w:tc>
          <w:tcPr>
            <w:tcW w:w="2042" w:type="dxa"/>
          </w:tcPr>
          <w:p w14:paraId="1BEF98B4">
            <w:pPr>
              <w:widowControl w:val="0"/>
              <w:spacing w:line="360" w:lineRule="auto"/>
              <w:jc w:val="center"/>
              <w:rPr>
                <w:rFonts w:asciiTheme="minorEastAsia" w:hAnsiTheme="minorEastAsia" w:eastAsiaTheme="minorEastAsia" w:cstheme="minorEastAsia"/>
                <w:szCs w:val="21"/>
              </w:rPr>
            </w:pPr>
          </w:p>
        </w:tc>
      </w:tr>
      <w:tr w14:paraId="445C0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963" w:type="dxa"/>
          </w:tcPr>
          <w:p w14:paraId="42F4E0CE">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w:t>
            </w:r>
          </w:p>
        </w:tc>
        <w:tc>
          <w:tcPr>
            <w:tcW w:w="2274" w:type="dxa"/>
          </w:tcPr>
          <w:p w14:paraId="009CE9D4">
            <w:pPr>
              <w:widowControl w:val="0"/>
              <w:spacing w:line="360" w:lineRule="auto"/>
              <w:jc w:val="center"/>
              <w:rPr>
                <w:rFonts w:asciiTheme="minorEastAsia" w:hAnsiTheme="minorEastAsia" w:eastAsiaTheme="minorEastAsia" w:cstheme="minorEastAsia"/>
                <w:szCs w:val="21"/>
              </w:rPr>
            </w:pPr>
          </w:p>
        </w:tc>
        <w:tc>
          <w:tcPr>
            <w:tcW w:w="1730" w:type="dxa"/>
          </w:tcPr>
          <w:p w14:paraId="6385D6E6">
            <w:pPr>
              <w:widowControl w:val="0"/>
              <w:spacing w:line="360" w:lineRule="auto"/>
              <w:jc w:val="center"/>
              <w:rPr>
                <w:rFonts w:asciiTheme="minorEastAsia" w:hAnsiTheme="minorEastAsia" w:eastAsiaTheme="minorEastAsia" w:cstheme="minorEastAsia"/>
                <w:szCs w:val="21"/>
              </w:rPr>
            </w:pPr>
          </w:p>
        </w:tc>
        <w:tc>
          <w:tcPr>
            <w:tcW w:w="1730" w:type="dxa"/>
          </w:tcPr>
          <w:p w14:paraId="67A48E49">
            <w:pPr>
              <w:widowControl w:val="0"/>
              <w:spacing w:line="360" w:lineRule="auto"/>
              <w:jc w:val="center"/>
              <w:rPr>
                <w:rFonts w:asciiTheme="minorEastAsia" w:hAnsiTheme="minorEastAsia" w:eastAsiaTheme="minorEastAsia" w:cstheme="minorEastAsia"/>
                <w:szCs w:val="21"/>
              </w:rPr>
            </w:pPr>
          </w:p>
        </w:tc>
        <w:tc>
          <w:tcPr>
            <w:tcW w:w="2042" w:type="dxa"/>
          </w:tcPr>
          <w:p w14:paraId="1F282CE0">
            <w:pPr>
              <w:widowControl w:val="0"/>
              <w:spacing w:line="360" w:lineRule="auto"/>
              <w:jc w:val="center"/>
              <w:rPr>
                <w:rFonts w:asciiTheme="minorEastAsia" w:hAnsiTheme="minorEastAsia" w:eastAsiaTheme="minorEastAsia" w:cstheme="minorEastAsia"/>
                <w:szCs w:val="21"/>
              </w:rPr>
            </w:pPr>
          </w:p>
        </w:tc>
      </w:tr>
      <w:tr w14:paraId="775C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963" w:type="dxa"/>
          </w:tcPr>
          <w:p w14:paraId="6A07C24C">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w:t>
            </w:r>
          </w:p>
        </w:tc>
        <w:tc>
          <w:tcPr>
            <w:tcW w:w="2274" w:type="dxa"/>
          </w:tcPr>
          <w:p w14:paraId="0B501F69">
            <w:pPr>
              <w:widowControl w:val="0"/>
              <w:spacing w:line="360" w:lineRule="auto"/>
              <w:jc w:val="center"/>
              <w:rPr>
                <w:rFonts w:asciiTheme="minorEastAsia" w:hAnsiTheme="minorEastAsia" w:eastAsiaTheme="minorEastAsia" w:cstheme="minorEastAsia"/>
                <w:szCs w:val="21"/>
              </w:rPr>
            </w:pPr>
          </w:p>
        </w:tc>
        <w:tc>
          <w:tcPr>
            <w:tcW w:w="1730" w:type="dxa"/>
          </w:tcPr>
          <w:p w14:paraId="672574FC">
            <w:pPr>
              <w:widowControl w:val="0"/>
              <w:spacing w:line="360" w:lineRule="auto"/>
              <w:jc w:val="center"/>
              <w:rPr>
                <w:rFonts w:asciiTheme="minorEastAsia" w:hAnsiTheme="minorEastAsia" w:eastAsiaTheme="minorEastAsia" w:cstheme="minorEastAsia"/>
                <w:szCs w:val="21"/>
              </w:rPr>
            </w:pPr>
          </w:p>
        </w:tc>
        <w:tc>
          <w:tcPr>
            <w:tcW w:w="1730" w:type="dxa"/>
          </w:tcPr>
          <w:p w14:paraId="22828B56">
            <w:pPr>
              <w:widowControl w:val="0"/>
              <w:spacing w:line="360" w:lineRule="auto"/>
              <w:jc w:val="center"/>
              <w:rPr>
                <w:rFonts w:asciiTheme="minorEastAsia" w:hAnsiTheme="minorEastAsia" w:eastAsiaTheme="minorEastAsia" w:cstheme="minorEastAsia"/>
                <w:szCs w:val="21"/>
              </w:rPr>
            </w:pPr>
          </w:p>
        </w:tc>
        <w:tc>
          <w:tcPr>
            <w:tcW w:w="2042" w:type="dxa"/>
          </w:tcPr>
          <w:p w14:paraId="48EC25DA">
            <w:pPr>
              <w:widowControl w:val="0"/>
              <w:spacing w:line="360" w:lineRule="auto"/>
              <w:jc w:val="center"/>
              <w:rPr>
                <w:rFonts w:asciiTheme="minorEastAsia" w:hAnsiTheme="minorEastAsia" w:eastAsiaTheme="minorEastAsia" w:cstheme="minorEastAsia"/>
                <w:szCs w:val="21"/>
              </w:rPr>
            </w:pPr>
          </w:p>
        </w:tc>
      </w:tr>
    </w:tbl>
    <w:p w14:paraId="1D68E4C5">
      <w:pPr>
        <w:spacing w:line="360" w:lineRule="auto"/>
        <w:ind w:firstLine="420" w:firstLineChars="200"/>
        <w:rPr>
          <w:rFonts w:asciiTheme="minorEastAsia" w:hAnsiTheme="minorEastAsia" w:eastAsiaTheme="minorEastAsia" w:cstheme="minorEastAsia"/>
          <w:szCs w:val="21"/>
        </w:rPr>
      </w:pPr>
      <w:r>
        <w:br w:type="page"/>
      </w:r>
    </w:p>
    <w:p w14:paraId="7AB22E8D">
      <w:pPr>
        <w:spacing w:line="360" w:lineRule="auto"/>
        <w:ind w:firstLine="640" w:firstLineChars="200"/>
        <w:jc w:val="center"/>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拟派驻</w:t>
      </w:r>
      <w:r>
        <w:rPr>
          <w:rFonts w:hint="eastAsia" w:asciiTheme="minorEastAsia" w:hAnsiTheme="minorEastAsia" w:cstheme="minorEastAsia"/>
          <w:sz w:val="32"/>
          <w:szCs w:val="32"/>
        </w:rPr>
        <w:t>交警队</w:t>
      </w:r>
      <w:r>
        <w:rPr>
          <w:rFonts w:hint="eastAsia" w:asciiTheme="minorEastAsia" w:hAnsiTheme="minorEastAsia" w:eastAsiaTheme="minorEastAsia" w:cstheme="minorEastAsia"/>
          <w:sz w:val="32"/>
          <w:szCs w:val="32"/>
        </w:rPr>
        <w:t>车辆信息</w:t>
      </w:r>
    </w:p>
    <w:tbl>
      <w:tblPr>
        <w:tblStyle w:val="18"/>
        <w:tblpPr w:leftFromText="180" w:rightFromText="180" w:vertAnchor="text" w:horzAnchor="page" w:tblpX="1561" w:tblpY="687"/>
        <w:tblOverlap w:val="never"/>
        <w:tblW w:w="9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854"/>
        <w:gridCol w:w="1410"/>
        <w:gridCol w:w="1410"/>
        <w:gridCol w:w="1975"/>
        <w:gridCol w:w="1597"/>
      </w:tblGrid>
      <w:tr w14:paraId="5885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85" w:type="dxa"/>
          </w:tcPr>
          <w:p w14:paraId="5BC5B738">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854" w:type="dxa"/>
          </w:tcPr>
          <w:p w14:paraId="56999F85">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车辆类别</w:t>
            </w:r>
          </w:p>
        </w:tc>
        <w:tc>
          <w:tcPr>
            <w:tcW w:w="1410" w:type="dxa"/>
          </w:tcPr>
          <w:p w14:paraId="0AC41DC4">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车牌号码</w:t>
            </w:r>
          </w:p>
        </w:tc>
        <w:tc>
          <w:tcPr>
            <w:tcW w:w="1410" w:type="dxa"/>
          </w:tcPr>
          <w:p w14:paraId="22766E02">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驾驶人姓名</w:t>
            </w:r>
          </w:p>
        </w:tc>
        <w:tc>
          <w:tcPr>
            <w:tcW w:w="1975" w:type="dxa"/>
          </w:tcPr>
          <w:p w14:paraId="38381298">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驾驶人电话</w:t>
            </w:r>
          </w:p>
        </w:tc>
        <w:tc>
          <w:tcPr>
            <w:tcW w:w="1597" w:type="dxa"/>
          </w:tcPr>
          <w:p w14:paraId="6349ABAD">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14:paraId="42CF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785" w:type="dxa"/>
          </w:tcPr>
          <w:p w14:paraId="60DE2F94">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854" w:type="dxa"/>
          </w:tcPr>
          <w:p w14:paraId="79519927">
            <w:pPr>
              <w:widowControl w:val="0"/>
              <w:spacing w:line="360" w:lineRule="auto"/>
              <w:jc w:val="center"/>
              <w:rPr>
                <w:rFonts w:asciiTheme="minorEastAsia" w:hAnsiTheme="minorEastAsia" w:eastAsiaTheme="minorEastAsia" w:cstheme="minorEastAsia"/>
                <w:szCs w:val="21"/>
              </w:rPr>
            </w:pPr>
          </w:p>
        </w:tc>
        <w:tc>
          <w:tcPr>
            <w:tcW w:w="1410" w:type="dxa"/>
          </w:tcPr>
          <w:p w14:paraId="474EC5CC">
            <w:pPr>
              <w:widowControl w:val="0"/>
              <w:spacing w:line="360" w:lineRule="auto"/>
              <w:jc w:val="center"/>
              <w:rPr>
                <w:rFonts w:asciiTheme="minorEastAsia" w:hAnsiTheme="minorEastAsia" w:eastAsiaTheme="minorEastAsia" w:cstheme="minorEastAsia"/>
                <w:szCs w:val="21"/>
              </w:rPr>
            </w:pPr>
          </w:p>
        </w:tc>
        <w:tc>
          <w:tcPr>
            <w:tcW w:w="1410" w:type="dxa"/>
          </w:tcPr>
          <w:p w14:paraId="67DE34A2">
            <w:pPr>
              <w:widowControl w:val="0"/>
              <w:spacing w:line="360" w:lineRule="auto"/>
              <w:jc w:val="center"/>
              <w:rPr>
                <w:rFonts w:asciiTheme="minorEastAsia" w:hAnsiTheme="minorEastAsia" w:eastAsiaTheme="minorEastAsia" w:cstheme="minorEastAsia"/>
                <w:szCs w:val="21"/>
              </w:rPr>
            </w:pPr>
          </w:p>
        </w:tc>
        <w:tc>
          <w:tcPr>
            <w:tcW w:w="1975" w:type="dxa"/>
          </w:tcPr>
          <w:p w14:paraId="0573DD8B">
            <w:pPr>
              <w:widowControl w:val="0"/>
              <w:spacing w:line="360" w:lineRule="auto"/>
              <w:jc w:val="center"/>
              <w:rPr>
                <w:rFonts w:asciiTheme="minorEastAsia" w:hAnsiTheme="minorEastAsia" w:eastAsiaTheme="minorEastAsia" w:cstheme="minorEastAsia"/>
                <w:szCs w:val="21"/>
              </w:rPr>
            </w:pPr>
          </w:p>
        </w:tc>
        <w:tc>
          <w:tcPr>
            <w:tcW w:w="1597" w:type="dxa"/>
          </w:tcPr>
          <w:p w14:paraId="777CED3C">
            <w:pPr>
              <w:widowControl w:val="0"/>
              <w:spacing w:line="360" w:lineRule="auto"/>
              <w:jc w:val="center"/>
              <w:rPr>
                <w:rFonts w:asciiTheme="minorEastAsia" w:hAnsiTheme="minorEastAsia" w:eastAsiaTheme="minorEastAsia" w:cstheme="minorEastAsia"/>
                <w:szCs w:val="21"/>
              </w:rPr>
            </w:pPr>
          </w:p>
        </w:tc>
      </w:tr>
      <w:tr w14:paraId="6B5F1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785" w:type="dxa"/>
          </w:tcPr>
          <w:p w14:paraId="1AA5A4C9">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854" w:type="dxa"/>
          </w:tcPr>
          <w:p w14:paraId="6CC6FECB">
            <w:pPr>
              <w:widowControl w:val="0"/>
              <w:spacing w:line="360" w:lineRule="auto"/>
              <w:jc w:val="center"/>
              <w:rPr>
                <w:rFonts w:asciiTheme="minorEastAsia" w:hAnsiTheme="minorEastAsia" w:eastAsiaTheme="minorEastAsia" w:cstheme="minorEastAsia"/>
                <w:szCs w:val="21"/>
              </w:rPr>
            </w:pPr>
          </w:p>
        </w:tc>
        <w:tc>
          <w:tcPr>
            <w:tcW w:w="1410" w:type="dxa"/>
          </w:tcPr>
          <w:p w14:paraId="45C88C44">
            <w:pPr>
              <w:widowControl w:val="0"/>
              <w:spacing w:line="360" w:lineRule="auto"/>
              <w:jc w:val="center"/>
              <w:rPr>
                <w:rFonts w:asciiTheme="minorEastAsia" w:hAnsiTheme="minorEastAsia" w:eastAsiaTheme="minorEastAsia" w:cstheme="minorEastAsia"/>
                <w:szCs w:val="21"/>
              </w:rPr>
            </w:pPr>
          </w:p>
        </w:tc>
        <w:tc>
          <w:tcPr>
            <w:tcW w:w="1410" w:type="dxa"/>
          </w:tcPr>
          <w:p w14:paraId="47803BCA">
            <w:pPr>
              <w:widowControl w:val="0"/>
              <w:spacing w:line="360" w:lineRule="auto"/>
              <w:jc w:val="center"/>
              <w:rPr>
                <w:rFonts w:asciiTheme="minorEastAsia" w:hAnsiTheme="minorEastAsia" w:eastAsiaTheme="minorEastAsia" w:cstheme="minorEastAsia"/>
                <w:szCs w:val="21"/>
              </w:rPr>
            </w:pPr>
          </w:p>
        </w:tc>
        <w:tc>
          <w:tcPr>
            <w:tcW w:w="1975" w:type="dxa"/>
          </w:tcPr>
          <w:p w14:paraId="53C86E1B">
            <w:pPr>
              <w:widowControl w:val="0"/>
              <w:spacing w:line="360" w:lineRule="auto"/>
              <w:jc w:val="center"/>
              <w:rPr>
                <w:rFonts w:asciiTheme="minorEastAsia" w:hAnsiTheme="minorEastAsia" w:eastAsiaTheme="minorEastAsia" w:cstheme="minorEastAsia"/>
                <w:szCs w:val="21"/>
              </w:rPr>
            </w:pPr>
          </w:p>
        </w:tc>
        <w:tc>
          <w:tcPr>
            <w:tcW w:w="1597" w:type="dxa"/>
          </w:tcPr>
          <w:p w14:paraId="51CCE4F3">
            <w:pPr>
              <w:widowControl w:val="0"/>
              <w:spacing w:line="360" w:lineRule="auto"/>
              <w:jc w:val="center"/>
              <w:rPr>
                <w:rFonts w:asciiTheme="minorEastAsia" w:hAnsiTheme="minorEastAsia" w:eastAsiaTheme="minorEastAsia" w:cstheme="minorEastAsia"/>
                <w:szCs w:val="21"/>
              </w:rPr>
            </w:pPr>
          </w:p>
        </w:tc>
      </w:tr>
      <w:tr w14:paraId="6F53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785" w:type="dxa"/>
          </w:tcPr>
          <w:p w14:paraId="27703205">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854" w:type="dxa"/>
          </w:tcPr>
          <w:p w14:paraId="5D70EA20">
            <w:pPr>
              <w:widowControl w:val="0"/>
              <w:spacing w:line="360" w:lineRule="auto"/>
              <w:jc w:val="center"/>
              <w:rPr>
                <w:rFonts w:asciiTheme="minorEastAsia" w:hAnsiTheme="minorEastAsia" w:eastAsiaTheme="minorEastAsia" w:cstheme="minorEastAsia"/>
                <w:szCs w:val="21"/>
              </w:rPr>
            </w:pPr>
          </w:p>
        </w:tc>
        <w:tc>
          <w:tcPr>
            <w:tcW w:w="1410" w:type="dxa"/>
          </w:tcPr>
          <w:p w14:paraId="18A5361C">
            <w:pPr>
              <w:widowControl w:val="0"/>
              <w:spacing w:line="360" w:lineRule="auto"/>
              <w:jc w:val="center"/>
              <w:rPr>
                <w:rFonts w:asciiTheme="minorEastAsia" w:hAnsiTheme="minorEastAsia" w:eastAsiaTheme="minorEastAsia" w:cstheme="minorEastAsia"/>
                <w:szCs w:val="21"/>
              </w:rPr>
            </w:pPr>
          </w:p>
        </w:tc>
        <w:tc>
          <w:tcPr>
            <w:tcW w:w="1410" w:type="dxa"/>
          </w:tcPr>
          <w:p w14:paraId="32DA19DD">
            <w:pPr>
              <w:widowControl w:val="0"/>
              <w:spacing w:line="360" w:lineRule="auto"/>
              <w:jc w:val="center"/>
              <w:rPr>
                <w:rFonts w:asciiTheme="minorEastAsia" w:hAnsiTheme="minorEastAsia" w:eastAsiaTheme="minorEastAsia" w:cstheme="minorEastAsia"/>
                <w:szCs w:val="21"/>
              </w:rPr>
            </w:pPr>
          </w:p>
        </w:tc>
        <w:tc>
          <w:tcPr>
            <w:tcW w:w="1975" w:type="dxa"/>
          </w:tcPr>
          <w:p w14:paraId="76F9CBA2">
            <w:pPr>
              <w:widowControl w:val="0"/>
              <w:spacing w:line="360" w:lineRule="auto"/>
              <w:jc w:val="center"/>
              <w:rPr>
                <w:rFonts w:asciiTheme="minorEastAsia" w:hAnsiTheme="minorEastAsia" w:eastAsiaTheme="minorEastAsia" w:cstheme="minorEastAsia"/>
                <w:szCs w:val="21"/>
              </w:rPr>
            </w:pPr>
          </w:p>
        </w:tc>
        <w:tc>
          <w:tcPr>
            <w:tcW w:w="1597" w:type="dxa"/>
          </w:tcPr>
          <w:p w14:paraId="2AAB0AE9">
            <w:pPr>
              <w:widowControl w:val="0"/>
              <w:spacing w:line="360" w:lineRule="auto"/>
              <w:jc w:val="center"/>
              <w:rPr>
                <w:rFonts w:asciiTheme="minorEastAsia" w:hAnsiTheme="minorEastAsia" w:eastAsiaTheme="minorEastAsia" w:cstheme="minorEastAsia"/>
                <w:szCs w:val="21"/>
              </w:rPr>
            </w:pPr>
          </w:p>
        </w:tc>
      </w:tr>
      <w:tr w14:paraId="1B2D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785" w:type="dxa"/>
          </w:tcPr>
          <w:p w14:paraId="0B79EFAC">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854" w:type="dxa"/>
          </w:tcPr>
          <w:p w14:paraId="4B92E58E">
            <w:pPr>
              <w:widowControl w:val="0"/>
              <w:spacing w:line="360" w:lineRule="auto"/>
              <w:jc w:val="center"/>
              <w:rPr>
                <w:rFonts w:asciiTheme="minorEastAsia" w:hAnsiTheme="minorEastAsia" w:eastAsiaTheme="minorEastAsia" w:cstheme="minorEastAsia"/>
                <w:szCs w:val="21"/>
              </w:rPr>
            </w:pPr>
          </w:p>
        </w:tc>
        <w:tc>
          <w:tcPr>
            <w:tcW w:w="1410" w:type="dxa"/>
          </w:tcPr>
          <w:p w14:paraId="0A1AE594">
            <w:pPr>
              <w:widowControl w:val="0"/>
              <w:spacing w:line="360" w:lineRule="auto"/>
              <w:jc w:val="center"/>
              <w:rPr>
                <w:rFonts w:asciiTheme="minorEastAsia" w:hAnsiTheme="minorEastAsia" w:eastAsiaTheme="minorEastAsia" w:cstheme="minorEastAsia"/>
                <w:szCs w:val="21"/>
              </w:rPr>
            </w:pPr>
          </w:p>
        </w:tc>
        <w:tc>
          <w:tcPr>
            <w:tcW w:w="1410" w:type="dxa"/>
          </w:tcPr>
          <w:p w14:paraId="13FC3B67">
            <w:pPr>
              <w:widowControl w:val="0"/>
              <w:spacing w:line="360" w:lineRule="auto"/>
              <w:jc w:val="center"/>
              <w:rPr>
                <w:rFonts w:asciiTheme="minorEastAsia" w:hAnsiTheme="minorEastAsia" w:eastAsiaTheme="minorEastAsia" w:cstheme="minorEastAsia"/>
                <w:szCs w:val="21"/>
              </w:rPr>
            </w:pPr>
          </w:p>
        </w:tc>
        <w:tc>
          <w:tcPr>
            <w:tcW w:w="1975" w:type="dxa"/>
          </w:tcPr>
          <w:p w14:paraId="719A71F9">
            <w:pPr>
              <w:widowControl w:val="0"/>
              <w:spacing w:line="360" w:lineRule="auto"/>
              <w:jc w:val="center"/>
              <w:rPr>
                <w:rFonts w:asciiTheme="minorEastAsia" w:hAnsiTheme="minorEastAsia" w:eastAsiaTheme="minorEastAsia" w:cstheme="minorEastAsia"/>
                <w:szCs w:val="21"/>
              </w:rPr>
            </w:pPr>
          </w:p>
        </w:tc>
        <w:tc>
          <w:tcPr>
            <w:tcW w:w="1597" w:type="dxa"/>
          </w:tcPr>
          <w:p w14:paraId="578F0BB7">
            <w:pPr>
              <w:widowControl w:val="0"/>
              <w:spacing w:line="360" w:lineRule="auto"/>
              <w:jc w:val="center"/>
              <w:rPr>
                <w:rFonts w:asciiTheme="minorEastAsia" w:hAnsiTheme="minorEastAsia" w:eastAsiaTheme="minorEastAsia" w:cstheme="minorEastAsia"/>
                <w:szCs w:val="21"/>
              </w:rPr>
            </w:pPr>
          </w:p>
        </w:tc>
      </w:tr>
      <w:tr w14:paraId="7FFD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785" w:type="dxa"/>
          </w:tcPr>
          <w:p w14:paraId="16DA2093">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1854" w:type="dxa"/>
          </w:tcPr>
          <w:p w14:paraId="26E89916">
            <w:pPr>
              <w:widowControl w:val="0"/>
              <w:spacing w:line="360" w:lineRule="auto"/>
              <w:jc w:val="center"/>
              <w:rPr>
                <w:rFonts w:asciiTheme="minorEastAsia" w:hAnsiTheme="minorEastAsia" w:eastAsiaTheme="minorEastAsia" w:cstheme="minorEastAsia"/>
                <w:szCs w:val="21"/>
              </w:rPr>
            </w:pPr>
          </w:p>
        </w:tc>
        <w:tc>
          <w:tcPr>
            <w:tcW w:w="1410" w:type="dxa"/>
          </w:tcPr>
          <w:p w14:paraId="21B6DFAE">
            <w:pPr>
              <w:widowControl w:val="0"/>
              <w:spacing w:line="360" w:lineRule="auto"/>
              <w:jc w:val="center"/>
              <w:rPr>
                <w:rFonts w:asciiTheme="minorEastAsia" w:hAnsiTheme="minorEastAsia" w:eastAsiaTheme="minorEastAsia" w:cstheme="minorEastAsia"/>
                <w:szCs w:val="21"/>
              </w:rPr>
            </w:pPr>
          </w:p>
        </w:tc>
        <w:tc>
          <w:tcPr>
            <w:tcW w:w="1410" w:type="dxa"/>
          </w:tcPr>
          <w:p w14:paraId="138E1C25">
            <w:pPr>
              <w:widowControl w:val="0"/>
              <w:spacing w:line="360" w:lineRule="auto"/>
              <w:jc w:val="center"/>
              <w:rPr>
                <w:rFonts w:asciiTheme="minorEastAsia" w:hAnsiTheme="minorEastAsia" w:eastAsiaTheme="minorEastAsia" w:cstheme="minorEastAsia"/>
                <w:szCs w:val="21"/>
              </w:rPr>
            </w:pPr>
          </w:p>
        </w:tc>
        <w:tc>
          <w:tcPr>
            <w:tcW w:w="1975" w:type="dxa"/>
          </w:tcPr>
          <w:p w14:paraId="01569888">
            <w:pPr>
              <w:widowControl w:val="0"/>
              <w:spacing w:line="360" w:lineRule="auto"/>
              <w:jc w:val="center"/>
              <w:rPr>
                <w:rFonts w:asciiTheme="minorEastAsia" w:hAnsiTheme="minorEastAsia" w:eastAsiaTheme="minorEastAsia" w:cstheme="minorEastAsia"/>
                <w:szCs w:val="21"/>
              </w:rPr>
            </w:pPr>
          </w:p>
        </w:tc>
        <w:tc>
          <w:tcPr>
            <w:tcW w:w="1597" w:type="dxa"/>
          </w:tcPr>
          <w:p w14:paraId="05CE5F3F">
            <w:pPr>
              <w:widowControl w:val="0"/>
              <w:spacing w:line="360" w:lineRule="auto"/>
              <w:jc w:val="center"/>
              <w:rPr>
                <w:rFonts w:asciiTheme="minorEastAsia" w:hAnsiTheme="minorEastAsia" w:eastAsiaTheme="minorEastAsia" w:cstheme="minorEastAsia"/>
                <w:szCs w:val="21"/>
              </w:rPr>
            </w:pPr>
          </w:p>
        </w:tc>
      </w:tr>
      <w:tr w14:paraId="7F63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785" w:type="dxa"/>
          </w:tcPr>
          <w:p w14:paraId="7EC43D2B">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w:t>
            </w:r>
          </w:p>
        </w:tc>
        <w:tc>
          <w:tcPr>
            <w:tcW w:w="1854" w:type="dxa"/>
          </w:tcPr>
          <w:p w14:paraId="6D15EED5">
            <w:pPr>
              <w:widowControl w:val="0"/>
              <w:spacing w:line="360" w:lineRule="auto"/>
              <w:jc w:val="center"/>
              <w:rPr>
                <w:rFonts w:asciiTheme="minorEastAsia" w:hAnsiTheme="minorEastAsia" w:eastAsiaTheme="minorEastAsia" w:cstheme="minorEastAsia"/>
                <w:szCs w:val="21"/>
              </w:rPr>
            </w:pPr>
          </w:p>
        </w:tc>
        <w:tc>
          <w:tcPr>
            <w:tcW w:w="1410" w:type="dxa"/>
          </w:tcPr>
          <w:p w14:paraId="571E6641">
            <w:pPr>
              <w:widowControl w:val="0"/>
              <w:spacing w:line="360" w:lineRule="auto"/>
              <w:jc w:val="center"/>
              <w:rPr>
                <w:rFonts w:asciiTheme="minorEastAsia" w:hAnsiTheme="minorEastAsia" w:eastAsiaTheme="minorEastAsia" w:cstheme="minorEastAsia"/>
                <w:szCs w:val="21"/>
              </w:rPr>
            </w:pPr>
          </w:p>
        </w:tc>
        <w:tc>
          <w:tcPr>
            <w:tcW w:w="1410" w:type="dxa"/>
          </w:tcPr>
          <w:p w14:paraId="044D01DC">
            <w:pPr>
              <w:widowControl w:val="0"/>
              <w:spacing w:line="360" w:lineRule="auto"/>
              <w:jc w:val="center"/>
              <w:rPr>
                <w:rFonts w:asciiTheme="minorEastAsia" w:hAnsiTheme="minorEastAsia" w:eastAsiaTheme="minorEastAsia" w:cstheme="minorEastAsia"/>
                <w:szCs w:val="21"/>
              </w:rPr>
            </w:pPr>
          </w:p>
        </w:tc>
        <w:tc>
          <w:tcPr>
            <w:tcW w:w="1975" w:type="dxa"/>
          </w:tcPr>
          <w:p w14:paraId="717B357E">
            <w:pPr>
              <w:widowControl w:val="0"/>
              <w:spacing w:line="360" w:lineRule="auto"/>
              <w:jc w:val="center"/>
              <w:rPr>
                <w:rFonts w:asciiTheme="minorEastAsia" w:hAnsiTheme="minorEastAsia" w:eastAsiaTheme="minorEastAsia" w:cstheme="minorEastAsia"/>
                <w:szCs w:val="21"/>
              </w:rPr>
            </w:pPr>
          </w:p>
        </w:tc>
        <w:tc>
          <w:tcPr>
            <w:tcW w:w="1597" w:type="dxa"/>
          </w:tcPr>
          <w:p w14:paraId="5CF43679">
            <w:pPr>
              <w:widowControl w:val="0"/>
              <w:spacing w:line="360" w:lineRule="auto"/>
              <w:jc w:val="center"/>
              <w:rPr>
                <w:rFonts w:asciiTheme="minorEastAsia" w:hAnsiTheme="minorEastAsia" w:eastAsiaTheme="minorEastAsia" w:cstheme="minorEastAsia"/>
                <w:szCs w:val="21"/>
              </w:rPr>
            </w:pPr>
          </w:p>
        </w:tc>
      </w:tr>
      <w:tr w14:paraId="13C3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785" w:type="dxa"/>
          </w:tcPr>
          <w:p w14:paraId="21CE72C9">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w:t>
            </w:r>
          </w:p>
        </w:tc>
        <w:tc>
          <w:tcPr>
            <w:tcW w:w="1854" w:type="dxa"/>
          </w:tcPr>
          <w:p w14:paraId="7AF6D5E6">
            <w:pPr>
              <w:widowControl w:val="0"/>
              <w:spacing w:line="360" w:lineRule="auto"/>
              <w:jc w:val="center"/>
              <w:rPr>
                <w:rFonts w:asciiTheme="minorEastAsia" w:hAnsiTheme="minorEastAsia" w:eastAsiaTheme="minorEastAsia" w:cstheme="minorEastAsia"/>
                <w:szCs w:val="21"/>
              </w:rPr>
            </w:pPr>
          </w:p>
        </w:tc>
        <w:tc>
          <w:tcPr>
            <w:tcW w:w="1410" w:type="dxa"/>
          </w:tcPr>
          <w:p w14:paraId="481C4379">
            <w:pPr>
              <w:widowControl w:val="0"/>
              <w:spacing w:line="360" w:lineRule="auto"/>
              <w:jc w:val="center"/>
              <w:rPr>
                <w:rFonts w:asciiTheme="minorEastAsia" w:hAnsiTheme="minorEastAsia" w:eastAsiaTheme="minorEastAsia" w:cstheme="minorEastAsia"/>
                <w:szCs w:val="21"/>
              </w:rPr>
            </w:pPr>
          </w:p>
        </w:tc>
        <w:tc>
          <w:tcPr>
            <w:tcW w:w="1410" w:type="dxa"/>
          </w:tcPr>
          <w:p w14:paraId="5D24E2DA">
            <w:pPr>
              <w:widowControl w:val="0"/>
              <w:spacing w:line="360" w:lineRule="auto"/>
              <w:jc w:val="center"/>
              <w:rPr>
                <w:rFonts w:asciiTheme="minorEastAsia" w:hAnsiTheme="minorEastAsia" w:eastAsiaTheme="minorEastAsia" w:cstheme="minorEastAsia"/>
                <w:szCs w:val="21"/>
              </w:rPr>
            </w:pPr>
          </w:p>
        </w:tc>
        <w:tc>
          <w:tcPr>
            <w:tcW w:w="1975" w:type="dxa"/>
          </w:tcPr>
          <w:p w14:paraId="07D99DB7">
            <w:pPr>
              <w:widowControl w:val="0"/>
              <w:spacing w:line="360" w:lineRule="auto"/>
              <w:jc w:val="center"/>
              <w:rPr>
                <w:rFonts w:asciiTheme="minorEastAsia" w:hAnsiTheme="minorEastAsia" w:eastAsiaTheme="minorEastAsia" w:cstheme="minorEastAsia"/>
                <w:szCs w:val="21"/>
              </w:rPr>
            </w:pPr>
          </w:p>
        </w:tc>
        <w:tc>
          <w:tcPr>
            <w:tcW w:w="1597" w:type="dxa"/>
          </w:tcPr>
          <w:p w14:paraId="4BC842C8">
            <w:pPr>
              <w:widowControl w:val="0"/>
              <w:spacing w:line="360" w:lineRule="auto"/>
              <w:jc w:val="center"/>
              <w:rPr>
                <w:rFonts w:asciiTheme="minorEastAsia" w:hAnsiTheme="minorEastAsia" w:eastAsiaTheme="minorEastAsia" w:cstheme="minorEastAsia"/>
                <w:szCs w:val="21"/>
              </w:rPr>
            </w:pPr>
          </w:p>
        </w:tc>
      </w:tr>
      <w:tr w14:paraId="3524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785" w:type="dxa"/>
          </w:tcPr>
          <w:p w14:paraId="49AFBB66">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w:t>
            </w:r>
          </w:p>
        </w:tc>
        <w:tc>
          <w:tcPr>
            <w:tcW w:w="1854" w:type="dxa"/>
          </w:tcPr>
          <w:p w14:paraId="7310AD7B">
            <w:pPr>
              <w:widowControl w:val="0"/>
              <w:spacing w:line="360" w:lineRule="auto"/>
              <w:jc w:val="center"/>
              <w:rPr>
                <w:rFonts w:asciiTheme="minorEastAsia" w:hAnsiTheme="minorEastAsia" w:eastAsiaTheme="minorEastAsia" w:cstheme="minorEastAsia"/>
                <w:szCs w:val="21"/>
              </w:rPr>
            </w:pPr>
          </w:p>
        </w:tc>
        <w:tc>
          <w:tcPr>
            <w:tcW w:w="1410" w:type="dxa"/>
          </w:tcPr>
          <w:p w14:paraId="64967283">
            <w:pPr>
              <w:widowControl w:val="0"/>
              <w:spacing w:line="360" w:lineRule="auto"/>
              <w:jc w:val="center"/>
              <w:rPr>
                <w:rFonts w:asciiTheme="minorEastAsia" w:hAnsiTheme="minorEastAsia" w:eastAsiaTheme="minorEastAsia" w:cstheme="minorEastAsia"/>
                <w:szCs w:val="21"/>
              </w:rPr>
            </w:pPr>
          </w:p>
        </w:tc>
        <w:tc>
          <w:tcPr>
            <w:tcW w:w="1410" w:type="dxa"/>
          </w:tcPr>
          <w:p w14:paraId="02999BE5">
            <w:pPr>
              <w:widowControl w:val="0"/>
              <w:spacing w:line="360" w:lineRule="auto"/>
              <w:jc w:val="center"/>
              <w:rPr>
                <w:rFonts w:asciiTheme="minorEastAsia" w:hAnsiTheme="minorEastAsia" w:eastAsiaTheme="minorEastAsia" w:cstheme="minorEastAsia"/>
                <w:szCs w:val="21"/>
              </w:rPr>
            </w:pPr>
          </w:p>
        </w:tc>
        <w:tc>
          <w:tcPr>
            <w:tcW w:w="1975" w:type="dxa"/>
          </w:tcPr>
          <w:p w14:paraId="6ACF5CCD">
            <w:pPr>
              <w:widowControl w:val="0"/>
              <w:spacing w:line="360" w:lineRule="auto"/>
              <w:jc w:val="center"/>
              <w:rPr>
                <w:rFonts w:asciiTheme="minorEastAsia" w:hAnsiTheme="minorEastAsia" w:eastAsiaTheme="minorEastAsia" w:cstheme="minorEastAsia"/>
                <w:szCs w:val="21"/>
              </w:rPr>
            </w:pPr>
          </w:p>
        </w:tc>
        <w:tc>
          <w:tcPr>
            <w:tcW w:w="1597" w:type="dxa"/>
          </w:tcPr>
          <w:p w14:paraId="4D68AAD9">
            <w:pPr>
              <w:widowControl w:val="0"/>
              <w:spacing w:line="360" w:lineRule="auto"/>
              <w:jc w:val="center"/>
              <w:rPr>
                <w:rFonts w:asciiTheme="minorEastAsia" w:hAnsiTheme="minorEastAsia" w:eastAsiaTheme="minorEastAsia" w:cstheme="minorEastAsia"/>
                <w:szCs w:val="21"/>
              </w:rPr>
            </w:pPr>
          </w:p>
        </w:tc>
      </w:tr>
      <w:tr w14:paraId="6E8D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785" w:type="dxa"/>
          </w:tcPr>
          <w:p w14:paraId="7062AA83">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w:t>
            </w:r>
          </w:p>
        </w:tc>
        <w:tc>
          <w:tcPr>
            <w:tcW w:w="1854" w:type="dxa"/>
          </w:tcPr>
          <w:p w14:paraId="24B238EE">
            <w:pPr>
              <w:widowControl w:val="0"/>
              <w:spacing w:line="360" w:lineRule="auto"/>
              <w:jc w:val="center"/>
              <w:rPr>
                <w:rFonts w:asciiTheme="minorEastAsia" w:hAnsiTheme="minorEastAsia" w:eastAsiaTheme="minorEastAsia" w:cstheme="minorEastAsia"/>
                <w:szCs w:val="21"/>
              </w:rPr>
            </w:pPr>
          </w:p>
        </w:tc>
        <w:tc>
          <w:tcPr>
            <w:tcW w:w="1410" w:type="dxa"/>
          </w:tcPr>
          <w:p w14:paraId="4F044CB5">
            <w:pPr>
              <w:widowControl w:val="0"/>
              <w:spacing w:line="360" w:lineRule="auto"/>
              <w:jc w:val="center"/>
              <w:rPr>
                <w:rFonts w:asciiTheme="minorEastAsia" w:hAnsiTheme="minorEastAsia" w:eastAsiaTheme="minorEastAsia" w:cstheme="minorEastAsia"/>
                <w:szCs w:val="21"/>
              </w:rPr>
            </w:pPr>
          </w:p>
        </w:tc>
        <w:tc>
          <w:tcPr>
            <w:tcW w:w="1410" w:type="dxa"/>
          </w:tcPr>
          <w:p w14:paraId="4C772B2C">
            <w:pPr>
              <w:widowControl w:val="0"/>
              <w:spacing w:line="360" w:lineRule="auto"/>
              <w:jc w:val="center"/>
              <w:rPr>
                <w:rFonts w:asciiTheme="minorEastAsia" w:hAnsiTheme="minorEastAsia" w:eastAsiaTheme="minorEastAsia" w:cstheme="minorEastAsia"/>
                <w:szCs w:val="21"/>
              </w:rPr>
            </w:pPr>
          </w:p>
        </w:tc>
        <w:tc>
          <w:tcPr>
            <w:tcW w:w="1975" w:type="dxa"/>
          </w:tcPr>
          <w:p w14:paraId="64A74F47">
            <w:pPr>
              <w:widowControl w:val="0"/>
              <w:spacing w:line="360" w:lineRule="auto"/>
              <w:jc w:val="center"/>
              <w:rPr>
                <w:rFonts w:asciiTheme="minorEastAsia" w:hAnsiTheme="minorEastAsia" w:eastAsiaTheme="minorEastAsia" w:cstheme="minorEastAsia"/>
                <w:szCs w:val="21"/>
              </w:rPr>
            </w:pPr>
          </w:p>
        </w:tc>
        <w:tc>
          <w:tcPr>
            <w:tcW w:w="1597" w:type="dxa"/>
          </w:tcPr>
          <w:p w14:paraId="5CC29149">
            <w:pPr>
              <w:widowControl w:val="0"/>
              <w:spacing w:line="360" w:lineRule="auto"/>
              <w:jc w:val="center"/>
              <w:rPr>
                <w:rFonts w:asciiTheme="minorEastAsia" w:hAnsiTheme="minorEastAsia" w:eastAsiaTheme="minorEastAsia" w:cstheme="minorEastAsia"/>
                <w:szCs w:val="21"/>
              </w:rPr>
            </w:pPr>
          </w:p>
        </w:tc>
      </w:tr>
      <w:tr w14:paraId="606A0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785" w:type="dxa"/>
          </w:tcPr>
          <w:p w14:paraId="01137ED8">
            <w:pPr>
              <w:widowControl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w:t>
            </w:r>
          </w:p>
        </w:tc>
        <w:tc>
          <w:tcPr>
            <w:tcW w:w="1854" w:type="dxa"/>
          </w:tcPr>
          <w:p w14:paraId="0D854F05">
            <w:pPr>
              <w:widowControl w:val="0"/>
              <w:spacing w:line="360" w:lineRule="auto"/>
              <w:jc w:val="center"/>
              <w:rPr>
                <w:rFonts w:asciiTheme="minorEastAsia" w:hAnsiTheme="minorEastAsia" w:eastAsiaTheme="minorEastAsia" w:cstheme="minorEastAsia"/>
                <w:szCs w:val="21"/>
              </w:rPr>
            </w:pPr>
          </w:p>
        </w:tc>
        <w:tc>
          <w:tcPr>
            <w:tcW w:w="1410" w:type="dxa"/>
          </w:tcPr>
          <w:p w14:paraId="3EC025D9">
            <w:pPr>
              <w:widowControl w:val="0"/>
              <w:spacing w:line="360" w:lineRule="auto"/>
              <w:jc w:val="center"/>
              <w:rPr>
                <w:rFonts w:asciiTheme="minorEastAsia" w:hAnsiTheme="minorEastAsia" w:eastAsiaTheme="minorEastAsia" w:cstheme="minorEastAsia"/>
                <w:szCs w:val="21"/>
              </w:rPr>
            </w:pPr>
          </w:p>
        </w:tc>
        <w:tc>
          <w:tcPr>
            <w:tcW w:w="1410" w:type="dxa"/>
          </w:tcPr>
          <w:p w14:paraId="12BECC2A">
            <w:pPr>
              <w:widowControl w:val="0"/>
              <w:spacing w:line="360" w:lineRule="auto"/>
              <w:jc w:val="center"/>
              <w:rPr>
                <w:rFonts w:asciiTheme="minorEastAsia" w:hAnsiTheme="minorEastAsia" w:eastAsiaTheme="minorEastAsia" w:cstheme="minorEastAsia"/>
                <w:szCs w:val="21"/>
              </w:rPr>
            </w:pPr>
          </w:p>
        </w:tc>
        <w:tc>
          <w:tcPr>
            <w:tcW w:w="1975" w:type="dxa"/>
          </w:tcPr>
          <w:p w14:paraId="5ED5A6BD">
            <w:pPr>
              <w:widowControl w:val="0"/>
              <w:spacing w:line="360" w:lineRule="auto"/>
              <w:jc w:val="center"/>
              <w:rPr>
                <w:rFonts w:asciiTheme="minorEastAsia" w:hAnsiTheme="minorEastAsia" w:eastAsiaTheme="minorEastAsia" w:cstheme="minorEastAsia"/>
                <w:szCs w:val="21"/>
              </w:rPr>
            </w:pPr>
          </w:p>
        </w:tc>
        <w:tc>
          <w:tcPr>
            <w:tcW w:w="1597" w:type="dxa"/>
          </w:tcPr>
          <w:p w14:paraId="7077639F">
            <w:pPr>
              <w:widowControl w:val="0"/>
              <w:spacing w:line="360" w:lineRule="auto"/>
              <w:jc w:val="center"/>
              <w:rPr>
                <w:rFonts w:asciiTheme="minorEastAsia" w:hAnsiTheme="minorEastAsia" w:eastAsiaTheme="minorEastAsia" w:cstheme="minorEastAsia"/>
                <w:szCs w:val="21"/>
              </w:rPr>
            </w:pPr>
          </w:p>
        </w:tc>
      </w:tr>
    </w:tbl>
    <w:p w14:paraId="3A4057CE">
      <w:pPr>
        <w:pStyle w:val="16"/>
        <w:ind w:left="0" w:leftChars="0" w:firstLine="0" w:firstLineChars="0"/>
        <w:rPr>
          <w:rFonts w:asciiTheme="minorEastAsia" w:hAnsiTheme="minorEastAsia"/>
          <w:szCs w:val="21"/>
        </w:rPr>
        <w:sectPr>
          <w:footerReference r:id="rId13" w:type="default"/>
          <w:pgSz w:w="11906" w:h="16838"/>
          <w:pgMar w:top="1440" w:right="1800" w:bottom="1440" w:left="1800" w:header="851" w:footer="992" w:gutter="0"/>
          <w:pgNumType w:fmt="decimal"/>
          <w:cols w:space="425" w:num="1"/>
          <w:docGrid w:type="lines" w:linePitch="312" w:charSpace="0"/>
        </w:sectPr>
      </w:pPr>
    </w:p>
    <w:p w14:paraId="3D9F1A9B">
      <w:pPr>
        <w:spacing w:line="250" w:lineRule="auto"/>
        <w:rPr>
          <w:rFonts w:ascii="Arial"/>
          <w:sz w:val="21"/>
        </w:rPr>
      </w:pPr>
      <w:r>
        <w:pict>
          <v:rect id="_x0000_s1042" o:spid="_x0000_s1042" o:spt="1" style="position:absolute;left:0pt;margin-left:70.85pt;margin-top:784.8pt;height:0.45pt;width:453.95pt;mso-position-horizontal-relative:page;mso-position-vertical-relative:page;z-index:251665408;mso-width-relative:page;mso-height-relative:page;" fillcolor="#000000" filled="t" stroked="f" coordsize="21600,21600" o:allowincell="f">
            <v:path/>
            <v:fill on="t" focussize="0,0"/>
            <v:stroke on="f"/>
            <v:imagedata o:title=""/>
            <o:lock v:ext="edit"/>
          </v:rect>
        </w:pict>
      </w:r>
    </w:p>
    <w:p w14:paraId="5DCC5D5C">
      <w:pPr>
        <w:spacing w:line="250" w:lineRule="auto"/>
        <w:rPr>
          <w:rFonts w:ascii="Arial"/>
          <w:sz w:val="21"/>
        </w:rPr>
      </w:pPr>
    </w:p>
    <w:p w14:paraId="2AEECE80">
      <w:pPr>
        <w:spacing w:line="250" w:lineRule="auto"/>
        <w:rPr>
          <w:rFonts w:ascii="Arial"/>
          <w:sz w:val="21"/>
        </w:rPr>
      </w:pPr>
    </w:p>
    <w:p w14:paraId="2CC99C1C">
      <w:pPr>
        <w:spacing w:line="250" w:lineRule="auto"/>
        <w:rPr>
          <w:rFonts w:ascii="Arial"/>
          <w:sz w:val="21"/>
        </w:rPr>
      </w:pPr>
    </w:p>
    <w:p w14:paraId="517D7240">
      <w:pPr>
        <w:spacing w:line="250" w:lineRule="auto"/>
        <w:rPr>
          <w:rFonts w:ascii="Arial"/>
          <w:sz w:val="21"/>
        </w:rPr>
      </w:pPr>
    </w:p>
    <w:p w14:paraId="634AB2BD">
      <w:pPr>
        <w:spacing w:line="250" w:lineRule="auto"/>
        <w:rPr>
          <w:rFonts w:ascii="Arial"/>
          <w:sz w:val="21"/>
        </w:rPr>
      </w:pPr>
    </w:p>
    <w:p w14:paraId="08823670">
      <w:pPr>
        <w:spacing w:line="250" w:lineRule="auto"/>
        <w:rPr>
          <w:rFonts w:ascii="Arial"/>
          <w:sz w:val="21"/>
        </w:rPr>
      </w:pPr>
    </w:p>
    <w:p w14:paraId="03825383">
      <w:pPr>
        <w:spacing w:line="250" w:lineRule="auto"/>
        <w:rPr>
          <w:rFonts w:ascii="Arial"/>
          <w:sz w:val="21"/>
        </w:rPr>
      </w:pPr>
    </w:p>
    <w:p w14:paraId="772C1090">
      <w:pPr>
        <w:spacing w:line="251" w:lineRule="auto"/>
        <w:rPr>
          <w:rFonts w:ascii="Arial"/>
          <w:sz w:val="21"/>
        </w:rPr>
      </w:pPr>
    </w:p>
    <w:p w14:paraId="186C50BF">
      <w:pPr>
        <w:spacing w:line="251" w:lineRule="auto"/>
        <w:rPr>
          <w:rFonts w:ascii="Arial"/>
          <w:sz w:val="21"/>
        </w:rPr>
      </w:pPr>
    </w:p>
    <w:p w14:paraId="43B002B0">
      <w:pPr>
        <w:spacing w:line="251" w:lineRule="auto"/>
        <w:rPr>
          <w:rFonts w:ascii="Arial"/>
          <w:sz w:val="21"/>
        </w:rPr>
      </w:pPr>
    </w:p>
    <w:p w14:paraId="33DD89A3">
      <w:pPr>
        <w:spacing w:line="251" w:lineRule="auto"/>
        <w:rPr>
          <w:rFonts w:ascii="Arial"/>
          <w:sz w:val="21"/>
        </w:rPr>
      </w:pPr>
    </w:p>
    <w:p w14:paraId="6BCC96F7">
      <w:pPr>
        <w:spacing w:line="251" w:lineRule="auto"/>
        <w:rPr>
          <w:rFonts w:ascii="Arial"/>
          <w:sz w:val="21"/>
        </w:rPr>
      </w:pPr>
    </w:p>
    <w:p w14:paraId="3076D19A">
      <w:pPr>
        <w:spacing w:line="251" w:lineRule="auto"/>
        <w:rPr>
          <w:rFonts w:ascii="Arial"/>
          <w:sz w:val="21"/>
        </w:rPr>
      </w:pPr>
    </w:p>
    <w:p w14:paraId="71B0B19C">
      <w:pPr>
        <w:spacing w:line="251" w:lineRule="auto"/>
        <w:rPr>
          <w:rFonts w:ascii="Arial"/>
          <w:sz w:val="21"/>
        </w:rPr>
      </w:pPr>
    </w:p>
    <w:p w14:paraId="12BDE67D">
      <w:pPr>
        <w:spacing w:line="251" w:lineRule="auto"/>
        <w:rPr>
          <w:rFonts w:ascii="Arial"/>
          <w:sz w:val="21"/>
        </w:rPr>
      </w:pPr>
    </w:p>
    <w:p w14:paraId="2A7F74CC">
      <w:pPr>
        <w:spacing w:line="251" w:lineRule="auto"/>
        <w:rPr>
          <w:rFonts w:ascii="Arial"/>
          <w:sz w:val="21"/>
        </w:rPr>
      </w:pPr>
    </w:p>
    <w:p w14:paraId="20C4F852">
      <w:pPr>
        <w:spacing w:line="251" w:lineRule="auto"/>
        <w:rPr>
          <w:rFonts w:ascii="Arial"/>
          <w:sz w:val="21"/>
        </w:rPr>
      </w:pPr>
    </w:p>
    <w:p w14:paraId="7859D3E1">
      <w:pPr>
        <w:spacing w:line="251" w:lineRule="auto"/>
        <w:rPr>
          <w:rFonts w:ascii="Arial"/>
          <w:sz w:val="21"/>
        </w:rPr>
      </w:pPr>
    </w:p>
    <w:p w14:paraId="3F427038">
      <w:pPr>
        <w:spacing w:line="251" w:lineRule="auto"/>
        <w:rPr>
          <w:rFonts w:ascii="Arial"/>
          <w:sz w:val="21"/>
        </w:rPr>
      </w:pPr>
    </w:p>
    <w:p w14:paraId="68377B01">
      <w:pPr>
        <w:pStyle w:val="3"/>
        <w:spacing w:before="104" w:line="220" w:lineRule="auto"/>
        <w:ind w:left="2942"/>
        <w:rPr>
          <w:sz w:val="32"/>
          <w:szCs w:val="32"/>
        </w:rPr>
      </w:pPr>
      <w:r>
        <w:rPr>
          <w:spacing w:val="-1"/>
          <w:sz w:val="32"/>
          <w:szCs w:val="32"/>
          <w14:textOutline w14:w="5805">
            <w14:solidFill>
              <w14:srgbClr w14:val="000000"/>
            </w14:solidFill>
            <w14:prstDash w14:val="solid"/>
            <w14:miter w14:val="0"/>
          </w14:textOutline>
        </w:rPr>
        <w:t>第</w:t>
      </w:r>
      <w:r>
        <w:rPr>
          <w:rFonts w:hint="eastAsia"/>
          <w:spacing w:val="-1"/>
          <w:sz w:val="32"/>
          <w:szCs w:val="32"/>
          <w:lang w:val="en-US" w:eastAsia="zh-CN"/>
          <w14:textOutline w14:w="5805">
            <w14:solidFill>
              <w14:srgbClr w14:val="000000"/>
            </w14:solidFill>
            <w14:prstDash w14:val="solid"/>
            <w14:miter w14:val="0"/>
          </w14:textOutline>
        </w:rPr>
        <w:t>七</w:t>
      </w:r>
      <w:r>
        <w:rPr>
          <w:spacing w:val="-1"/>
          <w:sz w:val="32"/>
          <w:szCs w:val="32"/>
          <w14:textOutline w14:w="5805">
            <w14:solidFill>
              <w14:srgbClr w14:val="000000"/>
            </w14:solidFill>
            <w14:prstDash w14:val="solid"/>
            <w14:miter w14:val="0"/>
          </w14:textOutline>
        </w:rPr>
        <w:t>章</w:t>
      </w:r>
      <w:r>
        <w:rPr>
          <w:spacing w:val="-1"/>
          <w:sz w:val="32"/>
          <w:szCs w:val="32"/>
        </w:rPr>
        <w:t xml:space="preserve">  </w:t>
      </w:r>
      <w:r>
        <w:rPr>
          <w:spacing w:val="-1"/>
          <w:sz w:val="32"/>
          <w:szCs w:val="32"/>
          <w14:textOutline w14:w="5805">
            <w14:solidFill>
              <w14:srgbClr w14:val="000000"/>
            </w14:solidFill>
            <w14:prstDash w14:val="solid"/>
            <w14:miter w14:val="0"/>
          </w14:textOutline>
        </w:rPr>
        <w:t>投标文件格式</w:t>
      </w:r>
    </w:p>
    <w:p w14:paraId="57C2E4C2">
      <w:pPr>
        <w:spacing w:line="220" w:lineRule="auto"/>
        <w:rPr>
          <w:sz w:val="32"/>
          <w:szCs w:val="32"/>
        </w:rPr>
        <w:sectPr>
          <w:footerReference r:id="rId14" w:type="default"/>
          <w:pgSz w:w="11905" w:h="16838"/>
          <w:pgMar w:top="841" w:right="1368" w:bottom="799" w:left="1417" w:header="0" w:footer="548" w:gutter="0"/>
          <w:pgNumType w:fmt="decimal"/>
          <w:cols w:space="720" w:num="1"/>
        </w:sectPr>
      </w:pPr>
    </w:p>
    <w:p w14:paraId="786F305F">
      <w:pPr>
        <w:pStyle w:val="3"/>
        <w:spacing w:before="117" w:line="745" w:lineRule="exact"/>
        <w:ind w:right="50"/>
        <w:jc w:val="right"/>
        <w:rPr>
          <w:sz w:val="36"/>
          <w:szCs w:val="36"/>
        </w:rPr>
      </w:pPr>
      <w:r>
        <w:rPr>
          <w:spacing w:val="-4"/>
          <w:position w:val="29"/>
          <w:sz w:val="36"/>
          <w:szCs w:val="36"/>
          <w14:textOutline w14:w="6531">
            <w14:solidFill>
              <w14:srgbClr w14:val="000000"/>
            </w14:solidFill>
            <w14:prstDash w14:val="solid"/>
            <w14:miter w14:val="0"/>
          </w14:textOutline>
        </w:rPr>
        <w:t>电子投标文件或正本或副本</w:t>
      </w:r>
    </w:p>
    <w:p w14:paraId="09E5FB3D">
      <w:pPr>
        <w:pStyle w:val="3"/>
        <w:tabs>
          <w:tab w:val="left" w:pos="6510"/>
        </w:tabs>
        <w:spacing w:before="1" w:line="220" w:lineRule="auto"/>
        <w:ind w:left="391"/>
        <w:rPr>
          <w:sz w:val="36"/>
          <w:szCs w:val="36"/>
        </w:rPr>
      </w:pPr>
      <w:r>
        <w:rPr>
          <w:sz w:val="36"/>
          <w:szCs w:val="36"/>
          <w:u w:val="single" w:color="auto"/>
        </w:rPr>
        <w:tab/>
      </w:r>
      <w:r>
        <w:rPr>
          <w:sz w:val="36"/>
          <w:szCs w:val="36"/>
          <w14:textOutline w14:w="6531">
            <w14:solidFill>
              <w14:srgbClr w14:val="000000"/>
            </w14:solidFill>
            <w14:prstDash w14:val="solid"/>
            <w14:miter w14:val="0"/>
          </w14:textOutline>
        </w:rPr>
        <w:t>（项目名称）</w:t>
      </w:r>
    </w:p>
    <w:p w14:paraId="330A648E">
      <w:pPr>
        <w:spacing w:line="243" w:lineRule="auto"/>
        <w:rPr>
          <w:rFonts w:ascii="Arial"/>
          <w:sz w:val="21"/>
        </w:rPr>
      </w:pPr>
    </w:p>
    <w:p w14:paraId="038322F8">
      <w:pPr>
        <w:spacing w:line="243" w:lineRule="auto"/>
        <w:rPr>
          <w:rFonts w:ascii="Arial"/>
          <w:sz w:val="21"/>
        </w:rPr>
      </w:pPr>
    </w:p>
    <w:p w14:paraId="2A50C660">
      <w:pPr>
        <w:spacing w:line="243" w:lineRule="auto"/>
        <w:rPr>
          <w:rFonts w:ascii="Arial"/>
          <w:sz w:val="21"/>
        </w:rPr>
      </w:pPr>
    </w:p>
    <w:p w14:paraId="41CC7734">
      <w:pPr>
        <w:spacing w:line="244" w:lineRule="auto"/>
        <w:rPr>
          <w:rFonts w:ascii="Arial"/>
          <w:sz w:val="21"/>
        </w:rPr>
      </w:pPr>
    </w:p>
    <w:p w14:paraId="08D7E614">
      <w:pPr>
        <w:pStyle w:val="3"/>
        <w:spacing w:before="326" w:line="220" w:lineRule="auto"/>
        <w:ind w:left="2578"/>
        <w:rPr>
          <w:sz w:val="100"/>
          <w:szCs w:val="100"/>
        </w:rPr>
      </w:pPr>
      <w:r>
        <w:rPr>
          <w:spacing w:val="-10"/>
          <w:sz w:val="100"/>
          <w:szCs w:val="100"/>
          <w14:textOutline w14:w="18142">
            <w14:solidFill>
              <w14:srgbClr w14:val="000000"/>
            </w14:solidFill>
            <w14:prstDash w14:val="solid"/>
            <w14:miter w14:val="0"/>
          </w14:textOutline>
        </w:rPr>
        <w:t>投标文件</w:t>
      </w:r>
    </w:p>
    <w:p w14:paraId="4A9AA9DD">
      <w:pPr>
        <w:spacing w:line="272" w:lineRule="auto"/>
        <w:rPr>
          <w:rFonts w:ascii="Arial"/>
          <w:sz w:val="21"/>
        </w:rPr>
      </w:pPr>
    </w:p>
    <w:p w14:paraId="23E2FAF8">
      <w:pPr>
        <w:spacing w:line="273" w:lineRule="auto"/>
        <w:rPr>
          <w:rFonts w:ascii="Arial"/>
          <w:sz w:val="21"/>
        </w:rPr>
      </w:pPr>
    </w:p>
    <w:p w14:paraId="7654AB1A">
      <w:pPr>
        <w:pStyle w:val="3"/>
        <w:spacing w:before="91" w:line="220" w:lineRule="auto"/>
        <w:ind w:left="3850"/>
        <w:rPr>
          <w:sz w:val="28"/>
          <w:szCs w:val="28"/>
        </w:rPr>
      </w:pPr>
      <w:r>
        <w:rPr>
          <w:spacing w:val="-13"/>
          <w:sz w:val="28"/>
          <w:szCs w:val="28"/>
        </w:rPr>
        <w:t>项目编号：</w:t>
      </w:r>
    </w:p>
    <w:p w14:paraId="18CE9271">
      <w:pPr>
        <w:spacing w:line="243" w:lineRule="auto"/>
        <w:rPr>
          <w:rFonts w:ascii="Arial"/>
          <w:sz w:val="21"/>
        </w:rPr>
      </w:pPr>
    </w:p>
    <w:p w14:paraId="66DB8ED6">
      <w:pPr>
        <w:spacing w:line="243" w:lineRule="auto"/>
        <w:rPr>
          <w:rFonts w:ascii="Arial"/>
          <w:sz w:val="21"/>
        </w:rPr>
      </w:pPr>
    </w:p>
    <w:p w14:paraId="2B2A7E8B">
      <w:pPr>
        <w:spacing w:line="243" w:lineRule="auto"/>
        <w:rPr>
          <w:rFonts w:ascii="Arial"/>
          <w:sz w:val="21"/>
        </w:rPr>
      </w:pPr>
    </w:p>
    <w:p w14:paraId="70717ED1">
      <w:pPr>
        <w:spacing w:line="243" w:lineRule="auto"/>
        <w:rPr>
          <w:rFonts w:ascii="Arial"/>
          <w:sz w:val="21"/>
        </w:rPr>
      </w:pPr>
    </w:p>
    <w:p w14:paraId="46F01E3D">
      <w:pPr>
        <w:spacing w:line="243" w:lineRule="auto"/>
        <w:rPr>
          <w:rFonts w:ascii="Arial"/>
          <w:sz w:val="21"/>
        </w:rPr>
      </w:pPr>
    </w:p>
    <w:p w14:paraId="55DC08AC">
      <w:pPr>
        <w:spacing w:line="243" w:lineRule="auto"/>
        <w:rPr>
          <w:rFonts w:ascii="Arial"/>
          <w:sz w:val="21"/>
        </w:rPr>
      </w:pPr>
    </w:p>
    <w:p w14:paraId="3E16CD99">
      <w:pPr>
        <w:spacing w:line="243" w:lineRule="auto"/>
        <w:rPr>
          <w:rFonts w:ascii="Arial"/>
          <w:sz w:val="21"/>
        </w:rPr>
      </w:pPr>
    </w:p>
    <w:p w14:paraId="2A942BE3">
      <w:pPr>
        <w:spacing w:line="243" w:lineRule="auto"/>
        <w:rPr>
          <w:rFonts w:ascii="Arial"/>
          <w:sz w:val="21"/>
        </w:rPr>
      </w:pPr>
    </w:p>
    <w:p w14:paraId="0360C9B3">
      <w:pPr>
        <w:spacing w:line="243" w:lineRule="auto"/>
        <w:rPr>
          <w:rFonts w:ascii="Arial"/>
          <w:sz w:val="21"/>
        </w:rPr>
      </w:pPr>
    </w:p>
    <w:p w14:paraId="27793704">
      <w:pPr>
        <w:spacing w:line="243" w:lineRule="auto"/>
        <w:rPr>
          <w:rFonts w:ascii="Arial"/>
          <w:sz w:val="21"/>
        </w:rPr>
      </w:pPr>
    </w:p>
    <w:p w14:paraId="44825874">
      <w:pPr>
        <w:spacing w:line="243" w:lineRule="auto"/>
        <w:rPr>
          <w:rFonts w:ascii="Arial"/>
          <w:sz w:val="21"/>
        </w:rPr>
      </w:pPr>
    </w:p>
    <w:p w14:paraId="7340C269">
      <w:pPr>
        <w:spacing w:line="243" w:lineRule="auto"/>
        <w:rPr>
          <w:rFonts w:ascii="Arial"/>
          <w:sz w:val="21"/>
        </w:rPr>
      </w:pPr>
    </w:p>
    <w:p w14:paraId="48D60D35">
      <w:pPr>
        <w:spacing w:line="244" w:lineRule="auto"/>
        <w:rPr>
          <w:rFonts w:ascii="Arial"/>
          <w:sz w:val="21"/>
        </w:rPr>
      </w:pPr>
    </w:p>
    <w:p w14:paraId="025E5EC7">
      <w:pPr>
        <w:spacing w:line="244" w:lineRule="auto"/>
        <w:rPr>
          <w:rFonts w:ascii="Arial"/>
          <w:sz w:val="21"/>
        </w:rPr>
      </w:pPr>
    </w:p>
    <w:p w14:paraId="063F42BE">
      <w:pPr>
        <w:spacing w:line="244" w:lineRule="auto"/>
        <w:rPr>
          <w:rFonts w:ascii="Arial"/>
          <w:sz w:val="21"/>
        </w:rPr>
      </w:pPr>
    </w:p>
    <w:p w14:paraId="3BDD9292">
      <w:pPr>
        <w:spacing w:line="244" w:lineRule="auto"/>
        <w:rPr>
          <w:rFonts w:ascii="Arial"/>
          <w:sz w:val="21"/>
        </w:rPr>
      </w:pPr>
    </w:p>
    <w:p w14:paraId="17E1C0D4">
      <w:pPr>
        <w:spacing w:line="244" w:lineRule="auto"/>
        <w:rPr>
          <w:rFonts w:ascii="Arial"/>
          <w:sz w:val="21"/>
        </w:rPr>
      </w:pPr>
    </w:p>
    <w:p w14:paraId="369C7A77">
      <w:pPr>
        <w:spacing w:line="244" w:lineRule="auto"/>
        <w:rPr>
          <w:rFonts w:ascii="Arial"/>
          <w:sz w:val="21"/>
        </w:rPr>
      </w:pPr>
    </w:p>
    <w:p w14:paraId="7C62D165">
      <w:pPr>
        <w:spacing w:line="244" w:lineRule="auto"/>
        <w:rPr>
          <w:rFonts w:ascii="Arial"/>
          <w:sz w:val="21"/>
        </w:rPr>
      </w:pPr>
    </w:p>
    <w:p w14:paraId="51D28DD8">
      <w:pPr>
        <w:spacing w:line="244" w:lineRule="auto"/>
        <w:rPr>
          <w:rFonts w:ascii="Arial"/>
          <w:sz w:val="21"/>
        </w:rPr>
      </w:pPr>
    </w:p>
    <w:p w14:paraId="2EBAF3AD">
      <w:pPr>
        <w:spacing w:line="244" w:lineRule="auto"/>
        <w:rPr>
          <w:rFonts w:ascii="Arial"/>
          <w:sz w:val="21"/>
        </w:rPr>
      </w:pPr>
    </w:p>
    <w:p w14:paraId="52D53C6A">
      <w:pPr>
        <w:spacing w:line="244" w:lineRule="auto"/>
        <w:rPr>
          <w:rFonts w:ascii="Arial"/>
          <w:sz w:val="21"/>
        </w:rPr>
      </w:pPr>
    </w:p>
    <w:p w14:paraId="4AABB685">
      <w:pPr>
        <w:spacing w:line="244" w:lineRule="auto"/>
        <w:rPr>
          <w:rFonts w:ascii="Arial"/>
          <w:sz w:val="21"/>
        </w:rPr>
      </w:pPr>
    </w:p>
    <w:p w14:paraId="5EDEDF9C">
      <w:pPr>
        <w:pStyle w:val="3"/>
        <w:spacing w:before="118" w:line="431" w:lineRule="auto"/>
        <w:ind w:left="315"/>
        <w:rPr>
          <w:sz w:val="36"/>
          <w:szCs w:val="36"/>
        </w:rPr>
      </w:pPr>
      <w:r>
        <w:rPr>
          <w:rFonts w:hint="eastAsia"/>
          <w:spacing w:val="4"/>
          <w:sz w:val="36"/>
          <w:szCs w:val="36"/>
          <w:lang w:eastAsia="zh-CN"/>
          <w14:textOutline w14:w="6531">
            <w14:solidFill>
              <w14:srgbClr w14:val="000000"/>
            </w14:solidFill>
            <w14:prstDash w14:val="solid"/>
            <w14:miter w14:val="0"/>
          </w14:textOutline>
        </w:rPr>
        <w:t>供应商</w:t>
      </w:r>
      <w:r>
        <w:rPr>
          <w:spacing w:val="4"/>
          <w:sz w:val="36"/>
          <w:szCs w:val="36"/>
          <w14:textOutline w14:w="6531">
            <w14:solidFill>
              <w14:srgbClr w14:val="000000"/>
            </w14:solidFill>
            <w14:prstDash w14:val="solid"/>
            <w14:miter w14:val="0"/>
          </w14:textOutline>
        </w:rPr>
        <w:t>名称</w:t>
      </w:r>
      <w:r>
        <w:rPr>
          <w:spacing w:val="-23"/>
          <w:sz w:val="36"/>
          <w:szCs w:val="36"/>
          <w14:textOutline w14:w="6531">
            <w14:solidFill>
              <w14:srgbClr w14:val="000000"/>
            </w14:solidFill>
            <w14:prstDash w14:val="solid"/>
            <w14:miter w14:val="0"/>
          </w14:textOutline>
        </w:rPr>
        <w:t>：</w:t>
      </w:r>
      <w:r>
        <w:rPr>
          <w:sz w:val="36"/>
          <w:szCs w:val="36"/>
          <w:u w:val="single" w:color="auto"/>
        </w:rPr>
        <w:t xml:space="preserve">                       </w:t>
      </w:r>
      <w:r>
        <w:rPr>
          <w:spacing w:val="-23"/>
          <w:sz w:val="36"/>
          <w:szCs w:val="36"/>
          <w14:textOutline w14:w="6531">
            <w14:solidFill>
              <w14:srgbClr w14:val="000000"/>
            </w14:solidFill>
            <w14:prstDash w14:val="solid"/>
            <w14:miter w14:val="0"/>
          </w14:textOutline>
        </w:rPr>
        <w:t>（</w:t>
      </w:r>
      <w:r>
        <w:rPr>
          <w:spacing w:val="4"/>
          <w:sz w:val="36"/>
          <w:szCs w:val="36"/>
          <w14:textOutline w14:w="6531">
            <w14:solidFill>
              <w14:srgbClr w14:val="000000"/>
            </w14:solidFill>
            <w14:prstDash w14:val="solid"/>
            <w14:miter w14:val="0"/>
          </w14:textOutline>
        </w:rPr>
        <w:t>盖单位章）</w:t>
      </w:r>
    </w:p>
    <w:p w14:paraId="7343662D">
      <w:pPr>
        <w:pStyle w:val="3"/>
        <w:spacing w:before="1" w:line="219" w:lineRule="auto"/>
        <w:ind w:left="306"/>
        <w:rPr>
          <w:sz w:val="36"/>
          <w:szCs w:val="36"/>
        </w:rPr>
      </w:pPr>
      <w:r>
        <w:rPr>
          <w:spacing w:val="3"/>
          <w:sz w:val="36"/>
          <w:szCs w:val="36"/>
          <w14:textOutline w14:w="6531">
            <w14:solidFill>
              <w14:srgbClr w14:val="000000"/>
            </w14:solidFill>
            <w14:prstDash w14:val="solid"/>
            <w14:miter w14:val="0"/>
          </w14:textOutline>
        </w:rPr>
        <w:t>法定代表人或其委托代理人</w:t>
      </w:r>
      <w:r>
        <w:rPr>
          <w:spacing w:val="-23"/>
          <w:sz w:val="36"/>
          <w:szCs w:val="36"/>
          <w14:textOutline w14:w="6531">
            <w14:solidFill>
              <w14:srgbClr w14:val="000000"/>
            </w14:solidFill>
            <w14:prstDash w14:val="solid"/>
            <w14:miter w14:val="0"/>
          </w14:textOutline>
        </w:rPr>
        <w:t>：</w:t>
      </w:r>
      <w:r>
        <w:rPr>
          <w:spacing w:val="30"/>
          <w:sz w:val="36"/>
          <w:szCs w:val="36"/>
          <w:u w:val="single" w:color="auto"/>
        </w:rPr>
        <w:t xml:space="preserve">      </w:t>
      </w:r>
      <w:r>
        <w:rPr>
          <w:spacing w:val="-23"/>
          <w:sz w:val="36"/>
          <w:szCs w:val="36"/>
          <w14:textOutline w14:w="6531">
            <w14:solidFill>
              <w14:srgbClr w14:val="000000"/>
            </w14:solidFill>
            <w14:prstDash w14:val="solid"/>
            <w14:miter w14:val="0"/>
          </w14:textOutline>
        </w:rPr>
        <w:t>（</w:t>
      </w:r>
      <w:r>
        <w:rPr>
          <w:spacing w:val="3"/>
          <w:sz w:val="36"/>
          <w:szCs w:val="36"/>
          <w14:textOutline w14:w="6531">
            <w14:solidFill>
              <w14:srgbClr w14:val="000000"/>
            </w14:solidFill>
            <w14:prstDash w14:val="solid"/>
            <w14:miter w14:val="0"/>
          </w14:textOutline>
        </w:rPr>
        <w:t>签字或盖章）</w:t>
      </w:r>
    </w:p>
    <w:p w14:paraId="5D1841F6">
      <w:pPr>
        <w:spacing w:line="293" w:lineRule="auto"/>
        <w:rPr>
          <w:rFonts w:ascii="Arial"/>
          <w:sz w:val="21"/>
        </w:rPr>
      </w:pPr>
    </w:p>
    <w:p w14:paraId="4C829538">
      <w:pPr>
        <w:pStyle w:val="3"/>
        <w:tabs>
          <w:tab w:val="left" w:pos="3812"/>
        </w:tabs>
        <w:spacing w:before="117" w:line="220" w:lineRule="auto"/>
        <w:ind w:left="2733"/>
        <w:rPr>
          <w:sz w:val="36"/>
          <w:szCs w:val="36"/>
        </w:rPr>
      </w:pPr>
      <w:r>
        <w:rPr>
          <w:sz w:val="36"/>
          <w:szCs w:val="36"/>
          <w:u w:val="single" w:color="auto"/>
        </w:rPr>
        <w:tab/>
      </w:r>
      <w:r>
        <w:rPr>
          <w:spacing w:val="-165"/>
          <w:sz w:val="36"/>
          <w:szCs w:val="36"/>
        </w:rPr>
        <w:t xml:space="preserve"> </w:t>
      </w:r>
      <w:r>
        <w:rPr>
          <w:spacing w:val="-13"/>
          <w:sz w:val="36"/>
          <w:szCs w:val="36"/>
          <w14:textOutline w14:w="6531">
            <w14:solidFill>
              <w14:srgbClr w14:val="000000"/>
            </w14:solidFill>
            <w14:prstDash w14:val="solid"/>
            <w14:miter w14:val="0"/>
          </w14:textOutline>
        </w:rPr>
        <w:t>年</w:t>
      </w:r>
      <w:r>
        <w:rPr>
          <w:spacing w:val="-178"/>
          <w:sz w:val="36"/>
          <w:szCs w:val="36"/>
        </w:rPr>
        <w:t xml:space="preserve"> </w:t>
      </w:r>
      <w:r>
        <w:rPr>
          <w:sz w:val="36"/>
          <w:szCs w:val="36"/>
          <w:u w:val="single" w:color="auto"/>
        </w:rPr>
        <w:t xml:space="preserve">    </w:t>
      </w:r>
      <w:r>
        <w:rPr>
          <w:spacing w:val="-158"/>
          <w:sz w:val="36"/>
          <w:szCs w:val="36"/>
        </w:rPr>
        <w:t xml:space="preserve"> </w:t>
      </w:r>
      <w:r>
        <w:rPr>
          <w:spacing w:val="-13"/>
          <w:sz w:val="36"/>
          <w:szCs w:val="36"/>
          <w14:textOutline w14:w="6531">
            <w14:solidFill>
              <w14:srgbClr w14:val="000000"/>
            </w14:solidFill>
            <w14:prstDash w14:val="solid"/>
            <w14:miter w14:val="0"/>
          </w14:textOutline>
        </w:rPr>
        <w:t>月</w:t>
      </w:r>
      <w:r>
        <w:rPr>
          <w:spacing w:val="-178"/>
          <w:sz w:val="36"/>
          <w:szCs w:val="36"/>
        </w:rPr>
        <w:t xml:space="preserve"> </w:t>
      </w:r>
      <w:r>
        <w:rPr>
          <w:sz w:val="36"/>
          <w:szCs w:val="36"/>
          <w:u w:val="single" w:color="auto"/>
        </w:rPr>
        <w:t xml:space="preserve">    </w:t>
      </w:r>
      <w:r>
        <w:rPr>
          <w:spacing w:val="-104"/>
          <w:sz w:val="36"/>
          <w:szCs w:val="36"/>
        </w:rPr>
        <w:t xml:space="preserve"> </w:t>
      </w:r>
      <w:r>
        <w:rPr>
          <w:spacing w:val="-13"/>
          <w:sz w:val="36"/>
          <w:szCs w:val="36"/>
          <w14:textOutline w14:w="6531">
            <w14:solidFill>
              <w14:srgbClr w14:val="000000"/>
            </w14:solidFill>
            <w14:prstDash w14:val="solid"/>
            <w14:miter w14:val="0"/>
          </w14:textOutline>
        </w:rPr>
        <w:t>日</w:t>
      </w:r>
    </w:p>
    <w:p w14:paraId="51FF3385">
      <w:pPr>
        <w:spacing w:line="220" w:lineRule="auto"/>
        <w:rPr>
          <w:sz w:val="36"/>
          <w:szCs w:val="36"/>
        </w:rPr>
        <w:sectPr>
          <w:footerReference r:id="rId15" w:type="default"/>
          <w:pgSz w:w="11905" w:h="16838"/>
          <w:pgMar w:top="841" w:right="1368" w:bottom="799" w:left="1417" w:header="0" w:footer="548" w:gutter="0"/>
          <w:pgNumType w:fmt="decimal"/>
          <w:cols w:space="720" w:num="1"/>
        </w:sectPr>
      </w:pPr>
    </w:p>
    <w:p w14:paraId="6000F6A2">
      <w:pPr>
        <w:pStyle w:val="3"/>
        <w:spacing w:before="353" w:line="222" w:lineRule="auto"/>
        <w:ind w:left="3974"/>
      </w:pPr>
      <w:r>
        <w:rPr>
          <w:spacing w:val="-51"/>
          <w14:textOutline w14:w="7982">
            <w14:solidFill>
              <w14:srgbClr w14:val="000000"/>
            </w14:solidFill>
            <w14:prstDash w14:val="solid"/>
            <w14:miter w14:val="0"/>
          </w14:textOutline>
        </w:rPr>
        <w:t>目</w:t>
      </w:r>
      <w:r>
        <w:rPr>
          <w:spacing w:val="10"/>
        </w:rPr>
        <w:t xml:space="preserve">  </w:t>
      </w:r>
      <w:r>
        <w:rPr>
          <w:spacing w:val="-51"/>
          <w14:textOutline w14:w="7982">
            <w14:solidFill>
              <w14:srgbClr w14:val="000000"/>
            </w14:solidFill>
            <w14:prstDash w14:val="solid"/>
            <w14:miter w14:val="0"/>
          </w14:textOutline>
        </w:rPr>
        <w:t>录</w:t>
      </w:r>
    </w:p>
    <w:p w14:paraId="63B98B7A">
      <w:pPr>
        <w:spacing w:line="315" w:lineRule="auto"/>
        <w:rPr>
          <w:rFonts w:ascii="Arial"/>
          <w:sz w:val="21"/>
        </w:rPr>
      </w:pPr>
    </w:p>
    <w:p w14:paraId="30B30EB2">
      <w:pPr>
        <w:spacing w:line="315" w:lineRule="auto"/>
        <w:rPr>
          <w:rFonts w:ascii="Arial"/>
          <w:sz w:val="21"/>
        </w:rPr>
      </w:pPr>
    </w:p>
    <w:p w14:paraId="57D9FD62">
      <w:pPr>
        <w:pStyle w:val="3"/>
        <w:spacing w:before="78" w:line="221" w:lineRule="auto"/>
        <w:ind w:left="493"/>
        <w:rPr>
          <w:sz w:val="24"/>
          <w:szCs w:val="24"/>
        </w:rPr>
      </w:pPr>
      <w:r>
        <w:rPr>
          <w:spacing w:val="-7"/>
          <w:sz w:val="24"/>
          <w:szCs w:val="24"/>
        </w:rPr>
        <w:t>一、投标函</w:t>
      </w:r>
    </w:p>
    <w:p w14:paraId="5588C4D1">
      <w:pPr>
        <w:pStyle w:val="3"/>
        <w:spacing w:before="312" w:line="219" w:lineRule="auto"/>
        <w:ind w:left="493"/>
        <w:rPr>
          <w:spacing w:val="-1"/>
          <w:sz w:val="24"/>
          <w:szCs w:val="24"/>
        </w:rPr>
      </w:pPr>
      <w:r>
        <w:rPr>
          <w:spacing w:val="-1"/>
          <w:sz w:val="24"/>
          <w:szCs w:val="24"/>
        </w:rPr>
        <w:t>二、投标函附录及</w:t>
      </w:r>
      <w:r>
        <w:rPr>
          <w:rFonts w:hint="eastAsia"/>
          <w:spacing w:val="-1"/>
          <w:sz w:val="24"/>
          <w:szCs w:val="24"/>
          <w:lang w:val="en-US" w:eastAsia="en-US"/>
        </w:rPr>
        <w:t>投标货物报价明细表</w:t>
      </w:r>
      <w:r>
        <w:rPr>
          <w:rFonts w:hint="eastAsia"/>
          <w:spacing w:val="-1"/>
          <w:sz w:val="24"/>
          <w:szCs w:val="24"/>
          <w:lang w:val="en-US" w:eastAsia="zh-CN"/>
        </w:rPr>
        <w:t>、</w:t>
      </w:r>
      <w:r>
        <w:rPr>
          <w:rFonts w:hint="eastAsia"/>
          <w:spacing w:val="-1"/>
          <w:sz w:val="24"/>
          <w:szCs w:val="24"/>
          <w:lang w:val="en-US" w:eastAsia="en-US"/>
        </w:rPr>
        <w:t>技术参数偏离表</w:t>
      </w:r>
    </w:p>
    <w:p w14:paraId="65718D23">
      <w:pPr>
        <w:pStyle w:val="3"/>
        <w:spacing w:before="315" w:line="600" w:lineRule="exact"/>
        <w:ind w:left="489"/>
        <w:rPr>
          <w:sz w:val="24"/>
          <w:szCs w:val="24"/>
        </w:rPr>
      </w:pPr>
      <w:r>
        <w:rPr>
          <w:position w:val="27"/>
          <w:sz w:val="24"/>
          <w:szCs w:val="24"/>
        </w:rPr>
        <w:t>三、法定代表人身份证明或附有法定代表人身份证明</w:t>
      </w:r>
      <w:r>
        <w:rPr>
          <w:spacing w:val="-1"/>
          <w:position w:val="27"/>
          <w:sz w:val="24"/>
          <w:szCs w:val="24"/>
        </w:rPr>
        <w:t>的企业法定代表人授权书</w:t>
      </w:r>
    </w:p>
    <w:p w14:paraId="6DBCF6BC">
      <w:pPr>
        <w:pStyle w:val="3"/>
        <w:spacing w:line="220" w:lineRule="auto"/>
        <w:ind w:left="511"/>
        <w:rPr>
          <w:sz w:val="24"/>
          <w:szCs w:val="24"/>
        </w:rPr>
      </w:pPr>
      <w:r>
        <w:rPr>
          <w:spacing w:val="-4"/>
          <w:sz w:val="24"/>
          <w:szCs w:val="24"/>
        </w:rPr>
        <w:t>四、资格证明文件</w:t>
      </w:r>
    </w:p>
    <w:p w14:paraId="368089F0">
      <w:pPr>
        <w:pStyle w:val="3"/>
        <w:spacing w:before="314" w:line="600" w:lineRule="exact"/>
        <w:ind w:left="493"/>
        <w:rPr>
          <w:sz w:val="24"/>
          <w:szCs w:val="24"/>
        </w:rPr>
      </w:pPr>
      <w:r>
        <w:rPr>
          <w:spacing w:val="-2"/>
          <w:position w:val="27"/>
          <w:sz w:val="24"/>
          <w:szCs w:val="24"/>
        </w:rPr>
        <w:t>五、反商业贿赂承诺书</w:t>
      </w:r>
    </w:p>
    <w:p w14:paraId="27777337">
      <w:pPr>
        <w:pStyle w:val="3"/>
        <w:spacing w:line="220" w:lineRule="auto"/>
        <w:ind w:left="491"/>
        <w:rPr>
          <w:sz w:val="24"/>
          <w:szCs w:val="24"/>
        </w:rPr>
      </w:pPr>
      <w:r>
        <w:rPr>
          <w:spacing w:val="-2"/>
          <w:sz w:val="24"/>
          <w:szCs w:val="24"/>
        </w:rPr>
        <w:t>六、投标承诺函</w:t>
      </w:r>
    </w:p>
    <w:p w14:paraId="4B608E44">
      <w:pPr>
        <w:pStyle w:val="3"/>
        <w:spacing w:before="313" w:line="220" w:lineRule="auto"/>
        <w:ind w:left="488"/>
        <w:rPr>
          <w:sz w:val="24"/>
          <w:szCs w:val="24"/>
        </w:rPr>
      </w:pPr>
      <w:r>
        <w:rPr>
          <w:spacing w:val="-2"/>
          <w:sz w:val="24"/>
          <w:szCs w:val="24"/>
        </w:rPr>
        <w:t>七、履约承诺书</w:t>
      </w:r>
    </w:p>
    <w:p w14:paraId="5831718F">
      <w:pPr>
        <w:pStyle w:val="3"/>
        <w:spacing w:before="314" w:line="220" w:lineRule="auto"/>
        <w:ind w:left="493"/>
        <w:rPr>
          <w:sz w:val="24"/>
          <w:szCs w:val="24"/>
        </w:rPr>
      </w:pPr>
      <w:r>
        <w:rPr>
          <w:spacing w:val="-1"/>
          <w:sz w:val="24"/>
          <w:szCs w:val="24"/>
        </w:rPr>
        <w:t>八、拟投入本项目主要人员及主要设备配置表</w:t>
      </w:r>
    </w:p>
    <w:p w14:paraId="009F2AC6">
      <w:pPr>
        <w:pStyle w:val="3"/>
        <w:spacing w:before="315" w:line="220" w:lineRule="auto"/>
        <w:ind w:left="495"/>
        <w:rPr>
          <w:sz w:val="24"/>
          <w:szCs w:val="24"/>
        </w:rPr>
      </w:pPr>
      <w:r>
        <w:rPr>
          <w:spacing w:val="-2"/>
          <w:sz w:val="24"/>
          <w:szCs w:val="24"/>
        </w:rPr>
        <w:t>九、</w:t>
      </w:r>
      <w:r>
        <w:rPr>
          <w:rFonts w:hint="eastAsia"/>
          <w:spacing w:val="-2"/>
          <w:sz w:val="24"/>
          <w:szCs w:val="24"/>
          <w:lang w:val="en-US" w:eastAsia="zh-CN"/>
        </w:rPr>
        <w:t>维修</w:t>
      </w:r>
      <w:r>
        <w:rPr>
          <w:spacing w:val="-2"/>
          <w:sz w:val="24"/>
          <w:szCs w:val="24"/>
        </w:rPr>
        <w:t>服务方案</w:t>
      </w:r>
    </w:p>
    <w:p w14:paraId="6CFF2578">
      <w:pPr>
        <w:pStyle w:val="3"/>
        <w:spacing w:before="314" w:line="600" w:lineRule="exact"/>
        <w:ind w:left="490"/>
        <w:rPr>
          <w:sz w:val="24"/>
          <w:szCs w:val="24"/>
        </w:rPr>
      </w:pPr>
      <w:r>
        <w:rPr>
          <w:spacing w:val="-1"/>
          <w:position w:val="27"/>
          <w:sz w:val="24"/>
          <w:szCs w:val="24"/>
        </w:rPr>
        <w:t>十、综合实力评审资料</w:t>
      </w:r>
    </w:p>
    <w:p w14:paraId="5FB53E3D">
      <w:pPr>
        <w:pStyle w:val="3"/>
        <w:spacing w:before="1" w:line="220" w:lineRule="auto"/>
        <w:ind w:left="490"/>
        <w:rPr>
          <w:sz w:val="24"/>
          <w:szCs w:val="24"/>
        </w:rPr>
      </w:pPr>
      <w:r>
        <w:rPr>
          <w:spacing w:val="-3"/>
          <w:sz w:val="24"/>
          <w:szCs w:val="24"/>
        </w:rPr>
        <w:t>十一、其他资料</w:t>
      </w:r>
    </w:p>
    <w:p w14:paraId="03F70E96">
      <w:pPr>
        <w:spacing w:line="220" w:lineRule="auto"/>
        <w:rPr>
          <w:sz w:val="24"/>
          <w:szCs w:val="24"/>
        </w:rPr>
        <w:sectPr>
          <w:footerReference r:id="rId16" w:type="default"/>
          <w:pgSz w:w="11905" w:h="16838"/>
          <w:pgMar w:top="841" w:right="1368" w:bottom="799" w:left="1417" w:header="0" w:footer="548" w:gutter="0"/>
          <w:pgNumType w:fmt="decimal"/>
          <w:cols w:space="720" w:num="1"/>
        </w:sectPr>
      </w:pPr>
    </w:p>
    <w:p w14:paraId="12115703">
      <w:pPr>
        <w:pStyle w:val="3"/>
        <w:spacing w:before="91" w:line="221" w:lineRule="auto"/>
        <w:ind w:left="3778"/>
        <w:outlineLvl w:val="6"/>
        <w:rPr>
          <w:sz w:val="28"/>
          <w:szCs w:val="28"/>
        </w:rPr>
      </w:pPr>
      <w:r>
        <w:rPr>
          <w:spacing w:val="-3"/>
          <w:sz w:val="28"/>
          <w:szCs w:val="28"/>
          <w14:textOutline w14:w="5080">
            <w14:solidFill>
              <w14:srgbClr w14:val="000000"/>
            </w14:solidFill>
            <w14:prstDash w14:val="solid"/>
            <w14:miter w14:val="0"/>
          </w14:textOutline>
        </w:rPr>
        <w:t>一、投标函</w:t>
      </w:r>
    </w:p>
    <w:p w14:paraId="2C1B1E4D">
      <w:pPr>
        <w:spacing w:line="414" w:lineRule="auto"/>
        <w:rPr>
          <w:rFonts w:ascii="Arial"/>
          <w:sz w:val="21"/>
        </w:rPr>
      </w:pPr>
    </w:p>
    <w:p w14:paraId="7CC67535">
      <w:pPr>
        <w:pStyle w:val="3"/>
        <w:spacing w:before="78" w:line="221" w:lineRule="auto"/>
        <w:ind w:left="9"/>
        <w:rPr>
          <w:sz w:val="24"/>
          <w:szCs w:val="24"/>
        </w:rPr>
      </w:pPr>
      <w:r>
        <w:rPr>
          <w:spacing w:val="-27"/>
          <w:w w:val="95"/>
          <w:sz w:val="24"/>
          <w:szCs w:val="24"/>
        </w:rPr>
        <w:t>致</w:t>
      </w:r>
      <w:r>
        <w:rPr>
          <w:spacing w:val="-10"/>
          <w:sz w:val="24"/>
          <w:szCs w:val="24"/>
        </w:rPr>
        <w:t>：</w:t>
      </w:r>
      <w:r>
        <w:rPr>
          <w:spacing w:val="-37"/>
          <w:sz w:val="24"/>
          <w:szCs w:val="24"/>
        </w:rPr>
        <w:t xml:space="preserve"> </w:t>
      </w:r>
      <w:r>
        <w:rPr>
          <w:sz w:val="24"/>
          <w:szCs w:val="24"/>
          <w:u w:val="single" w:color="auto"/>
        </w:rPr>
        <w:t xml:space="preserve">                        </w:t>
      </w:r>
      <w:r>
        <w:rPr>
          <w:spacing w:val="16"/>
          <w:sz w:val="24"/>
          <w:szCs w:val="24"/>
        </w:rPr>
        <w:t xml:space="preserve"> </w:t>
      </w:r>
      <w:r>
        <w:rPr>
          <w:spacing w:val="-10"/>
          <w:sz w:val="24"/>
          <w:szCs w:val="24"/>
        </w:rPr>
        <w:t>（</w:t>
      </w:r>
      <w:r>
        <w:rPr>
          <w:spacing w:val="-27"/>
          <w:w w:val="95"/>
          <w:sz w:val="24"/>
          <w:szCs w:val="24"/>
        </w:rPr>
        <w:t>招标人）</w:t>
      </w:r>
    </w:p>
    <w:p w14:paraId="029C94C8">
      <w:pPr>
        <w:pStyle w:val="3"/>
        <w:spacing w:before="232" w:line="400" w:lineRule="auto"/>
        <w:ind w:left="9" w:right="48" w:firstLine="497"/>
        <w:rPr>
          <w:sz w:val="24"/>
          <w:szCs w:val="24"/>
        </w:rPr>
      </w:pPr>
      <w:r>
        <w:rPr>
          <w:spacing w:val="1"/>
          <w:sz w:val="24"/>
          <w:szCs w:val="24"/>
        </w:rPr>
        <w:t>1.根据已收到的</w:t>
      </w:r>
      <w:r>
        <w:rPr>
          <w:spacing w:val="-119"/>
          <w:sz w:val="24"/>
          <w:szCs w:val="24"/>
        </w:rPr>
        <w:t xml:space="preserve"> </w:t>
      </w:r>
      <w:r>
        <w:rPr>
          <w:spacing w:val="1"/>
          <w:sz w:val="24"/>
          <w:szCs w:val="24"/>
          <w:u w:val="single" w:color="auto"/>
        </w:rPr>
        <w:t xml:space="preserve">                           </w:t>
      </w:r>
      <w:r>
        <w:rPr>
          <w:spacing w:val="1"/>
          <w:sz w:val="24"/>
          <w:szCs w:val="24"/>
        </w:rPr>
        <w:t>（项目名称</w:t>
      </w:r>
      <w:r>
        <w:rPr>
          <w:sz w:val="24"/>
          <w:szCs w:val="24"/>
        </w:rPr>
        <w:t xml:space="preserve">）招标文件，遵照《中 </w:t>
      </w:r>
      <w:r>
        <w:rPr>
          <w:spacing w:val="-2"/>
          <w:sz w:val="24"/>
          <w:szCs w:val="24"/>
        </w:rPr>
        <w:t>华人民共和国政府采购法》和有关文件的规定，并结合自身及项目实际，在仔细研究上</w:t>
      </w:r>
      <w:r>
        <w:rPr>
          <w:spacing w:val="16"/>
          <w:sz w:val="24"/>
          <w:szCs w:val="24"/>
        </w:rPr>
        <w:t xml:space="preserve"> </w:t>
      </w:r>
      <w:r>
        <w:rPr>
          <w:spacing w:val="-10"/>
          <w:sz w:val="24"/>
          <w:szCs w:val="24"/>
        </w:rPr>
        <w:t>述项目招标文件后，</w:t>
      </w:r>
      <w:r>
        <w:rPr>
          <w:spacing w:val="38"/>
          <w:sz w:val="24"/>
          <w:szCs w:val="24"/>
        </w:rPr>
        <w:t xml:space="preserve"> </w:t>
      </w:r>
      <w:r>
        <w:rPr>
          <w:spacing w:val="-10"/>
          <w:sz w:val="24"/>
          <w:szCs w:val="24"/>
        </w:rPr>
        <w:t>我公司完全接受该项目招标文件的全部内容，</w:t>
      </w:r>
      <w:r>
        <w:rPr>
          <w:spacing w:val="42"/>
          <w:sz w:val="24"/>
          <w:szCs w:val="24"/>
        </w:rPr>
        <w:t xml:space="preserve"> </w:t>
      </w:r>
      <w:r>
        <w:rPr>
          <w:spacing w:val="-10"/>
          <w:sz w:val="24"/>
          <w:szCs w:val="24"/>
        </w:rPr>
        <w:t>并愿以投标函附录承</w:t>
      </w:r>
      <w:r>
        <w:rPr>
          <w:sz w:val="24"/>
          <w:szCs w:val="24"/>
        </w:rPr>
        <w:t xml:space="preserve"> </w:t>
      </w:r>
      <w:r>
        <w:rPr>
          <w:spacing w:val="5"/>
          <w:sz w:val="24"/>
          <w:szCs w:val="24"/>
        </w:rPr>
        <w:t>诺的投标报价并结合招标文件规定的合同价的计算方法承担本项目招标文</w:t>
      </w:r>
      <w:r>
        <w:rPr>
          <w:spacing w:val="4"/>
          <w:sz w:val="24"/>
          <w:szCs w:val="24"/>
        </w:rPr>
        <w:t>件要求的所</w:t>
      </w:r>
    </w:p>
    <w:p w14:paraId="224B6304">
      <w:pPr>
        <w:pStyle w:val="3"/>
        <w:spacing w:line="220" w:lineRule="auto"/>
        <w:ind w:left="10"/>
        <w:rPr>
          <w:sz w:val="24"/>
          <w:szCs w:val="24"/>
        </w:rPr>
      </w:pPr>
      <w:r>
        <w:rPr>
          <w:spacing w:val="-3"/>
          <w:sz w:val="24"/>
          <w:szCs w:val="24"/>
        </w:rPr>
        <w:t>有工作内容，参加该项目的投标活动。</w:t>
      </w:r>
    </w:p>
    <w:p w14:paraId="65737168">
      <w:pPr>
        <w:pStyle w:val="3"/>
        <w:spacing w:before="234" w:line="220" w:lineRule="auto"/>
        <w:ind w:left="492"/>
        <w:rPr>
          <w:sz w:val="24"/>
          <w:szCs w:val="24"/>
        </w:rPr>
      </w:pPr>
      <w:r>
        <w:rPr>
          <w:spacing w:val="-2"/>
          <w:sz w:val="24"/>
          <w:szCs w:val="24"/>
        </w:rPr>
        <w:t>2.我公司完全响应招标文件中提出的所有实质性要求。</w:t>
      </w:r>
    </w:p>
    <w:p w14:paraId="1C5B04BD">
      <w:pPr>
        <w:pStyle w:val="3"/>
        <w:spacing w:before="234" w:line="520" w:lineRule="exact"/>
        <w:ind w:right="48"/>
        <w:jc w:val="right"/>
        <w:rPr>
          <w:sz w:val="24"/>
          <w:szCs w:val="24"/>
        </w:rPr>
      </w:pPr>
      <w:r>
        <w:rPr>
          <w:spacing w:val="-5"/>
          <w:position w:val="21"/>
          <w:sz w:val="24"/>
          <w:szCs w:val="24"/>
        </w:rPr>
        <w:t>3.我公司同意在招标文件规定的投标有效期限内， 本投标文件始终对我公司具有约</w:t>
      </w:r>
    </w:p>
    <w:p w14:paraId="38AF4F8E">
      <w:pPr>
        <w:pStyle w:val="3"/>
        <w:spacing w:line="220" w:lineRule="auto"/>
        <w:ind w:left="10"/>
        <w:rPr>
          <w:sz w:val="24"/>
          <w:szCs w:val="24"/>
        </w:rPr>
      </w:pPr>
      <w:r>
        <w:rPr>
          <w:spacing w:val="-3"/>
          <w:sz w:val="24"/>
          <w:szCs w:val="24"/>
        </w:rPr>
        <w:t>束力，且随时可以按此投标文件中标。</w:t>
      </w:r>
    </w:p>
    <w:p w14:paraId="7161ED36">
      <w:pPr>
        <w:pStyle w:val="3"/>
        <w:spacing w:before="233" w:line="220" w:lineRule="auto"/>
        <w:ind w:left="488"/>
        <w:rPr>
          <w:sz w:val="24"/>
          <w:szCs w:val="24"/>
        </w:rPr>
      </w:pPr>
      <w:r>
        <w:rPr>
          <w:spacing w:val="-2"/>
          <w:sz w:val="24"/>
          <w:szCs w:val="24"/>
        </w:rPr>
        <w:t>4.一旦我公司中标，我公司保证在合同签订后按采购人要求开展工作；</w:t>
      </w:r>
    </w:p>
    <w:p w14:paraId="35F9BF30">
      <w:pPr>
        <w:pStyle w:val="3"/>
        <w:spacing w:before="235" w:line="520" w:lineRule="exact"/>
        <w:ind w:right="52"/>
        <w:jc w:val="right"/>
        <w:rPr>
          <w:sz w:val="24"/>
          <w:szCs w:val="24"/>
        </w:rPr>
      </w:pPr>
      <w:r>
        <w:rPr>
          <w:spacing w:val="-5"/>
          <w:position w:val="21"/>
          <w:sz w:val="24"/>
          <w:szCs w:val="24"/>
        </w:rPr>
        <w:t>5.中标后， 我公司自愿向招标代理机构支付本项目的招标代理服务费（招标代理服</w:t>
      </w:r>
    </w:p>
    <w:p w14:paraId="7AD56962">
      <w:pPr>
        <w:pStyle w:val="3"/>
        <w:spacing w:line="220" w:lineRule="auto"/>
        <w:ind w:left="11"/>
        <w:rPr>
          <w:sz w:val="24"/>
          <w:szCs w:val="24"/>
        </w:rPr>
      </w:pPr>
      <w:r>
        <w:rPr>
          <w:spacing w:val="-3"/>
          <w:sz w:val="24"/>
          <w:szCs w:val="24"/>
        </w:rPr>
        <w:t>务费按照招标文件规定计取）。</w:t>
      </w:r>
    </w:p>
    <w:p w14:paraId="3F13D292">
      <w:pPr>
        <w:pStyle w:val="3"/>
        <w:spacing w:before="234" w:line="520" w:lineRule="exact"/>
        <w:ind w:right="48"/>
        <w:jc w:val="right"/>
        <w:rPr>
          <w:sz w:val="24"/>
          <w:szCs w:val="24"/>
        </w:rPr>
      </w:pPr>
      <w:r>
        <w:rPr>
          <w:spacing w:val="-5"/>
          <w:position w:val="21"/>
          <w:sz w:val="24"/>
          <w:szCs w:val="24"/>
        </w:rPr>
        <w:t>6.除非与贵方另外达成协议并生效， 贵方的中标通知书和本投标文件将构成约束我</w:t>
      </w:r>
    </w:p>
    <w:p w14:paraId="0833712E">
      <w:pPr>
        <w:pStyle w:val="3"/>
        <w:spacing w:before="1" w:line="221" w:lineRule="auto"/>
        <w:ind w:left="9"/>
        <w:rPr>
          <w:sz w:val="24"/>
          <w:szCs w:val="24"/>
        </w:rPr>
      </w:pPr>
      <w:r>
        <w:rPr>
          <w:spacing w:val="-6"/>
          <w:sz w:val="24"/>
          <w:szCs w:val="24"/>
        </w:rPr>
        <w:t>们双方的合同。</w:t>
      </w:r>
    </w:p>
    <w:p w14:paraId="5F8F1175">
      <w:pPr>
        <w:spacing w:line="334" w:lineRule="auto"/>
        <w:rPr>
          <w:rFonts w:ascii="Arial"/>
          <w:sz w:val="21"/>
        </w:rPr>
      </w:pPr>
    </w:p>
    <w:p w14:paraId="02281C3F">
      <w:pPr>
        <w:spacing w:line="335" w:lineRule="auto"/>
        <w:rPr>
          <w:rFonts w:ascii="Arial"/>
          <w:sz w:val="21"/>
        </w:rPr>
      </w:pPr>
    </w:p>
    <w:p w14:paraId="56364051">
      <w:pPr>
        <w:pStyle w:val="3"/>
        <w:spacing w:before="78" w:line="400" w:lineRule="auto"/>
        <w:ind w:right="39"/>
        <w:jc w:val="right"/>
        <w:rPr>
          <w:sz w:val="24"/>
          <w:szCs w:val="24"/>
        </w:rPr>
      </w:pPr>
      <w:r>
        <w:rPr>
          <w:rFonts w:hint="eastAsia"/>
          <w:spacing w:val="-26"/>
          <w:sz w:val="24"/>
          <w:szCs w:val="24"/>
          <w:lang w:eastAsia="zh-CN"/>
        </w:rPr>
        <w:t>供应商</w:t>
      </w:r>
      <w:r>
        <w:rPr>
          <w:spacing w:val="-26"/>
          <w:sz w:val="24"/>
          <w:szCs w:val="24"/>
        </w:rPr>
        <w:t>名称</w:t>
      </w:r>
      <w:r>
        <w:rPr>
          <w:spacing w:val="-28"/>
          <w:sz w:val="24"/>
          <w:szCs w:val="24"/>
        </w:rPr>
        <w:t>：</w:t>
      </w:r>
      <w:r>
        <w:rPr>
          <w:spacing w:val="56"/>
          <w:sz w:val="24"/>
          <w:szCs w:val="24"/>
        </w:rPr>
        <w:t xml:space="preserve"> </w:t>
      </w:r>
      <w:r>
        <w:rPr>
          <w:spacing w:val="5"/>
          <w:sz w:val="24"/>
          <w:szCs w:val="24"/>
          <w:u w:val="single" w:color="auto"/>
        </w:rPr>
        <w:t xml:space="preserve">                       </w:t>
      </w:r>
      <w:r>
        <w:rPr>
          <w:spacing w:val="21"/>
          <w:sz w:val="24"/>
          <w:szCs w:val="24"/>
        </w:rPr>
        <w:t xml:space="preserve"> </w:t>
      </w:r>
      <w:r>
        <w:rPr>
          <w:spacing w:val="-28"/>
          <w:sz w:val="24"/>
          <w:szCs w:val="24"/>
        </w:rPr>
        <w:t>（</w:t>
      </w:r>
      <w:r>
        <w:rPr>
          <w:spacing w:val="-26"/>
          <w:sz w:val="24"/>
          <w:szCs w:val="24"/>
        </w:rPr>
        <w:t>盖单位章）</w:t>
      </w:r>
    </w:p>
    <w:p w14:paraId="17BA2A69">
      <w:pPr>
        <w:pStyle w:val="3"/>
        <w:spacing w:before="1" w:line="229" w:lineRule="auto"/>
        <w:ind w:left="3309"/>
        <w:rPr>
          <w:sz w:val="24"/>
          <w:szCs w:val="24"/>
        </w:rPr>
      </w:pPr>
      <w:r>
        <w:rPr>
          <w:spacing w:val="-32"/>
          <w:w w:val="99"/>
          <w:sz w:val="24"/>
          <w:szCs w:val="24"/>
        </w:rPr>
        <w:t>地</w:t>
      </w:r>
      <w:r>
        <w:rPr>
          <w:spacing w:val="5"/>
          <w:sz w:val="24"/>
          <w:szCs w:val="24"/>
        </w:rPr>
        <w:t xml:space="preserve">  </w:t>
      </w:r>
      <w:r>
        <w:rPr>
          <w:spacing w:val="-32"/>
          <w:w w:val="99"/>
          <w:sz w:val="24"/>
          <w:szCs w:val="24"/>
        </w:rPr>
        <w:t>址：</w:t>
      </w:r>
      <w:r>
        <w:rPr>
          <w:spacing w:val="-38"/>
          <w:sz w:val="24"/>
          <w:szCs w:val="24"/>
        </w:rPr>
        <w:t xml:space="preserve"> </w:t>
      </w:r>
      <w:r>
        <w:rPr>
          <w:sz w:val="24"/>
          <w:szCs w:val="24"/>
          <w:u w:val="single" w:color="auto"/>
        </w:rPr>
        <w:t xml:space="preserve">                      </w:t>
      </w:r>
    </w:p>
    <w:p w14:paraId="380C2A60">
      <w:pPr>
        <w:pStyle w:val="3"/>
        <w:spacing w:before="222" w:line="400" w:lineRule="auto"/>
        <w:ind w:right="43"/>
        <w:jc w:val="right"/>
        <w:rPr>
          <w:sz w:val="24"/>
          <w:szCs w:val="24"/>
        </w:rPr>
      </w:pPr>
      <w:r>
        <w:rPr>
          <w:spacing w:val="-16"/>
          <w:sz w:val="24"/>
          <w:szCs w:val="24"/>
        </w:rPr>
        <w:t>法定代表人或其委托代理人</w:t>
      </w:r>
      <w:r>
        <w:rPr>
          <w:spacing w:val="-15"/>
          <w:sz w:val="24"/>
          <w:szCs w:val="24"/>
        </w:rPr>
        <w:t>：</w:t>
      </w:r>
      <w:r>
        <w:rPr>
          <w:spacing w:val="56"/>
          <w:sz w:val="24"/>
          <w:szCs w:val="24"/>
        </w:rPr>
        <w:t xml:space="preserve"> </w:t>
      </w:r>
      <w:r>
        <w:rPr>
          <w:spacing w:val="17"/>
          <w:sz w:val="24"/>
          <w:szCs w:val="24"/>
          <w:u w:val="single" w:color="auto"/>
        </w:rPr>
        <w:t xml:space="preserve">       </w:t>
      </w:r>
      <w:r>
        <w:rPr>
          <w:spacing w:val="17"/>
          <w:sz w:val="24"/>
          <w:szCs w:val="24"/>
        </w:rPr>
        <w:t xml:space="preserve"> </w:t>
      </w:r>
      <w:r>
        <w:rPr>
          <w:spacing w:val="-15"/>
          <w:sz w:val="24"/>
          <w:szCs w:val="24"/>
        </w:rPr>
        <w:t>（</w:t>
      </w:r>
      <w:r>
        <w:rPr>
          <w:spacing w:val="-16"/>
          <w:sz w:val="24"/>
          <w:szCs w:val="24"/>
        </w:rPr>
        <w:t>签字或盖章）</w:t>
      </w:r>
    </w:p>
    <w:p w14:paraId="08961D40">
      <w:pPr>
        <w:pStyle w:val="3"/>
        <w:spacing w:line="222" w:lineRule="auto"/>
        <w:ind w:left="3310"/>
        <w:rPr>
          <w:sz w:val="24"/>
          <w:szCs w:val="24"/>
        </w:rPr>
      </w:pPr>
      <w:r>
        <w:rPr>
          <w:spacing w:val="-30"/>
          <w:sz w:val="24"/>
          <w:szCs w:val="24"/>
        </w:rPr>
        <w:t>联系电话：</w:t>
      </w:r>
      <w:r>
        <w:rPr>
          <w:spacing w:val="18"/>
          <w:sz w:val="24"/>
          <w:szCs w:val="24"/>
        </w:rPr>
        <w:t xml:space="preserve"> </w:t>
      </w:r>
      <w:r>
        <w:rPr>
          <w:sz w:val="24"/>
          <w:szCs w:val="24"/>
          <w:u w:val="single" w:color="auto"/>
        </w:rPr>
        <w:t xml:space="preserve">                    </w:t>
      </w:r>
    </w:p>
    <w:p w14:paraId="296C3BD5">
      <w:pPr>
        <w:spacing w:line="295" w:lineRule="auto"/>
        <w:rPr>
          <w:rFonts w:ascii="Arial"/>
          <w:sz w:val="21"/>
        </w:rPr>
      </w:pPr>
    </w:p>
    <w:p w14:paraId="29C81FA4">
      <w:pPr>
        <w:pStyle w:val="3"/>
        <w:tabs>
          <w:tab w:val="left" w:pos="7630"/>
        </w:tabs>
        <w:spacing w:before="79" w:line="220" w:lineRule="auto"/>
        <w:ind w:left="6790"/>
        <w:rPr>
          <w:sz w:val="24"/>
          <w:szCs w:val="24"/>
        </w:rPr>
      </w:pPr>
      <w:r>
        <w:rPr>
          <w:sz w:val="24"/>
          <w:szCs w:val="24"/>
          <w:u w:val="single" w:color="auto"/>
        </w:rPr>
        <w:tab/>
      </w:r>
      <w:r>
        <w:rPr>
          <w:spacing w:val="-108"/>
          <w:sz w:val="24"/>
          <w:szCs w:val="24"/>
        </w:rPr>
        <w:t xml:space="preserve"> </w:t>
      </w:r>
      <w:r>
        <w:rPr>
          <w:spacing w:val="-26"/>
          <w:sz w:val="24"/>
          <w:szCs w:val="24"/>
        </w:rPr>
        <w:t>年</w:t>
      </w:r>
      <w:r>
        <w:rPr>
          <w:sz w:val="24"/>
          <w:szCs w:val="24"/>
          <w:u w:val="single" w:color="auto"/>
        </w:rPr>
        <w:t xml:space="preserve">   </w:t>
      </w:r>
      <w:r>
        <w:rPr>
          <w:spacing w:val="-105"/>
          <w:sz w:val="24"/>
          <w:szCs w:val="24"/>
        </w:rPr>
        <w:t xml:space="preserve"> </w:t>
      </w:r>
      <w:r>
        <w:rPr>
          <w:spacing w:val="-26"/>
          <w:sz w:val="24"/>
          <w:szCs w:val="24"/>
        </w:rPr>
        <w:t>月</w:t>
      </w:r>
      <w:r>
        <w:rPr>
          <w:sz w:val="24"/>
          <w:szCs w:val="24"/>
          <w:u w:val="single" w:color="auto"/>
        </w:rPr>
        <w:t xml:space="preserve">   </w:t>
      </w:r>
      <w:r>
        <w:rPr>
          <w:spacing w:val="-69"/>
          <w:sz w:val="24"/>
          <w:szCs w:val="24"/>
        </w:rPr>
        <w:t xml:space="preserve"> </w:t>
      </w:r>
      <w:r>
        <w:rPr>
          <w:spacing w:val="-26"/>
          <w:sz w:val="24"/>
          <w:szCs w:val="24"/>
        </w:rPr>
        <w:t>日</w:t>
      </w:r>
    </w:p>
    <w:p w14:paraId="1F7E1FF0">
      <w:pPr>
        <w:spacing w:line="220" w:lineRule="auto"/>
        <w:rPr>
          <w:sz w:val="24"/>
          <w:szCs w:val="24"/>
        </w:rPr>
        <w:sectPr>
          <w:footerReference r:id="rId17" w:type="default"/>
          <w:pgSz w:w="11905" w:h="16838"/>
          <w:pgMar w:top="841" w:right="1368" w:bottom="799" w:left="1417" w:header="0" w:footer="548" w:gutter="0"/>
          <w:pgNumType w:fmt="decimal"/>
          <w:cols w:space="720" w:num="1"/>
        </w:sectPr>
      </w:pPr>
    </w:p>
    <w:p w14:paraId="41703846">
      <w:pPr>
        <w:pStyle w:val="3"/>
        <w:spacing w:before="91" w:line="220" w:lineRule="auto"/>
        <w:ind w:left="3566"/>
        <w:outlineLvl w:val="6"/>
        <w:rPr>
          <w:sz w:val="28"/>
          <w:szCs w:val="28"/>
        </w:rPr>
      </w:pPr>
      <w:r>
        <w:rPr>
          <w:spacing w:val="-2"/>
          <w:sz w:val="28"/>
          <w:szCs w:val="28"/>
          <w14:textOutline w14:w="5080">
            <w14:solidFill>
              <w14:srgbClr w14:val="000000"/>
            </w14:solidFill>
            <w14:prstDash w14:val="solid"/>
            <w14:miter w14:val="0"/>
          </w14:textOutline>
        </w:rPr>
        <w:t>二、投标函附录</w:t>
      </w:r>
    </w:p>
    <w:p w14:paraId="684BCDF6">
      <w:pPr>
        <w:pStyle w:val="3"/>
        <w:spacing w:line="360" w:lineRule="auto"/>
        <w:ind w:firstLine="482"/>
        <w:jc w:val="center"/>
        <w:rPr>
          <w:rFonts w:ascii="新宋体" w:hAnsi="新宋体" w:eastAsia="新宋体" w:cs="新宋体"/>
          <w:b/>
          <w:sz w:val="24"/>
        </w:rPr>
      </w:pPr>
    </w:p>
    <w:tbl>
      <w:tblPr>
        <w:tblStyle w:val="17"/>
        <w:tblW w:w="89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02"/>
        <w:gridCol w:w="970"/>
        <w:gridCol w:w="1132"/>
        <w:gridCol w:w="1145"/>
        <w:gridCol w:w="928"/>
        <w:gridCol w:w="1186"/>
        <w:gridCol w:w="1502"/>
      </w:tblGrid>
      <w:tr w14:paraId="4B9B2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2102" w:type="dxa"/>
            <w:vAlign w:val="center"/>
          </w:tcPr>
          <w:p w14:paraId="50DA004E">
            <w:pPr>
              <w:spacing w:line="360" w:lineRule="auto"/>
              <w:jc w:val="center"/>
              <w:rPr>
                <w:rFonts w:ascii="新宋体" w:hAnsi="新宋体" w:eastAsia="新宋体" w:cs="新宋体"/>
                <w:szCs w:val="21"/>
              </w:rPr>
            </w:pPr>
            <w:r>
              <w:rPr>
                <w:rFonts w:hint="eastAsia" w:ascii="新宋体" w:hAnsi="新宋体" w:eastAsia="新宋体" w:cs="新宋体"/>
                <w:szCs w:val="21"/>
              </w:rPr>
              <w:t>项目名称</w:t>
            </w:r>
          </w:p>
        </w:tc>
        <w:tc>
          <w:tcPr>
            <w:tcW w:w="6863" w:type="dxa"/>
            <w:gridSpan w:val="6"/>
            <w:vAlign w:val="center"/>
          </w:tcPr>
          <w:p w14:paraId="6B5718DB">
            <w:pPr>
              <w:adjustRightInd w:val="0"/>
              <w:snapToGrid w:val="0"/>
              <w:spacing w:line="360" w:lineRule="auto"/>
              <w:jc w:val="center"/>
              <w:rPr>
                <w:rFonts w:ascii="新宋体" w:hAnsi="新宋体" w:eastAsia="新宋体" w:cs="新宋体"/>
                <w:szCs w:val="21"/>
                <w:u w:val="single"/>
              </w:rPr>
            </w:pPr>
          </w:p>
        </w:tc>
      </w:tr>
      <w:tr w14:paraId="7F685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102" w:type="dxa"/>
            <w:vAlign w:val="center"/>
          </w:tcPr>
          <w:p w14:paraId="38A1180E">
            <w:pPr>
              <w:spacing w:line="360" w:lineRule="auto"/>
              <w:jc w:val="center"/>
              <w:rPr>
                <w:rFonts w:hint="eastAsia" w:ascii="新宋体" w:hAnsi="新宋体" w:eastAsia="新宋体" w:cs="新宋体"/>
                <w:szCs w:val="21"/>
                <w:lang w:eastAsia="zh-CN"/>
              </w:rPr>
            </w:pPr>
            <w:r>
              <w:rPr>
                <w:rFonts w:hint="eastAsia" w:ascii="新宋体" w:hAnsi="新宋体" w:eastAsia="新宋体" w:cs="新宋体"/>
                <w:szCs w:val="21"/>
                <w:lang w:eastAsia="zh-CN"/>
              </w:rPr>
              <w:t>供应商</w:t>
            </w:r>
          </w:p>
        </w:tc>
        <w:tc>
          <w:tcPr>
            <w:tcW w:w="6863" w:type="dxa"/>
            <w:gridSpan w:val="6"/>
            <w:vAlign w:val="center"/>
          </w:tcPr>
          <w:p w14:paraId="509EF1F4">
            <w:pPr>
              <w:adjustRightInd w:val="0"/>
              <w:snapToGrid w:val="0"/>
              <w:spacing w:line="360" w:lineRule="auto"/>
              <w:jc w:val="center"/>
              <w:rPr>
                <w:rFonts w:ascii="新宋体" w:hAnsi="新宋体" w:eastAsia="新宋体" w:cs="新宋体"/>
                <w:szCs w:val="21"/>
              </w:rPr>
            </w:pPr>
          </w:p>
        </w:tc>
      </w:tr>
      <w:tr w14:paraId="7876D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2102" w:type="dxa"/>
            <w:vAlign w:val="center"/>
          </w:tcPr>
          <w:p w14:paraId="3276E3C9">
            <w:pPr>
              <w:spacing w:line="360" w:lineRule="auto"/>
              <w:jc w:val="center"/>
              <w:rPr>
                <w:rFonts w:ascii="新宋体" w:hAnsi="新宋体" w:eastAsia="新宋体" w:cs="新宋体"/>
                <w:szCs w:val="21"/>
              </w:rPr>
            </w:pPr>
            <w:r>
              <w:rPr>
                <w:rFonts w:hint="eastAsia" w:ascii="新宋体" w:hAnsi="新宋体" w:eastAsia="新宋体" w:cs="新宋体"/>
                <w:szCs w:val="21"/>
              </w:rPr>
              <w:t>投标范围</w:t>
            </w:r>
          </w:p>
        </w:tc>
        <w:tc>
          <w:tcPr>
            <w:tcW w:w="6863" w:type="dxa"/>
            <w:gridSpan w:val="6"/>
            <w:vAlign w:val="center"/>
          </w:tcPr>
          <w:p w14:paraId="37F13605">
            <w:pPr>
              <w:adjustRightInd w:val="0"/>
              <w:snapToGrid w:val="0"/>
              <w:spacing w:line="360" w:lineRule="auto"/>
              <w:jc w:val="center"/>
              <w:rPr>
                <w:rFonts w:ascii="新宋体" w:hAnsi="新宋体" w:eastAsia="新宋体" w:cs="新宋体"/>
                <w:szCs w:val="21"/>
              </w:rPr>
            </w:pPr>
          </w:p>
        </w:tc>
      </w:tr>
      <w:tr w14:paraId="6522B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2102" w:type="dxa"/>
            <w:vAlign w:val="center"/>
          </w:tcPr>
          <w:p w14:paraId="75D603D2">
            <w:pPr>
              <w:spacing w:line="360" w:lineRule="auto"/>
              <w:jc w:val="center"/>
              <w:rPr>
                <w:rFonts w:ascii="新宋体" w:hAnsi="新宋体" w:eastAsia="新宋体" w:cs="新宋体"/>
                <w:szCs w:val="21"/>
              </w:rPr>
            </w:pPr>
            <w:r>
              <w:rPr>
                <w:rFonts w:hint="eastAsia" w:ascii="新宋体" w:hAnsi="新宋体" w:eastAsia="新宋体" w:cs="新宋体"/>
                <w:szCs w:val="21"/>
              </w:rPr>
              <w:t>投标有效期</w:t>
            </w:r>
          </w:p>
        </w:tc>
        <w:tc>
          <w:tcPr>
            <w:tcW w:w="6863" w:type="dxa"/>
            <w:gridSpan w:val="6"/>
            <w:vAlign w:val="center"/>
          </w:tcPr>
          <w:p w14:paraId="4B3D7103">
            <w:pPr>
              <w:adjustRightInd w:val="0"/>
              <w:snapToGrid w:val="0"/>
              <w:spacing w:line="360" w:lineRule="auto"/>
              <w:jc w:val="center"/>
              <w:rPr>
                <w:rFonts w:ascii="新宋体" w:hAnsi="新宋体" w:eastAsia="新宋体" w:cs="新宋体"/>
                <w:szCs w:val="21"/>
              </w:rPr>
            </w:pPr>
          </w:p>
        </w:tc>
      </w:tr>
      <w:tr w14:paraId="178BB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2102" w:type="dxa"/>
            <w:vAlign w:val="center"/>
          </w:tcPr>
          <w:p w14:paraId="24748089">
            <w:pPr>
              <w:adjustRightInd w:val="0"/>
              <w:snapToGrid w:val="0"/>
              <w:spacing w:line="360" w:lineRule="auto"/>
              <w:jc w:val="center"/>
              <w:rPr>
                <w:rFonts w:ascii="新宋体" w:hAnsi="新宋体" w:eastAsia="新宋体" w:cs="新宋体"/>
                <w:b/>
                <w:szCs w:val="21"/>
              </w:rPr>
            </w:pPr>
            <w:r>
              <w:rPr>
                <w:rFonts w:hint="eastAsia" w:ascii="新宋体" w:hAnsi="新宋体" w:eastAsia="新宋体" w:cs="新宋体"/>
                <w:b/>
                <w:szCs w:val="21"/>
              </w:rPr>
              <w:t>投标报价单价合计(元)</w:t>
            </w:r>
          </w:p>
        </w:tc>
        <w:tc>
          <w:tcPr>
            <w:tcW w:w="6863" w:type="dxa"/>
            <w:gridSpan w:val="6"/>
            <w:vAlign w:val="center"/>
          </w:tcPr>
          <w:p w14:paraId="3D766253">
            <w:pPr>
              <w:adjustRightInd w:val="0"/>
              <w:snapToGrid w:val="0"/>
              <w:spacing w:line="360" w:lineRule="auto"/>
              <w:rPr>
                <w:rFonts w:ascii="新宋体" w:hAnsi="新宋体" w:eastAsia="新宋体" w:cs="新宋体"/>
                <w:szCs w:val="21"/>
              </w:rPr>
            </w:pPr>
            <w:r>
              <w:rPr>
                <w:rFonts w:hint="eastAsia" w:ascii="新宋体" w:hAnsi="新宋体" w:eastAsia="新宋体" w:cs="新宋体"/>
                <w:szCs w:val="21"/>
              </w:rPr>
              <w:t>大写：</w:t>
            </w:r>
          </w:p>
          <w:p w14:paraId="05FD7938">
            <w:pPr>
              <w:adjustRightInd w:val="0"/>
              <w:snapToGrid w:val="0"/>
              <w:spacing w:line="360" w:lineRule="auto"/>
              <w:rPr>
                <w:rFonts w:ascii="新宋体" w:hAnsi="新宋体" w:eastAsia="新宋体" w:cs="新宋体"/>
                <w:szCs w:val="21"/>
              </w:rPr>
            </w:pPr>
            <w:r>
              <w:rPr>
                <w:rFonts w:hint="eastAsia" w:ascii="新宋体" w:hAnsi="新宋体" w:eastAsia="新宋体" w:cs="新宋体"/>
                <w:szCs w:val="21"/>
              </w:rPr>
              <w:t>小写：</w:t>
            </w:r>
          </w:p>
        </w:tc>
      </w:tr>
      <w:tr w14:paraId="1BE38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2102" w:type="dxa"/>
            <w:vAlign w:val="center"/>
          </w:tcPr>
          <w:p w14:paraId="73CE4710">
            <w:pPr>
              <w:adjustRightInd w:val="0"/>
              <w:snapToGrid w:val="0"/>
              <w:spacing w:line="360" w:lineRule="auto"/>
              <w:jc w:val="center"/>
              <w:rPr>
                <w:rFonts w:ascii="新宋体" w:hAnsi="新宋体" w:eastAsia="新宋体" w:cs="新宋体"/>
                <w:szCs w:val="21"/>
              </w:rPr>
            </w:pPr>
            <w:r>
              <w:rPr>
                <w:rFonts w:hint="eastAsia" w:ascii="新宋体" w:hAnsi="新宋体" w:eastAsia="新宋体" w:cs="新宋体"/>
                <w:szCs w:val="21"/>
              </w:rPr>
              <w:t>质量要求</w:t>
            </w:r>
          </w:p>
        </w:tc>
        <w:tc>
          <w:tcPr>
            <w:tcW w:w="6863" w:type="dxa"/>
            <w:gridSpan w:val="6"/>
            <w:vAlign w:val="center"/>
          </w:tcPr>
          <w:p w14:paraId="400433FB">
            <w:pPr>
              <w:adjustRightInd w:val="0"/>
              <w:snapToGrid w:val="0"/>
              <w:spacing w:line="360" w:lineRule="auto"/>
              <w:jc w:val="center"/>
              <w:rPr>
                <w:rFonts w:ascii="新宋体" w:hAnsi="新宋体" w:eastAsia="新宋体" w:cs="新宋体"/>
                <w:szCs w:val="21"/>
              </w:rPr>
            </w:pPr>
          </w:p>
        </w:tc>
      </w:tr>
      <w:tr w14:paraId="7C3A8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102" w:type="dxa"/>
            <w:vAlign w:val="center"/>
          </w:tcPr>
          <w:p w14:paraId="42E7FAAB">
            <w:pPr>
              <w:adjustRightInd w:val="0"/>
              <w:snapToGrid w:val="0"/>
              <w:spacing w:line="360" w:lineRule="auto"/>
              <w:jc w:val="center"/>
              <w:rPr>
                <w:rFonts w:ascii="新宋体" w:hAnsi="新宋体" w:eastAsia="新宋体" w:cs="新宋体"/>
                <w:szCs w:val="21"/>
              </w:rPr>
            </w:pPr>
            <w:r>
              <w:rPr>
                <w:rFonts w:hint="eastAsia" w:ascii="新宋体" w:hAnsi="新宋体" w:eastAsia="新宋体" w:cs="新宋体"/>
                <w:color w:val="000000" w:themeColor="text1"/>
                <w:szCs w:val="21"/>
                <w14:textFill>
                  <w14:solidFill>
                    <w14:schemeClr w14:val="tx1"/>
                  </w14:solidFill>
                </w14:textFill>
              </w:rPr>
              <w:t>维保期</w:t>
            </w:r>
          </w:p>
        </w:tc>
        <w:tc>
          <w:tcPr>
            <w:tcW w:w="6863" w:type="dxa"/>
            <w:gridSpan w:val="6"/>
            <w:vAlign w:val="center"/>
          </w:tcPr>
          <w:p w14:paraId="10315387">
            <w:pPr>
              <w:adjustRightInd w:val="0"/>
              <w:snapToGrid w:val="0"/>
              <w:spacing w:line="360" w:lineRule="auto"/>
              <w:jc w:val="center"/>
              <w:rPr>
                <w:rFonts w:ascii="新宋体" w:hAnsi="新宋体" w:eastAsia="新宋体" w:cs="新宋体"/>
                <w:szCs w:val="21"/>
              </w:rPr>
            </w:pPr>
          </w:p>
        </w:tc>
      </w:tr>
      <w:tr w14:paraId="03ECF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102" w:type="dxa"/>
            <w:vAlign w:val="center"/>
          </w:tcPr>
          <w:p w14:paraId="7E65C5BF">
            <w:pPr>
              <w:adjustRightInd w:val="0"/>
              <w:snapToGrid w:val="0"/>
              <w:spacing w:line="360" w:lineRule="auto"/>
              <w:jc w:val="center"/>
              <w:rPr>
                <w:rFonts w:ascii="新宋体" w:hAnsi="新宋体" w:eastAsia="新宋体" w:cs="新宋体"/>
                <w:szCs w:val="21"/>
              </w:rPr>
            </w:pPr>
            <w:r>
              <w:rPr>
                <w:rFonts w:hint="eastAsia" w:ascii="新宋体" w:hAnsi="新宋体" w:eastAsia="新宋体" w:cs="新宋体"/>
                <w:szCs w:val="21"/>
              </w:rPr>
              <w:t>技术负责人</w:t>
            </w:r>
          </w:p>
        </w:tc>
        <w:tc>
          <w:tcPr>
            <w:tcW w:w="970" w:type="dxa"/>
            <w:vAlign w:val="center"/>
          </w:tcPr>
          <w:p w14:paraId="28C5628C">
            <w:pPr>
              <w:adjustRightInd w:val="0"/>
              <w:snapToGrid w:val="0"/>
              <w:spacing w:line="360" w:lineRule="auto"/>
              <w:jc w:val="center"/>
              <w:rPr>
                <w:rFonts w:ascii="新宋体" w:hAnsi="新宋体" w:eastAsia="新宋体" w:cs="新宋体"/>
                <w:szCs w:val="21"/>
              </w:rPr>
            </w:pPr>
            <w:r>
              <w:rPr>
                <w:rFonts w:hint="eastAsia" w:ascii="新宋体" w:hAnsi="新宋体" w:eastAsia="新宋体" w:cs="新宋体"/>
                <w:szCs w:val="21"/>
              </w:rPr>
              <w:t>姓名</w:t>
            </w:r>
          </w:p>
        </w:tc>
        <w:tc>
          <w:tcPr>
            <w:tcW w:w="1132" w:type="dxa"/>
            <w:vAlign w:val="center"/>
          </w:tcPr>
          <w:p w14:paraId="2A69816F">
            <w:pPr>
              <w:adjustRightInd w:val="0"/>
              <w:snapToGrid w:val="0"/>
              <w:spacing w:line="360" w:lineRule="auto"/>
              <w:jc w:val="center"/>
              <w:rPr>
                <w:rFonts w:ascii="新宋体" w:hAnsi="新宋体" w:eastAsia="新宋体" w:cs="新宋体"/>
                <w:szCs w:val="21"/>
              </w:rPr>
            </w:pPr>
          </w:p>
        </w:tc>
        <w:tc>
          <w:tcPr>
            <w:tcW w:w="1145" w:type="dxa"/>
            <w:vAlign w:val="center"/>
          </w:tcPr>
          <w:p w14:paraId="0D748017">
            <w:pPr>
              <w:adjustRightInd w:val="0"/>
              <w:snapToGrid w:val="0"/>
              <w:spacing w:line="360" w:lineRule="auto"/>
              <w:jc w:val="center"/>
              <w:rPr>
                <w:rFonts w:ascii="新宋体" w:hAnsi="新宋体" w:eastAsia="新宋体" w:cs="新宋体"/>
                <w:szCs w:val="21"/>
              </w:rPr>
            </w:pPr>
            <w:r>
              <w:rPr>
                <w:rFonts w:hint="eastAsia" w:ascii="新宋体" w:hAnsi="新宋体" w:eastAsia="新宋体" w:cs="新宋体"/>
                <w:szCs w:val="21"/>
              </w:rPr>
              <w:t>专业</w:t>
            </w:r>
          </w:p>
        </w:tc>
        <w:tc>
          <w:tcPr>
            <w:tcW w:w="928" w:type="dxa"/>
            <w:vAlign w:val="center"/>
          </w:tcPr>
          <w:p w14:paraId="3B9F1555">
            <w:pPr>
              <w:adjustRightInd w:val="0"/>
              <w:snapToGrid w:val="0"/>
              <w:spacing w:line="360" w:lineRule="auto"/>
              <w:jc w:val="center"/>
              <w:rPr>
                <w:rFonts w:ascii="新宋体" w:hAnsi="新宋体" w:eastAsia="新宋体" w:cs="新宋体"/>
                <w:szCs w:val="21"/>
              </w:rPr>
            </w:pPr>
          </w:p>
        </w:tc>
        <w:tc>
          <w:tcPr>
            <w:tcW w:w="1186" w:type="dxa"/>
            <w:vAlign w:val="center"/>
          </w:tcPr>
          <w:p w14:paraId="03B73FD4">
            <w:pPr>
              <w:adjustRightInd w:val="0"/>
              <w:snapToGrid w:val="0"/>
              <w:spacing w:line="360" w:lineRule="auto"/>
              <w:jc w:val="center"/>
              <w:rPr>
                <w:rFonts w:ascii="新宋体" w:hAnsi="新宋体" w:eastAsia="新宋体" w:cs="新宋体"/>
                <w:szCs w:val="21"/>
              </w:rPr>
            </w:pPr>
            <w:r>
              <w:rPr>
                <w:rFonts w:hint="eastAsia" w:ascii="新宋体" w:hAnsi="新宋体" w:eastAsia="新宋体" w:cs="新宋体"/>
                <w:szCs w:val="21"/>
              </w:rPr>
              <w:t>职称</w:t>
            </w:r>
          </w:p>
        </w:tc>
        <w:tc>
          <w:tcPr>
            <w:tcW w:w="1502" w:type="dxa"/>
            <w:vAlign w:val="center"/>
          </w:tcPr>
          <w:p w14:paraId="41AF420B">
            <w:pPr>
              <w:adjustRightInd w:val="0"/>
              <w:snapToGrid w:val="0"/>
              <w:spacing w:line="360" w:lineRule="auto"/>
              <w:jc w:val="center"/>
              <w:rPr>
                <w:rFonts w:ascii="新宋体" w:hAnsi="新宋体" w:eastAsia="新宋体" w:cs="新宋体"/>
                <w:szCs w:val="21"/>
              </w:rPr>
            </w:pPr>
          </w:p>
        </w:tc>
      </w:tr>
    </w:tbl>
    <w:p w14:paraId="5654C8D1">
      <w:pPr>
        <w:spacing w:line="360" w:lineRule="auto"/>
        <w:rPr>
          <w:szCs w:val="21"/>
        </w:rPr>
      </w:pPr>
      <w:r>
        <w:rPr>
          <w:rFonts w:hint="eastAsia"/>
          <w:szCs w:val="21"/>
        </w:rPr>
        <w:t>注：投标报价应包括</w:t>
      </w:r>
      <w:r>
        <w:rPr>
          <w:rFonts w:hint="eastAsia" w:eastAsia="宋体"/>
          <w:szCs w:val="21"/>
          <w:lang w:eastAsia="zh-CN"/>
        </w:rPr>
        <w:t>供应商</w:t>
      </w:r>
      <w:r>
        <w:rPr>
          <w:rFonts w:hint="eastAsia"/>
          <w:szCs w:val="21"/>
        </w:rPr>
        <w:t>中标后完成全部合同规定内容需支付的货物、运输、安装、调试、工资、保险、相关税费等一切费用，并考虑应承担的所有风险。</w:t>
      </w:r>
    </w:p>
    <w:p w14:paraId="09EBA9CA">
      <w:pPr>
        <w:adjustRightInd w:val="0"/>
        <w:snapToGrid w:val="0"/>
        <w:spacing w:line="360" w:lineRule="auto"/>
        <w:rPr>
          <w:rFonts w:ascii="新宋体" w:hAnsi="新宋体" w:eastAsia="新宋体" w:cs="新宋体"/>
          <w:sz w:val="24"/>
        </w:rPr>
      </w:pPr>
    </w:p>
    <w:p w14:paraId="1CA2CF3B">
      <w:pPr>
        <w:pStyle w:val="3"/>
        <w:spacing w:before="275" w:line="486" w:lineRule="auto"/>
        <w:ind w:left="3587"/>
        <w:rPr>
          <w:sz w:val="24"/>
          <w:szCs w:val="24"/>
        </w:rPr>
      </w:pPr>
      <w:r>
        <w:rPr>
          <w:rFonts w:hint="eastAsia"/>
          <w:spacing w:val="-26"/>
          <w:sz w:val="24"/>
          <w:szCs w:val="24"/>
          <w:lang w:eastAsia="zh-CN"/>
        </w:rPr>
        <w:t>供应商</w:t>
      </w:r>
      <w:r>
        <w:rPr>
          <w:spacing w:val="-26"/>
          <w:sz w:val="24"/>
          <w:szCs w:val="24"/>
        </w:rPr>
        <w:t>名称</w:t>
      </w:r>
      <w:r>
        <w:rPr>
          <w:spacing w:val="-28"/>
          <w:sz w:val="24"/>
          <w:szCs w:val="24"/>
        </w:rPr>
        <w:t>：</w:t>
      </w:r>
      <w:r>
        <w:rPr>
          <w:spacing w:val="56"/>
          <w:sz w:val="24"/>
          <w:szCs w:val="24"/>
        </w:rPr>
        <w:t xml:space="preserve"> </w:t>
      </w:r>
      <w:r>
        <w:rPr>
          <w:sz w:val="24"/>
          <w:szCs w:val="24"/>
          <w:u w:val="single" w:color="auto"/>
        </w:rPr>
        <w:t xml:space="preserve">                   </w:t>
      </w:r>
      <w:r>
        <w:rPr>
          <w:spacing w:val="16"/>
          <w:sz w:val="24"/>
          <w:szCs w:val="24"/>
        </w:rPr>
        <w:t xml:space="preserve"> </w:t>
      </w:r>
      <w:r>
        <w:rPr>
          <w:spacing w:val="-28"/>
          <w:sz w:val="24"/>
          <w:szCs w:val="24"/>
        </w:rPr>
        <w:t>（</w:t>
      </w:r>
      <w:r>
        <w:rPr>
          <w:spacing w:val="-26"/>
          <w:sz w:val="24"/>
          <w:szCs w:val="24"/>
        </w:rPr>
        <w:t>盖单位章）</w:t>
      </w:r>
    </w:p>
    <w:p w14:paraId="6F496470">
      <w:pPr>
        <w:pStyle w:val="3"/>
        <w:spacing w:before="1" w:line="219" w:lineRule="auto"/>
        <w:ind w:left="3575"/>
        <w:rPr>
          <w:sz w:val="24"/>
          <w:szCs w:val="24"/>
        </w:rPr>
      </w:pPr>
      <w:r>
        <w:rPr>
          <w:spacing w:val="-17"/>
          <w:sz w:val="24"/>
          <w:szCs w:val="24"/>
        </w:rPr>
        <w:t>法定代表人或委托代理人</w:t>
      </w:r>
      <w:r>
        <w:rPr>
          <w:spacing w:val="-14"/>
          <w:sz w:val="24"/>
          <w:szCs w:val="24"/>
        </w:rPr>
        <w:t>：</w:t>
      </w:r>
      <w:r>
        <w:rPr>
          <w:spacing w:val="55"/>
          <w:sz w:val="24"/>
          <w:szCs w:val="24"/>
        </w:rPr>
        <w:t xml:space="preserve"> </w:t>
      </w:r>
      <w:r>
        <w:rPr>
          <w:sz w:val="24"/>
          <w:szCs w:val="24"/>
          <w:u w:val="single" w:color="auto"/>
        </w:rPr>
        <w:t xml:space="preserve">     </w:t>
      </w:r>
      <w:r>
        <w:rPr>
          <w:spacing w:val="16"/>
          <w:sz w:val="24"/>
          <w:szCs w:val="24"/>
        </w:rPr>
        <w:t xml:space="preserve"> </w:t>
      </w:r>
      <w:r>
        <w:rPr>
          <w:spacing w:val="-14"/>
          <w:sz w:val="24"/>
          <w:szCs w:val="24"/>
        </w:rPr>
        <w:t>（</w:t>
      </w:r>
      <w:r>
        <w:rPr>
          <w:spacing w:val="-17"/>
          <w:sz w:val="24"/>
          <w:szCs w:val="24"/>
        </w:rPr>
        <w:t>签字或盖章）</w:t>
      </w:r>
    </w:p>
    <w:p w14:paraId="3EEEF725">
      <w:pPr>
        <w:spacing w:line="275" w:lineRule="auto"/>
        <w:rPr>
          <w:rFonts w:ascii="Arial"/>
          <w:sz w:val="21"/>
        </w:rPr>
      </w:pPr>
    </w:p>
    <w:p w14:paraId="79058601">
      <w:pPr>
        <w:pStyle w:val="3"/>
        <w:tabs>
          <w:tab w:val="left" w:pos="7630"/>
        </w:tabs>
        <w:spacing w:before="78" w:line="220" w:lineRule="auto"/>
        <w:ind w:left="6911"/>
        <w:rPr>
          <w:sz w:val="24"/>
          <w:szCs w:val="24"/>
        </w:rPr>
        <w:sectPr>
          <w:footerReference r:id="rId18" w:type="default"/>
          <w:pgSz w:w="11905" w:h="16838"/>
          <w:pgMar w:top="841" w:right="1368" w:bottom="799" w:left="1417" w:header="0" w:footer="548" w:gutter="0"/>
          <w:pgNumType w:fmt="decimal"/>
          <w:cols w:space="720" w:num="1"/>
        </w:sectPr>
      </w:pPr>
      <w:r>
        <w:rPr>
          <w:sz w:val="24"/>
          <w:szCs w:val="24"/>
          <w:u w:val="single" w:color="auto"/>
        </w:rPr>
        <w:tab/>
      </w:r>
      <w:r>
        <w:rPr>
          <w:spacing w:val="-109"/>
          <w:sz w:val="24"/>
          <w:szCs w:val="24"/>
        </w:rPr>
        <w:t xml:space="preserve"> </w:t>
      </w:r>
      <w:r>
        <w:rPr>
          <w:spacing w:val="-26"/>
          <w:sz w:val="24"/>
          <w:szCs w:val="24"/>
        </w:rPr>
        <w:t>年</w:t>
      </w:r>
      <w:r>
        <w:rPr>
          <w:sz w:val="24"/>
          <w:szCs w:val="24"/>
          <w:u w:val="single" w:color="auto"/>
        </w:rPr>
        <w:t xml:space="preserve">   </w:t>
      </w:r>
      <w:r>
        <w:rPr>
          <w:spacing w:val="-105"/>
          <w:sz w:val="24"/>
          <w:szCs w:val="24"/>
        </w:rPr>
        <w:t xml:space="preserve"> </w:t>
      </w:r>
      <w:r>
        <w:rPr>
          <w:spacing w:val="-26"/>
          <w:sz w:val="24"/>
          <w:szCs w:val="24"/>
        </w:rPr>
        <w:t>月</w:t>
      </w:r>
      <w:r>
        <w:rPr>
          <w:sz w:val="24"/>
          <w:szCs w:val="24"/>
          <w:u w:val="single" w:color="auto"/>
        </w:rPr>
        <w:t xml:space="preserve">   </w:t>
      </w:r>
      <w:r>
        <w:rPr>
          <w:spacing w:val="-69"/>
          <w:sz w:val="24"/>
          <w:szCs w:val="24"/>
        </w:rPr>
        <w:t xml:space="preserve"> </w:t>
      </w:r>
      <w:r>
        <w:rPr>
          <w:spacing w:val="-26"/>
          <w:sz w:val="24"/>
          <w:szCs w:val="24"/>
        </w:rPr>
        <w:t>日</w:t>
      </w:r>
    </w:p>
    <w:p w14:paraId="52392371">
      <w:pPr>
        <w:pStyle w:val="26"/>
        <w:spacing w:line="360" w:lineRule="auto"/>
        <w:jc w:val="center"/>
        <w:rPr>
          <w:rFonts w:ascii="新宋体" w:hAnsi="新宋体" w:eastAsia="新宋体" w:cs="新宋体"/>
          <w:b/>
          <w:szCs w:val="21"/>
        </w:rPr>
      </w:pPr>
      <w:r>
        <w:rPr>
          <w:rFonts w:hint="eastAsia" w:ascii="新宋体" w:hAnsi="新宋体" w:eastAsia="新宋体" w:cs="新宋体"/>
          <w:b/>
          <w:bCs/>
        </w:rPr>
        <w:t>投标货物报价明细表</w:t>
      </w:r>
    </w:p>
    <w:p w14:paraId="16F28228">
      <w:pPr>
        <w:spacing w:line="360" w:lineRule="auto"/>
        <w:ind w:left="465"/>
        <w:rPr>
          <w:rFonts w:ascii="新宋体" w:hAnsi="新宋体" w:eastAsia="新宋体" w:cs="新宋体"/>
          <w:szCs w:val="21"/>
        </w:rPr>
      </w:pPr>
      <w:r>
        <w:rPr>
          <w:rFonts w:hint="eastAsia" w:ascii="新宋体" w:hAnsi="新宋体" w:eastAsia="新宋体" w:cs="新宋体"/>
          <w:szCs w:val="21"/>
        </w:rPr>
        <w:t xml:space="preserve">                                                                                      单位： 人民币元</w:t>
      </w:r>
    </w:p>
    <w:tbl>
      <w:tblPr>
        <w:tblStyle w:val="18"/>
        <w:tblW w:w="12600" w:type="dxa"/>
        <w:tblInd w:w="1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209"/>
        <w:gridCol w:w="1701"/>
        <w:gridCol w:w="3686"/>
        <w:gridCol w:w="1134"/>
        <w:gridCol w:w="1276"/>
        <w:gridCol w:w="1702"/>
        <w:gridCol w:w="1269"/>
      </w:tblGrid>
      <w:tr w14:paraId="09B7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3533" w:type="dxa"/>
            <w:gridSpan w:val="3"/>
            <w:vAlign w:val="center"/>
          </w:tcPr>
          <w:p w14:paraId="61AD797E">
            <w:pPr>
              <w:widowControl w:val="0"/>
              <w:spacing w:line="360" w:lineRule="auto"/>
              <w:jc w:val="center"/>
              <w:rPr>
                <w:rFonts w:ascii="宋体"/>
                <w:b/>
                <w:szCs w:val="21"/>
              </w:rPr>
            </w:pPr>
            <w:r>
              <w:rPr>
                <w:rFonts w:hint="eastAsia" w:ascii="宋体"/>
                <w:b/>
                <w:szCs w:val="21"/>
              </w:rPr>
              <w:t>投标报价合计（元）</w:t>
            </w:r>
          </w:p>
        </w:tc>
        <w:tc>
          <w:tcPr>
            <w:tcW w:w="9067" w:type="dxa"/>
            <w:gridSpan w:val="5"/>
            <w:vAlign w:val="center"/>
          </w:tcPr>
          <w:p w14:paraId="4CC21C66">
            <w:pPr>
              <w:widowControl w:val="0"/>
              <w:spacing w:line="360" w:lineRule="auto"/>
              <w:jc w:val="left"/>
              <w:rPr>
                <w:u w:val="single"/>
              </w:rPr>
            </w:pPr>
            <w:r>
              <w:rPr>
                <w:rFonts w:hint="eastAsia"/>
              </w:rPr>
              <w:t>大写：</w:t>
            </w:r>
          </w:p>
          <w:p w14:paraId="08A85432">
            <w:pPr>
              <w:pStyle w:val="16"/>
              <w:widowControl w:val="0"/>
              <w:tabs>
                <w:tab w:val="left" w:pos="945"/>
                <w:tab w:val="left" w:pos="1155"/>
              </w:tabs>
              <w:ind w:left="0" w:leftChars="0" w:firstLine="0" w:firstLineChars="0"/>
              <w:jc w:val="left"/>
            </w:pPr>
            <w:r>
              <w:rPr>
                <w:rFonts w:hint="eastAsia"/>
                <w:szCs w:val="22"/>
              </w:rPr>
              <w:t>小写：</w:t>
            </w:r>
          </w:p>
        </w:tc>
      </w:tr>
      <w:tr w14:paraId="3549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23" w:type="dxa"/>
          </w:tcPr>
          <w:p w14:paraId="48766E65">
            <w:pPr>
              <w:widowControl w:val="0"/>
              <w:spacing w:line="360" w:lineRule="auto"/>
              <w:jc w:val="center"/>
              <w:rPr>
                <w:rFonts w:ascii="宋体"/>
                <w:b/>
                <w:szCs w:val="21"/>
              </w:rPr>
            </w:pPr>
            <w:r>
              <w:rPr>
                <w:rFonts w:hint="eastAsia" w:ascii="宋体"/>
                <w:b/>
                <w:szCs w:val="21"/>
              </w:rPr>
              <w:t>序号</w:t>
            </w:r>
          </w:p>
        </w:tc>
        <w:tc>
          <w:tcPr>
            <w:tcW w:w="1209" w:type="dxa"/>
          </w:tcPr>
          <w:p w14:paraId="0613CE90">
            <w:pPr>
              <w:widowControl w:val="0"/>
              <w:spacing w:line="360" w:lineRule="auto"/>
              <w:jc w:val="center"/>
              <w:rPr>
                <w:rFonts w:ascii="宋体"/>
                <w:b/>
                <w:szCs w:val="21"/>
              </w:rPr>
            </w:pPr>
            <w:r>
              <w:rPr>
                <w:rFonts w:hint="eastAsia" w:ascii="宋体"/>
                <w:b/>
                <w:szCs w:val="21"/>
              </w:rPr>
              <w:t>货物名称</w:t>
            </w:r>
          </w:p>
        </w:tc>
        <w:tc>
          <w:tcPr>
            <w:tcW w:w="1701" w:type="dxa"/>
          </w:tcPr>
          <w:p w14:paraId="153D5787">
            <w:pPr>
              <w:widowControl w:val="0"/>
              <w:spacing w:line="360" w:lineRule="auto"/>
              <w:jc w:val="center"/>
              <w:rPr>
                <w:rFonts w:ascii="宋体"/>
                <w:b/>
                <w:szCs w:val="21"/>
              </w:rPr>
            </w:pPr>
            <w:r>
              <w:rPr>
                <w:rFonts w:ascii="宋体"/>
                <w:b/>
                <w:szCs w:val="21"/>
              </w:rPr>
              <w:t>生产厂家</w:t>
            </w:r>
            <w:r>
              <w:rPr>
                <w:rFonts w:hint="eastAsia" w:ascii="宋体"/>
                <w:b/>
                <w:szCs w:val="21"/>
              </w:rPr>
              <w:t>、</w:t>
            </w:r>
            <w:r>
              <w:rPr>
                <w:rFonts w:ascii="宋体"/>
                <w:b/>
                <w:szCs w:val="21"/>
              </w:rPr>
              <w:t>品牌</w:t>
            </w:r>
          </w:p>
        </w:tc>
        <w:tc>
          <w:tcPr>
            <w:tcW w:w="3686" w:type="dxa"/>
          </w:tcPr>
          <w:p w14:paraId="1D56E138">
            <w:pPr>
              <w:widowControl w:val="0"/>
              <w:spacing w:line="360" w:lineRule="auto"/>
              <w:jc w:val="center"/>
              <w:rPr>
                <w:rFonts w:ascii="宋体"/>
                <w:b/>
                <w:szCs w:val="21"/>
              </w:rPr>
            </w:pPr>
            <w:r>
              <w:rPr>
                <w:rFonts w:hint="eastAsia" w:ascii="宋体"/>
                <w:b/>
                <w:szCs w:val="21"/>
              </w:rPr>
              <w:t>技术要求</w:t>
            </w:r>
          </w:p>
        </w:tc>
        <w:tc>
          <w:tcPr>
            <w:tcW w:w="1134" w:type="dxa"/>
          </w:tcPr>
          <w:p w14:paraId="4C6BDEA0">
            <w:pPr>
              <w:widowControl w:val="0"/>
              <w:spacing w:line="360" w:lineRule="auto"/>
              <w:jc w:val="center"/>
              <w:rPr>
                <w:rFonts w:ascii="宋体"/>
                <w:b/>
                <w:szCs w:val="21"/>
              </w:rPr>
            </w:pPr>
            <w:r>
              <w:rPr>
                <w:rFonts w:hint="eastAsia" w:ascii="宋体"/>
                <w:b/>
                <w:szCs w:val="21"/>
              </w:rPr>
              <w:t>数量</w:t>
            </w:r>
          </w:p>
        </w:tc>
        <w:tc>
          <w:tcPr>
            <w:tcW w:w="1276" w:type="dxa"/>
          </w:tcPr>
          <w:p w14:paraId="709C84A3">
            <w:pPr>
              <w:widowControl w:val="0"/>
              <w:spacing w:line="360" w:lineRule="auto"/>
              <w:jc w:val="center"/>
              <w:rPr>
                <w:rFonts w:ascii="宋体"/>
                <w:b/>
                <w:szCs w:val="21"/>
              </w:rPr>
            </w:pPr>
            <w:r>
              <w:rPr>
                <w:rFonts w:hint="eastAsia" w:ascii="宋体"/>
                <w:b/>
                <w:szCs w:val="21"/>
              </w:rPr>
              <w:t>单位</w:t>
            </w:r>
          </w:p>
        </w:tc>
        <w:tc>
          <w:tcPr>
            <w:tcW w:w="1702" w:type="dxa"/>
          </w:tcPr>
          <w:p w14:paraId="49B38379">
            <w:pPr>
              <w:widowControl w:val="0"/>
              <w:spacing w:line="360" w:lineRule="auto"/>
              <w:jc w:val="center"/>
              <w:rPr>
                <w:rFonts w:ascii="宋体"/>
                <w:b/>
                <w:szCs w:val="21"/>
              </w:rPr>
            </w:pPr>
            <w:r>
              <w:rPr>
                <w:rFonts w:hint="eastAsia" w:ascii="宋体"/>
                <w:b/>
                <w:szCs w:val="21"/>
              </w:rPr>
              <w:t>单价（元）</w:t>
            </w:r>
          </w:p>
        </w:tc>
        <w:tc>
          <w:tcPr>
            <w:tcW w:w="1269" w:type="dxa"/>
          </w:tcPr>
          <w:p w14:paraId="58ED6571">
            <w:pPr>
              <w:widowControl w:val="0"/>
              <w:spacing w:line="360" w:lineRule="auto"/>
              <w:jc w:val="center"/>
              <w:rPr>
                <w:rFonts w:ascii="宋体"/>
                <w:b/>
                <w:szCs w:val="21"/>
              </w:rPr>
            </w:pPr>
            <w:r>
              <w:rPr>
                <w:rFonts w:hint="eastAsia" w:ascii="宋体"/>
                <w:b/>
                <w:szCs w:val="21"/>
              </w:rPr>
              <w:t>备注</w:t>
            </w:r>
          </w:p>
        </w:tc>
      </w:tr>
      <w:tr w14:paraId="206F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23" w:type="dxa"/>
          </w:tcPr>
          <w:p w14:paraId="7C014167">
            <w:pPr>
              <w:widowControl w:val="0"/>
              <w:spacing w:line="360" w:lineRule="auto"/>
              <w:jc w:val="center"/>
              <w:rPr>
                <w:rFonts w:ascii="宋体"/>
                <w:b/>
                <w:szCs w:val="21"/>
              </w:rPr>
            </w:pPr>
          </w:p>
        </w:tc>
        <w:tc>
          <w:tcPr>
            <w:tcW w:w="1209" w:type="dxa"/>
          </w:tcPr>
          <w:p w14:paraId="320C7A1F">
            <w:pPr>
              <w:widowControl w:val="0"/>
              <w:spacing w:line="360" w:lineRule="auto"/>
              <w:jc w:val="center"/>
              <w:rPr>
                <w:rFonts w:ascii="宋体"/>
                <w:b/>
                <w:szCs w:val="21"/>
              </w:rPr>
            </w:pPr>
          </w:p>
        </w:tc>
        <w:tc>
          <w:tcPr>
            <w:tcW w:w="1701" w:type="dxa"/>
          </w:tcPr>
          <w:p w14:paraId="4FDD7693">
            <w:pPr>
              <w:widowControl w:val="0"/>
              <w:spacing w:line="360" w:lineRule="auto"/>
              <w:jc w:val="center"/>
              <w:rPr>
                <w:rFonts w:ascii="宋体"/>
                <w:b/>
                <w:szCs w:val="21"/>
              </w:rPr>
            </w:pPr>
          </w:p>
        </w:tc>
        <w:tc>
          <w:tcPr>
            <w:tcW w:w="3686" w:type="dxa"/>
          </w:tcPr>
          <w:p w14:paraId="3C355965">
            <w:pPr>
              <w:widowControl w:val="0"/>
              <w:spacing w:line="360" w:lineRule="auto"/>
              <w:jc w:val="center"/>
              <w:rPr>
                <w:rFonts w:ascii="宋体"/>
                <w:b/>
                <w:szCs w:val="21"/>
              </w:rPr>
            </w:pPr>
          </w:p>
        </w:tc>
        <w:tc>
          <w:tcPr>
            <w:tcW w:w="1134" w:type="dxa"/>
          </w:tcPr>
          <w:p w14:paraId="21362F79">
            <w:pPr>
              <w:widowControl w:val="0"/>
              <w:spacing w:line="360" w:lineRule="auto"/>
              <w:jc w:val="center"/>
              <w:rPr>
                <w:rFonts w:ascii="宋体"/>
                <w:b/>
                <w:szCs w:val="21"/>
              </w:rPr>
            </w:pPr>
          </w:p>
        </w:tc>
        <w:tc>
          <w:tcPr>
            <w:tcW w:w="1276" w:type="dxa"/>
          </w:tcPr>
          <w:p w14:paraId="2FD62F4F">
            <w:pPr>
              <w:widowControl w:val="0"/>
              <w:spacing w:line="360" w:lineRule="auto"/>
              <w:jc w:val="center"/>
              <w:rPr>
                <w:rFonts w:ascii="宋体"/>
                <w:b/>
                <w:szCs w:val="21"/>
              </w:rPr>
            </w:pPr>
          </w:p>
        </w:tc>
        <w:tc>
          <w:tcPr>
            <w:tcW w:w="1702" w:type="dxa"/>
          </w:tcPr>
          <w:p w14:paraId="66FCDB36">
            <w:pPr>
              <w:widowControl w:val="0"/>
              <w:spacing w:line="360" w:lineRule="auto"/>
              <w:jc w:val="center"/>
              <w:rPr>
                <w:rFonts w:ascii="宋体"/>
                <w:b/>
                <w:szCs w:val="21"/>
              </w:rPr>
            </w:pPr>
          </w:p>
        </w:tc>
        <w:tc>
          <w:tcPr>
            <w:tcW w:w="1269" w:type="dxa"/>
          </w:tcPr>
          <w:p w14:paraId="5EF21308">
            <w:pPr>
              <w:widowControl w:val="0"/>
              <w:spacing w:line="360" w:lineRule="auto"/>
              <w:jc w:val="center"/>
              <w:rPr>
                <w:rFonts w:ascii="宋体"/>
                <w:b/>
                <w:szCs w:val="21"/>
              </w:rPr>
            </w:pPr>
          </w:p>
        </w:tc>
      </w:tr>
      <w:tr w14:paraId="0213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23" w:type="dxa"/>
          </w:tcPr>
          <w:p w14:paraId="5E658BD7">
            <w:pPr>
              <w:widowControl w:val="0"/>
              <w:spacing w:line="360" w:lineRule="auto"/>
              <w:jc w:val="center"/>
              <w:rPr>
                <w:rFonts w:ascii="宋体"/>
                <w:b/>
                <w:szCs w:val="21"/>
              </w:rPr>
            </w:pPr>
          </w:p>
        </w:tc>
        <w:tc>
          <w:tcPr>
            <w:tcW w:w="1209" w:type="dxa"/>
          </w:tcPr>
          <w:p w14:paraId="2CB449CE">
            <w:pPr>
              <w:widowControl w:val="0"/>
              <w:spacing w:line="360" w:lineRule="auto"/>
              <w:jc w:val="center"/>
              <w:rPr>
                <w:rFonts w:ascii="宋体"/>
                <w:b/>
                <w:szCs w:val="21"/>
              </w:rPr>
            </w:pPr>
          </w:p>
        </w:tc>
        <w:tc>
          <w:tcPr>
            <w:tcW w:w="1701" w:type="dxa"/>
          </w:tcPr>
          <w:p w14:paraId="72FF3506">
            <w:pPr>
              <w:widowControl w:val="0"/>
              <w:spacing w:line="360" w:lineRule="auto"/>
              <w:jc w:val="center"/>
              <w:rPr>
                <w:rFonts w:ascii="宋体"/>
                <w:b/>
                <w:szCs w:val="21"/>
              </w:rPr>
            </w:pPr>
          </w:p>
        </w:tc>
        <w:tc>
          <w:tcPr>
            <w:tcW w:w="3686" w:type="dxa"/>
          </w:tcPr>
          <w:p w14:paraId="2705409B">
            <w:pPr>
              <w:widowControl w:val="0"/>
              <w:spacing w:line="360" w:lineRule="auto"/>
              <w:jc w:val="center"/>
              <w:rPr>
                <w:rFonts w:ascii="宋体"/>
                <w:b/>
                <w:szCs w:val="21"/>
              </w:rPr>
            </w:pPr>
          </w:p>
        </w:tc>
        <w:tc>
          <w:tcPr>
            <w:tcW w:w="1134" w:type="dxa"/>
          </w:tcPr>
          <w:p w14:paraId="64D79449">
            <w:pPr>
              <w:widowControl w:val="0"/>
              <w:spacing w:line="360" w:lineRule="auto"/>
              <w:jc w:val="center"/>
              <w:rPr>
                <w:rFonts w:ascii="宋体"/>
                <w:b/>
                <w:szCs w:val="21"/>
              </w:rPr>
            </w:pPr>
          </w:p>
        </w:tc>
        <w:tc>
          <w:tcPr>
            <w:tcW w:w="1276" w:type="dxa"/>
          </w:tcPr>
          <w:p w14:paraId="2E483FE5">
            <w:pPr>
              <w:widowControl w:val="0"/>
              <w:spacing w:line="360" w:lineRule="auto"/>
              <w:jc w:val="center"/>
              <w:rPr>
                <w:rFonts w:ascii="宋体"/>
                <w:b/>
                <w:szCs w:val="21"/>
              </w:rPr>
            </w:pPr>
          </w:p>
        </w:tc>
        <w:tc>
          <w:tcPr>
            <w:tcW w:w="1702" w:type="dxa"/>
          </w:tcPr>
          <w:p w14:paraId="1313AA29">
            <w:pPr>
              <w:widowControl w:val="0"/>
              <w:spacing w:line="360" w:lineRule="auto"/>
              <w:jc w:val="center"/>
              <w:rPr>
                <w:rFonts w:ascii="宋体"/>
                <w:b/>
                <w:szCs w:val="21"/>
              </w:rPr>
            </w:pPr>
          </w:p>
        </w:tc>
        <w:tc>
          <w:tcPr>
            <w:tcW w:w="1269" w:type="dxa"/>
          </w:tcPr>
          <w:p w14:paraId="63929C71">
            <w:pPr>
              <w:widowControl w:val="0"/>
              <w:spacing w:line="360" w:lineRule="auto"/>
              <w:jc w:val="center"/>
              <w:rPr>
                <w:rFonts w:ascii="宋体"/>
                <w:b/>
                <w:szCs w:val="21"/>
              </w:rPr>
            </w:pPr>
          </w:p>
        </w:tc>
      </w:tr>
      <w:tr w14:paraId="611D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23" w:type="dxa"/>
          </w:tcPr>
          <w:p w14:paraId="6D642216">
            <w:pPr>
              <w:widowControl w:val="0"/>
              <w:spacing w:line="360" w:lineRule="auto"/>
              <w:jc w:val="center"/>
              <w:rPr>
                <w:rFonts w:ascii="宋体"/>
                <w:b/>
                <w:szCs w:val="21"/>
              </w:rPr>
            </w:pPr>
          </w:p>
        </w:tc>
        <w:tc>
          <w:tcPr>
            <w:tcW w:w="1209" w:type="dxa"/>
          </w:tcPr>
          <w:p w14:paraId="5C8B62BA">
            <w:pPr>
              <w:widowControl w:val="0"/>
              <w:spacing w:line="360" w:lineRule="auto"/>
              <w:jc w:val="center"/>
              <w:rPr>
                <w:rFonts w:ascii="宋体"/>
                <w:b/>
                <w:szCs w:val="21"/>
              </w:rPr>
            </w:pPr>
          </w:p>
        </w:tc>
        <w:tc>
          <w:tcPr>
            <w:tcW w:w="1701" w:type="dxa"/>
          </w:tcPr>
          <w:p w14:paraId="507E201F">
            <w:pPr>
              <w:widowControl w:val="0"/>
              <w:spacing w:line="360" w:lineRule="auto"/>
              <w:jc w:val="center"/>
              <w:rPr>
                <w:rFonts w:ascii="宋体"/>
                <w:b/>
                <w:szCs w:val="21"/>
              </w:rPr>
            </w:pPr>
          </w:p>
        </w:tc>
        <w:tc>
          <w:tcPr>
            <w:tcW w:w="3686" w:type="dxa"/>
          </w:tcPr>
          <w:p w14:paraId="44EE7BD0">
            <w:pPr>
              <w:widowControl w:val="0"/>
              <w:spacing w:line="360" w:lineRule="auto"/>
              <w:jc w:val="center"/>
              <w:rPr>
                <w:rFonts w:ascii="宋体"/>
                <w:b/>
                <w:szCs w:val="21"/>
              </w:rPr>
            </w:pPr>
          </w:p>
        </w:tc>
        <w:tc>
          <w:tcPr>
            <w:tcW w:w="1134" w:type="dxa"/>
          </w:tcPr>
          <w:p w14:paraId="1229B886">
            <w:pPr>
              <w:widowControl w:val="0"/>
              <w:spacing w:line="360" w:lineRule="auto"/>
              <w:jc w:val="center"/>
              <w:rPr>
                <w:rFonts w:ascii="宋体"/>
                <w:b/>
                <w:szCs w:val="21"/>
              </w:rPr>
            </w:pPr>
          </w:p>
        </w:tc>
        <w:tc>
          <w:tcPr>
            <w:tcW w:w="1276" w:type="dxa"/>
          </w:tcPr>
          <w:p w14:paraId="0F1D268F">
            <w:pPr>
              <w:widowControl w:val="0"/>
              <w:spacing w:line="360" w:lineRule="auto"/>
              <w:jc w:val="center"/>
              <w:rPr>
                <w:rFonts w:ascii="宋体"/>
                <w:b/>
                <w:szCs w:val="21"/>
              </w:rPr>
            </w:pPr>
          </w:p>
        </w:tc>
        <w:tc>
          <w:tcPr>
            <w:tcW w:w="1702" w:type="dxa"/>
          </w:tcPr>
          <w:p w14:paraId="62F97BB1">
            <w:pPr>
              <w:widowControl w:val="0"/>
              <w:spacing w:line="360" w:lineRule="auto"/>
              <w:jc w:val="center"/>
              <w:rPr>
                <w:rFonts w:ascii="宋体"/>
                <w:b/>
                <w:szCs w:val="21"/>
              </w:rPr>
            </w:pPr>
          </w:p>
        </w:tc>
        <w:tc>
          <w:tcPr>
            <w:tcW w:w="1269" w:type="dxa"/>
          </w:tcPr>
          <w:p w14:paraId="20307DD8">
            <w:pPr>
              <w:widowControl w:val="0"/>
              <w:spacing w:line="360" w:lineRule="auto"/>
              <w:jc w:val="center"/>
              <w:rPr>
                <w:rFonts w:ascii="宋体"/>
                <w:b/>
                <w:szCs w:val="21"/>
              </w:rPr>
            </w:pPr>
          </w:p>
        </w:tc>
      </w:tr>
    </w:tbl>
    <w:p w14:paraId="66395C37">
      <w:pPr>
        <w:spacing w:line="360" w:lineRule="auto"/>
        <w:rPr>
          <w:rFonts w:ascii="新宋体" w:hAnsi="新宋体" w:eastAsia="新宋体" w:cs="新宋体"/>
          <w:szCs w:val="21"/>
        </w:rPr>
      </w:pPr>
      <w:r>
        <w:rPr>
          <w:rFonts w:hint="eastAsia" w:ascii="新宋体" w:hAnsi="新宋体" w:eastAsia="新宋体" w:cs="新宋体"/>
          <w:szCs w:val="21"/>
        </w:rPr>
        <w:t xml:space="preserve">         </w:t>
      </w:r>
      <w:r>
        <w:rPr>
          <w:rFonts w:hint="eastAsia" w:ascii="宋体" w:hAnsi="宋体"/>
          <w:szCs w:val="21"/>
        </w:rPr>
        <w:t>注：</w:t>
      </w:r>
      <w:r>
        <w:rPr>
          <w:rFonts w:ascii="宋体" w:hAnsi="宋体"/>
          <w:szCs w:val="21"/>
        </w:rPr>
        <w:t>本表将作为评比和签订采购合同的重要依据，请</w:t>
      </w:r>
      <w:r>
        <w:rPr>
          <w:rFonts w:hint="eastAsia" w:ascii="宋体" w:hAnsi="宋体" w:eastAsia="宋体"/>
          <w:szCs w:val="21"/>
          <w:lang w:eastAsia="zh-CN"/>
        </w:rPr>
        <w:t>供应商</w:t>
      </w:r>
      <w:r>
        <w:rPr>
          <w:rFonts w:hint="eastAsia" w:ascii="宋体" w:hAnsi="宋体"/>
          <w:szCs w:val="21"/>
        </w:rPr>
        <w:t>如实</w:t>
      </w:r>
      <w:r>
        <w:rPr>
          <w:rFonts w:ascii="宋体" w:hAnsi="宋体"/>
          <w:szCs w:val="21"/>
        </w:rPr>
        <w:t>填写。</w:t>
      </w:r>
    </w:p>
    <w:p w14:paraId="1A1B5CBB">
      <w:pPr>
        <w:spacing w:line="360" w:lineRule="auto"/>
        <w:ind w:firstLine="3675" w:firstLineChars="1750"/>
        <w:rPr>
          <w:rFonts w:ascii="新宋体" w:hAnsi="新宋体" w:eastAsia="新宋体" w:cs="新宋体"/>
          <w:szCs w:val="21"/>
        </w:rPr>
      </w:pPr>
      <w:r>
        <w:rPr>
          <w:rFonts w:hint="eastAsia" w:ascii="新宋体" w:hAnsi="新宋体" w:eastAsia="新宋体" w:cs="新宋体"/>
          <w:szCs w:val="21"/>
        </w:rPr>
        <w:t xml:space="preserve">           </w:t>
      </w:r>
      <w:r>
        <w:rPr>
          <w:rFonts w:hint="eastAsia" w:eastAsia="新宋体"/>
          <w:spacing w:val="-26"/>
          <w:sz w:val="24"/>
          <w:szCs w:val="24"/>
          <w:lang w:eastAsia="zh-CN"/>
        </w:rPr>
        <w:t>供应商</w:t>
      </w:r>
      <w:r>
        <w:rPr>
          <w:spacing w:val="-26"/>
          <w:sz w:val="24"/>
          <w:szCs w:val="24"/>
        </w:rPr>
        <w:t>名称</w:t>
      </w:r>
      <w:r>
        <w:rPr>
          <w:rFonts w:hint="eastAsia" w:ascii="新宋体" w:hAnsi="新宋体" w:eastAsia="新宋体" w:cs="新宋体"/>
          <w:szCs w:val="21"/>
        </w:rPr>
        <w:t>：</w:t>
      </w:r>
      <w:r>
        <w:rPr>
          <w:rFonts w:hint="eastAsia" w:ascii="新宋体" w:hAnsi="新宋体" w:eastAsia="新宋体" w:cs="新宋体"/>
          <w:szCs w:val="21"/>
          <w:u w:val="single"/>
        </w:rPr>
        <w:t xml:space="preserve">                     </w:t>
      </w:r>
      <w:r>
        <w:rPr>
          <w:rFonts w:hint="eastAsia" w:ascii="新宋体" w:hAnsi="新宋体" w:eastAsia="新宋体" w:cs="新宋体"/>
          <w:szCs w:val="21"/>
        </w:rPr>
        <w:t>（盖单位公章）</w:t>
      </w:r>
    </w:p>
    <w:p w14:paraId="56E195C7">
      <w:pPr>
        <w:spacing w:line="360" w:lineRule="auto"/>
        <w:ind w:firstLine="3675" w:firstLineChars="1750"/>
        <w:rPr>
          <w:rFonts w:ascii="新宋体" w:hAnsi="新宋体" w:eastAsia="新宋体" w:cs="新宋体"/>
          <w:szCs w:val="21"/>
        </w:rPr>
      </w:pPr>
      <w:r>
        <w:rPr>
          <w:rFonts w:hint="eastAsia" w:ascii="新宋体" w:hAnsi="新宋体" w:eastAsia="新宋体" w:cs="新宋体"/>
          <w:szCs w:val="21"/>
        </w:rPr>
        <w:t xml:space="preserve">           法定代表人或其委托代理人：</w:t>
      </w:r>
      <w:r>
        <w:rPr>
          <w:rFonts w:hint="eastAsia" w:ascii="新宋体" w:hAnsi="新宋体" w:eastAsia="新宋体" w:cs="新宋体"/>
          <w:szCs w:val="21"/>
          <w:u w:val="single"/>
        </w:rPr>
        <w:t xml:space="preserve">       </w:t>
      </w:r>
      <w:r>
        <w:rPr>
          <w:rFonts w:hint="eastAsia" w:ascii="新宋体" w:hAnsi="新宋体" w:eastAsia="新宋体" w:cs="新宋体"/>
          <w:szCs w:val="21"/>
        </w:rPr>
        <w:t>（签字或盖章）</w:t>
      </w:r>
    </w:p>
    <w:p w14:paraId="47F88499">
      <w:pPr>
        <w:spacing w:line="360" w:lineRule="auto"/>
        <w:ind w:firstLine="5670" w:firstLineChars="2700"/>
        <w:rPr>
          <w:rFonts w:ascii="新宋体" w:hAnsi="新宋体" w:eastAsia="新宋体" w:cs="新宋体"/>
          <w:sz w:val="20"/>
        </w:rPr>
      </w:pPr>
      <w:r>
        <w:rPr>
          <w:rFonts w:hint="eastAsia" w:ascii="新宋体" w:hAnsi="新宋体" w:eastAsia="新宋体" w:cs="新宋体"/>
          <w:szCs w:val="21"/>
          <w:u w:val="single"/>
        </w:rPr>
        <w:t xml:space="preserve">        </w:t>
      </w:r>
      <w:r>
        <w:rPr>
          <w:rFonts w:hint="eastAsia" w:ascii="新宋体" w:hAnsi="新宋体" w:eastAsia="新宋体" w:cs="新宋体"/>
          <w:szCs w:val="21"/>
        </w:rPr>
        <w:t>年</w:t>
      </w:r>
      <w:r>
        <w:rPr>
          <w:rFonts w:hint="eastAsia" w:ascii="新宋体" w:hAnsi="新宋体" w:eastAsia="新宋体" w:cs="新宋体"/>
          <w:szCs w:val="21"/>
          <w:u w:val="single"/>
        </w:rPr>
        <w:t xml:space="preserve">        </w:t>
      </w:r>
      <w:r>
        <w:rPr>
          <w:rFonts w:hint="eastAsia" w:ascii="新宋体" w:hAnsi="新宋体" w:eastAsia="新宋体" w:cs="新宋体"/>
          <w:szCs w:val="21"/>
        </w:rPr>
        <w:t>月</w:t>
      </w:r>
      <w:r>
        <w:rPr>
          <w:rFonts w:hint="eastAsia" w:ascii="新宋体" w:hAnsi="新宋体" w:eastAsia="新宋体" w:cs="新宋体"/>
          <w:szCs w:val="21"/>
          <w:u w:val="single"/>
        </w:rPr>
        <w:t xml:space="preserve">        </w:t>
      </w:r>
      <w:r>
        <w:rPr>
          <w:rFonts w:hint="eastAsia" w:ascii="新宋体" w:hAnsi="新宋体" w:eastAsia="新宋体" w:cs="新宋体"/>
          <w:szCs w:val="21"/>
        </w:rPr>
        <w:t>日</w:t>
      </w:r>
    </w:p>
    <w:p w14:paraId="73B0E881">
      <w:pPr>
        <w:numPr>
          <w:ilvl w:val="0"/>
          <w:numId w:val="11"/>
        </w:numPr>
        <w:spacing w:line="360" w:lineRule="auto"/>
        <w:jc w:val="center"/>
        <w:outlineLvl w:val="1"/>
        <w:rPr>
          <w:rFonts w:ascii="新宋体" w:hAnsi="新宋体" w:eastAsia="新宋体" w:cs="新宋体"/>
          <w:b/>
          <w:bCs/>
          <w:sz w:val="30"/>
          <w:szCs w:val="30"/>
        </w:rPr>
        <w:sectPr>
          <w:headerReference r:id="rId19" w:type="first"/>
          <w:footerReference r:id="rId21" w:type="first"/>
          <w:footerReference r:id="rId20" w:type="default"/>
          <w:pgSz w:w="16838" w:h="11906" w:orient="landscape"/>
          <w:pgMar w:top="1080" w:right="1440" w:bottom="1080" w:left="1440" w:header="851" w:footer="680" w:gutter="0"/>
          <w:pgNumType w:fmt="decimal"/>
          <w:cols w:space="720" w:num="1"/>
          <w:titlePg/>
          <w:docGrid w:type="lines" w:linePitch="312" w:charSpace="0"/>
        </w:sectPr>
      </w:pPr>
    </w:p>
    <w:p w14:paraId="6395E0F0">
      <w:pPr>
        <w:spacing w:line="360" w:lineRule="auto"/>
        <w:jc w:val="center"/>
        <w:outlineLvl w:val="1"/>
        <w:rPr>
          <w:rFonts w:ascii="新宋体" w:hAnsi="新宋体" w:eastAsia="新宋体" w:cs="新宋体"/>
          <w:b/>
          <w:bCs/>
          <w:sz w:val="30"/>
          <w:szCs w:val="30"/>
        </w:rPr>
      </w:pPr>
      <w:r>
        <w:rPr>
          <w:rFonts w:hint="eastAsia" w:ascii="新宋体" w:hAnsi="新宋体" w:eastAsia="新宋体" w:cs="新宋体"/>
          <w:b/>
          <w:bCs/>
          <w:sz w:val="30"/>
          <w:szCs w:val="30"/>
        </w:rPr>
        <w:t>技术参数偏离表</w:t>
      </w:r>
    </w:p>
    <w:p w14:paraId="37BAEDA2">
      <w:pPr>
        <w:pStyle w:val="16"/>
        <w:ind w:left="840" w:leftChars="400" w:firstLine="0" w:firstLineChars="0"/>
      </w:pPr>
    </w:p>
    <w:tbl>
      <w:tblPr>
        <w:tblStyle w:val="17"/>
        <w:tblW w:w="946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846"/>
        <w:gridCol w:w="2080"/>
        <w:gridCol w:w="3309"/>
        <w:gridCol w:w="1960"/>
        <w:gridCol w:w="1265"/>
      </w:tblGrid>
      <w:tr w14:paraId="25627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89" w:hRule="atLeast"/>
        </w:trPr>
        <w:tc>
          <w:tcPr>
            <w:tcW w:w="846" w:type="dxa"/>
            <w:tcBorders>
              <w:right w:val="single" w:color="auto" w:sz="4" w:space="0"/>
            </w:tcBorders>
            <w:vAlign w:val="center"/>
          </w:tcPr>
          <w:p w14:paraId="408ACECA">
            <w:pPr>
              <w:snapToGrid w:val="0"/>
              <w:spacing w:line="360" w:lineRule="auto"/>
              <w:jc w:val="center"/>
              <w:rPr>
                <w:rFonts w:ascii="宋体" w:hAnsi="宋体"/>
                <w:szCs w:val="21"/>
              </w:rPr>
            </w:pPr>
            <w:r>
              <w:rPr>
                <w:rFonts w:hint="eastAsia" w:ascii="宋体" w:hAnsi="宋体"/>
                <w:szCs w:val="21"/>
              </w:rPr>
              <w:t>序号</w:t>
            </w:r>
          </w:p>
        </w:tc>
        <w:tc>
          <w:tcPr>
            <w:tcW w:w="2080" w:type="dxa"/>
            <w:tcBorders>
              <w:left w:val="single" w:color="auto" w:sz="4" w:space="0"/>
            </w:tcBorders>
            <w:vAlign w:val="center"/>
          </w:tcPr>
          <w:p w14:paraId="4438B845">
            <w:pPr>
              <w:snapToGrid w:val="0"/>
              <w:spacing w:line="360" w:lineRule="auto"/>
              <w:jc w:val="center"/>
              <w:rPr>
                <w:rFonts w:ascii="宋体" w:hAnsi="宋体"/>
                <w:szCs w:val="21"/>
              </w:rPr>
            </w:pPr>
            <w:r>
              <w:rPr>
                <w:rFonts w:hint="eastAsia" w:ascii="宋体" w:hAnsi="宋体"/>
                <w:szCs w:val="21"/>
              </w:rPr>
              <w:t>货物名称</w:t>
            </w:r>
          </w:p>
        </w:tc>
        <w:tc>
          <w:tcPr>
            <w:tcW w:w="3309" w:type="dxa"/>
            <w:vAlign w:val="center"/>
          </w:tcPr>
          <w:p w14:paraId="446A06D2">
            <w:pPr>
              <w:jc w:val="center"/>
              <w:rPr>
                <w:rFonts w:asciiTheme="minorEastAsia" w:hAnsiTheme="minorEastAsia"/>
                <w:szCs w:val="21"/>
              </w:rPr>
            </w:pPr>
            <w:r>
              <w:rPr>
                <w:rFonts w:hint="eastAsia" w:asciiTheme="minorEastAsia" w:hAnsiTheme="minorEastAsia"/>
                <w:szCs w:val="21"/>
              </w:rPr>
              <w:t>投标参数</w:t>
            </w:r>
          </w:p>
          <w:p w14:paraId="5EB79B76">
            <w:pPr>
              <w:jc w:val="center"/>
              <w:rPr>
                <w:rFonts w:ascii="宋体" w:hAnsi="宋体"/>
                <w:szCs w:val="21"/>
              </w:rPr>
            </w:pPr>
            <w:r>
              <w:rPr>
                <w:rFonts w:hint="eastAsia" w:asciiTheme="minorEastAsia" w:hAnsiTheme="minorEastAsia"/>
                <w:bCs/>
                <w:szCs w:val="21"/>
              </w:rPr>
              <w:t>(</w:t>
            </w:r>
            <w:r>
              <w:rPr>
                <w:rFonts w:hint="eastAsia" w:eastAsia="宋体" w:asciiTheme="minorEastAsia" w:hAnsiTheme="minorEastAsia"/>
                <w:bCs/>
                <w:szCs w:val="21"/>
                <w:lang w:eastAsia="zh-CN"/>
              </w:rPr>
              <w:t>供应商</w:t>
            </w:r>
            <w:r>
              <w:rPr>
                <w:rFonts w:hint="eastAsia" w:asciiTheme="minorEastAsia" w:hAnsiTheme="minorEastAsia"/>
                <w:bCs/>
                <w:szCs w:val="21"/>
              </w:rPr>
              <w:t>应按投标货物实际数据填写)</w:t>
            </w:r>
          </w:p>
        </w:tc>
        <w:tc>
          <w:tcPr>
            <w:tcW w:w="1960" w:type="dxa"/>
            <w:vAlign w:val="center"/>
          </w:tcPr>
          <w:p w14:paraId="6A00EA44">
            <w:pPr>
              <w:jc w:val="center"/>
              <w:rPr>
                <w:rFonts w:ascii="宋体" w:hAnsi="宋体"/>
                <w:szCs w:val="21"/>
              </w:rPr>
            </w:pPr>
            <w:r>
              <w:rPr>
                <w:rFonts w:hint="eastAsia" w:asciiTheme="minorEastAsia" w:hAnsiTheme="minorEastAsia"/>
                <w:szCs w:val="21"/>
              </w:rPr>
              <w:t>是否偏离（无偏离/正偏离/负偏离）</w:t>
            </w:r>
          </w:p>
        </w:tc>
        <w:tc>
          <w:tcPr>
            <w:tcW w:w="1265" w:type="dxa"/>
            <w:vAlign w:val="center"/>
          </w:tcPr>
          <w:p w14:paraId="0A2313C3">
            <w:pPr>
              <w:jc w:val="center"/>
              <w:rPr>
                <w:rFonts w:asciiTheme="minorEastAsia" w:hAnsiTheme="minorEastAsia"/>
                <w:szCs w:val="21"/>
              </w:rPr>
            </w:pPr>
            <w:r>
              <w:rPr>
                <w:rFonts w:hint="eastAsia" w:asciiTheme="minorEastAsia" w:hAnsiTheme="minorEastAsia"/>
                <w:szCs w:val="21"/>
              </w:rPr>
              <w:t>偏离</w:t>
            </w:r>
          </w:p>
          <w:p w14:paraId="0B48A198">
            <w:pPr>
              <w:snapToGrid w:val="0"/>
              <w:spacing w:line="360" w:lineRule="auto"/>
              <w:jc w:val="center"/>
              <w:rPr>
                <w:rFonts w:ascii="宋体" w:hAnsi="宋体"/>
                <w:szCs w:val="21"/>
              </w:rPr>
            </w:pPr>
            <w:r>
              <w:rPr>
                <w:rFonts w:hint="eastAsia" w:asciiTheme="minorEastAsia" w:hAnsiTheme="minorEastAsia"/>
                <w:szCs w:val="21"/>
              </w:rPr>
              <w:t>简述</w:t>
            </w:r>
          </w:p>
        </w:tc>
      </w:tr>
      <w:tr w14:paraId="22DB4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72" w:hRule="atLeast"/>
        </w:trPr>
        <w:tc>
          <w:tcPr>
            <w:tcW w:w="846" w:type="dxa"/>
            <w:tcBorders>
              <w:right w:val="single" w:color="auto" w:sz="4" w:space="0"/>
            </w:tcBorders>
            <w:vAlign w:val="center"/>
          </w:tcPr>
          <w:p w14:paraId="43E48CD5">
            <w:pPr>
              <w:snapToGrid w:val="0"/>
              <w:spacing w:line="360" w:lineRule="auto"/>
              <w:jc w:val="center"/>
              <w:rPr>
                <w:rFonts w:ascii="宋体" w:hAnsi="宋体"/>
                <w:szCs w:val="21"/>
              </w:rPr>
            </w:pPr>
          </w:p>
        </w:tc>
        <w:tc>
          <w:tcPr>
            <w:tcW w:w="2080" w:type="dxa"/>
            <w:tcBorders>
              <w:left w:val="single" w:color="auto" w:sz="4" w:space="0"/>
            </w:tcBorders>
            <w:vAlign w:val="center"/>
          </w:tcPr>
          <w:p w14:paraId="3D20608F">
            <w:pPr>
              <w:snapToGrid w:val="0"/>
              <w:spacing w:line="360" w:lineRule="auto"/>
              <w:jc w:val="center"/>
              <w:rPr>
                <w:rFonts w:ascii="宋体" w:hAnsi="宋体"/>
                <w:szCs w:val="21"/>
              </w:rPr>
            </w:pPr>
          </w:p>
        </w:tc>
        <w:tc>
          <w:tcPr>
            <w:tcW w:w="3309" w:type="dxa"/>
            <w:vAlign w:val="center"/>
          </w:tcPr>
          <w:p w14:paraId="3ED27203">
            <w:pPr>
              <w:snapToGrid w:val="0"/>
              <w:spacing w:line="360" w:lineRule="auto"/>
              <w:jc w:val="center"/>
              <w:rPr>
                <w:rFonts w:ascii="宋体" w:hAnsi="宋体"/>
                <w:szCs w:val="21"/>
              </w:rPr>
            </w:pPr>
          </w:p>
        </w:tc>
        <w:tc>
          <w:tcPr>
            <w:tcW w:w="1960" w:type="dxa"/>
            <w:vAlign w:val="center"/>
          </w:tcPr>
          <w:p w14:paraId="2D0E5510">
            <w:pPr>
              <w:snapToGrid w:val="0"/>
              <w:spacing w:line="360" w:lineRule="auto"/>
              <w:jc w:val="center"/>
              <w:rPr>
                <w:rFonts w:ascii="宋体" w:hAnsi="宋体"/>
                <w:szCs w:val="21"/>
              </w:rPr>
            </w:pPr>
          </w:p>
        </w:tc>
        <w:tc>
          <w:tcPr>
            <w:tcW w:w="1265" w:type="dxa"/>
            <w:vAlign w:val="center"/>
          </w:tcPr>
          <w:p w14:paraId="5712A312">
            <w:pPr>
              <w:snapToGrid w:val="0"/>
              <w:spacing w:line="360" w:lineRule="auto"/>
              <w:jc w:val="center"/>
              <w:rPr>
                <w:rFonts w:ascii="宋体" w:hAnsi="宋体"/>
                <w:szCs w:val="21"/>
              </w:rPr>
            </w:pPr>
          </w:p>
        </w:tc>
      </w:tr>
      <w:tr w14:paraId="36E4A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72" w:hRule="atLeast"/>
        </w:trPr>
        <w:tc>
          <w:tcPr>
            <w:tcW w:w="846" w:type="dxa"/>
            <w:tcBorders>
              <w:right w:val="single" w:color="auto" w:sz="4" w:space="0"/>
            </w:tcBorders>
            <w:vAlign w:val="center"/>
          </w:tcPr>
          <w:p w14:paraId="34F5A28F">
            <w:pPr>
              <w:snapToGrid w:val="0"/>
              <w:spacing w:line="360" w:lineRule="auto"/>
              <w:jc w:val="center"/>
              <w:rPr>
                <w:rFonts w:ascii="宋体" w:hAnsi="宋体"/>
                <w:szCs w:val="21"/>
              </w:rPr>
            </w:pPr>
          </w:p>
        </w:tc>
        <w:tc>
          <w:tcPr>
            <w:tcW w:w="2080" w:type="dxa"/>
            <w:tcBorders>
              <w:left w:val="single" w:color="auto" w:sz="4" w:space="0"/>
            </w:tcBorders>
            <w:vAlign w:val="center"/>
          </w:tcPr>
          <w:p w14:paraId="4190202D">
            <w:pPr>
              <w:snapToGrid w:val="0"/>
              <w:spacing w:line="360" w:lineRule="auto"/>
              <w:jc w:val="center"/>
              <w:rPr>
                <w:rFonts w:ascii="宋体" w:hAnsi="宋体"/>
                <w:szCs w:val="21"/>
              </w:rPr>
            </w:pPr>
          </w:p>
        </w:tc>
        <w:tc>
          <w:tcPr>
            <w:tcW w:w="3309" w:type="dxa"/>
            <w:vAlign w:val="center"/>
          </w:tcPr>
          <w:p w14:paraId="4B4FB029">
            <w:pPr>
              <w:snapToGrid w:val="0"/>
              <w:spacing w:line="360" w:lineRule="auto"/>
              <w:jc w:val="center"/>
              <w:rPr>
                <w:rFonts w:ascii="宋体" w:hAnsi="宋体"/>
                <w:szCs w:val="21"/>
              </w:rPr>
            </w:pPr>
          </w:p>
        </w:tc>
        <w:tc>
          <w:tcPr>
            <w:tcW w:w="1960" w:type="dxa"/>
            <w:vAlign w:val="center"/>
          </w:tcPr>
          <w:p w14:paraId="00F43058">
            <w:pPr>
              <w:snapToGrid w:val="0"/>
              <w:spacing w:line="360" w:lineRule="auto"/>
              <w:jc w:val="center"/>
              <w:rPr>
                <w:rFonts w:ascii="宋体" w:hAnsi="宋体"/>
                <w:szCs w:val="21"/>
              </w:rPr>
            </w:pPr>
          </w:p>
        </w:tc>
        <w:tc>
          <w:tcPr>
            <w:tcW w:w="1265" w:type="dxa"/>
            <w:vAlign w:val="center"/>
          </w:tcPr>
          <w:p w14:paraId="1DE63E42">
            <w:pPr>
              <w:snapToGrid w:val="0"/>
              <w:spacing w:line="360" w:lineRule="auto"/>
              <w:jc w:val="center"/>
              <w:rPr>
                <w:rFonts w:ascii="宋体" w:hAnsi="宋体"/>
                <w:szCs w:val="21"/>
              </w:rPr>
            </w:pPr>
          </w:p>
        </w:tc>
      </w:tr>
      <w:tr w14:paraId="1F022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72" w:hRule="atLeast"/>
        </w:trPr>
        <w:tc>
          <w:tcPr>
            <w:tcW w:w="846" w:type="dxa"/>
            <w:tcBorders>
              <w:right w:val="single" w:color="auto" w:sz="4" w:space="0"/>
            </w:tcBorders>
            <w:vAlign w:val="center"/>
          </w:tcPr>
          <w:p w14:paraId="76F947A3">
            <w:pPr>
              <w:snapToGrid w:val="0"/>
              <w:spacing w:line="360" w:lineRule="auto"/>
              <w:jc w:val="center"/>
              <w:rPr>
                <w:rFonts w:ascii="宋体" w:hAnsi="宋体"/>
                <w:szCs w:val="21"/>
              </w:rPr>
            </w:pPr>
          </w:p>
        </w:tc>
        <w:tc>
          <w:tcPr>
            <w:tcW w:w="2080" w:type="dxa"/>
            <w:tcBorders>
              <w:left w:val="single" w:color="auto" w:sz="4" w:space="0"/>
            </w:tcBorders>
            <w:vAlign w:val="center"/>
          </w:tcPr>
          <w:p w14:paraId="3B4EC45E">
            <w:pPr>
              <w:snapToGrid w:val="0"/>
              <w:spacing w:line="360" w:lineRule="auto"/>
              <w:jc w:val="center"/>
              <w:rPr>
                <w:rFonts w:ascii="宋体" w:hAnsi="宋体"/>
                <w:szCs w:val="21"/>
              </w:rPr>
            </w:pPr>
          </w:p>
        </w:tc>
        <w:tc>
          <w:tcPr>
            <w:tcW w:w="3309" w:type="dxa"/>
            <w:vAlign w:val="center"/>
          </w:tcPr>
          <w:p w14:paraId="5344EA2E">
            <w:pPr>
              <w:snapToGrid w:val="0"/>
              <w:spacing w:line="360" w:lineRule="auto"/>
              <w:jc w:val="center"/>
              <w:rPr>
                <w:rFonts w:ascii="宋体" w:hAnsi="宋体"/>
                <w:szCs w:val="21"/>
              </w:rPr>
            </w:pPr>
          </w:p>
        </w:tc>
        <w:tc>
          <w:tcPr>
            <w:tcW w:w="1960" w:type="dxa"/>
            <w:vAlign w:val="center"/>
          </w:tcPr>
          <w:p w14:paraId="0E34E7D0">
            <w:pPr>
              <w:snapToGrid w:val="0"/>
              <w:spacing w:line="360" w:lineRule="auto"/>
              <w:jc w:val="center"/>
              <w:rPr>
                <w:rFonts w:ascii="宋体" w:hAnsi="宋体"/>
                <w:szCs w:val="21"/>
              </w:rPr>
            </w:pPr>
          </w:p>
        </w:tc>
        <w:tc>
          <w:tcPr>
            <w:tcW w:w="1265" w:type="dxa"/>
            <w:vAlign w:val="center"/>
          </w:tcPr>
          <w:p w14:paraId="3F8FCB54">
            <w:pPr>
              <w:snapToGrid w:val="0"/>
              <w:spacing w:line="360" w:lineRule="auto"/>
              <w:jc w:val="center"/>
              <w:rPr>
                <w:rFonts w:ascii="宋体" w:hAnsi="宋体"/>
                <w:szCs w:val="21"/>
              </w:rPr>
            </w:pPr>
          </w:p>
        </w:tc>
      </w:tr>
      <w:tr w14:paraId="19D92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72" w:hRule="atLeast"/>
        </w:trPr>
        <w:tc>
          <w:tcPr>
            <w:tcW w:w="846" w:type="dxa"/>
            <w:tcBorders>
              <w:right w:val="single" w:color="auto" w:sz="4" w:space="0"/>
            </w:tcBorders>
            <w:vAlign w:val="center"/>
          </w:tcPr>
          <w:p w14:paraId="67E8CD37">
            <w:pPr>
              <w:snapToGrid w:val="0"/>
              <w:spacing w:line="360" w:lineRule="auto"/>
              <w:jc w:val="center"/>
              <w:rPr>
                <w:rFonts w:ascii="宋体" w:hAnsi="宋体"/>
                <w:szCs w:val="21"/>
              </w:rPr>
            </w:pPr>
          </w:p>
        </w:tc>
        <w:tc>
          <w:tcPr>
            <w:tcW w:w="2080" w:type="dxa"/>
            <w:tcBorders>
              <w:left w:val="single" w:color="auto" w:sz="4" w:space="0"/>
            </w:tcBorders>
            <w:vAlign w:val="center"/>
          </w:tcPr>
          <w:p w14:paraId="115D8B5A">
            <w:pPr>
              <w:snapToGrid w:val="0"/>
              <w:spacing w:line="360" w:lineRule="auto"/>
              <w:jc w:val="center"/>
              <w:rPr>
                <w:rFonts w:ascii="宋体" w:hAnsi="宋体"/>
                <w:szCs w:val="21"/>
              </w:rPr>
            </w:pPr>
          </w:p>
        </w:tc>
        <w:tc>
          <w:tcPr>
            <w:tcW w:w="3309" w:type="dxa"/>
            <w:vAlign w:val="center"/>
          </w:tcPr>
          <w:p w14:paraId="1247E8D8">
            <w:pPr>
              <w:snapToGrid w:val="0"/>
              <w:spacing w:line="360" w:lineRule="auto"/>
              <w:jc w:val="center"/>
              <w:rPr>
                <w:rFonts w:ascii="宋体" w:hAnsi="宋体"/>
                <w:szCs w:val="21"/>
              </w:rPr>
            </w:pPr>
          </w:p>
        </w:tc>
        <w:tc>
          <w:tcPr>
            <w:tcW w:w="1960" w:type="dxa"/>
            <w:vAlign w:val="center"/>
          </w:tcPr>
          <w:p w14:paraId="422D654C">
            <w:pPr>
              <w:snapToGrid w:val="0"/>
              <w:spacing w:line="360" w:lineRule="auto"/>
              <w:jc w:val="center"/>
              <w:rPr>
                <w:rFonts w:ascii="宋体" w:hAnsi="宋体"/>
                <w:szCs w:val="21"/>
              </w:rPr>
            </w:pPr>
          </w:p>
        </w:tc>
        <w:tc>
          <w:tcPr>
            <w:tcW w:w="1265" w:type="dxa"/>
            <w:vAlign w:val="center"/>
          </w:tcPr>
          <w:p w14:paraId="69F58557">
            <w:pPr>
              <w:snapToGrid w:val="0"/>
              <w:spacing w:line="360" w:lineRule="auto"/>
              <w:jc w:val="center"/>
              <w:rPr>
                <w:rFonts w:ascii="宋体" w:hAnsi="宋体"/>
                <w:szCs w:val="21"/>
              </w:rPr>
            </w:pPr>
          </w:p>
        </w:tc>
      </w:tr>
      <w:tr w14:paraId="5A499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72" w:hRule="atLeast"/>
        </w:trPr>
        <w:tc>
          <w:tcPr>
            <w:tcW w:w="846" w:type="dxa"/>
            <w:tcBorders>
              <w:right w:val="single" w:color="auto" w:sz="4" w:space="0"/>
            </w:tcBorders>
            <w:vAlign w:val="center"/>
          </w:tcPr>
          <w:p w14:paraId="491D18BE">
            <w:pPr>
              <w:snapToGrid w:val="0"/>
              <w:spacing w:line="360" w:lineRule="auto"/>
              <w:jc w:val="center"/>
              <w:rPr>
                <w:rFonts w:ascii="宋体" w:hAnsi="宋体"/>
                <w:szCs w:val="21"/>
              </w:rPr>
            </w:pPr>
          </w:p>
        </w:tc>
        <w:tc>
          <w:tcPr>
            <w:tcW w:w="2080" w:type="dxa"/>
            <w:tcBorders>
              <w:left w:val="single" w:color="auto" w:sz="4" w:space="0"/>
            </w:tcBorders>
            <w:vAlign w:val="center"/>
          </w:tcPr>
          <w:p w14:paraId="64A1A2D2">
            <w:pPr>
              <w:snapToGrid w:val="0"/>
              <w:spacing w:line="360" w:lineRule="auto"/>
              <w:jc w:val="center"/>
              <w:rPr>
                <w:rFonts w:ascii="宋体" w:hAnsi="宋体"/>
                <w:szCs w:val="21"/>
              </w:rPr>
            </w:pPr>
          </w:p>
        </w:tc>
        <w:tc>
          <w:tcPr>
            <w:tcW w:w="3309" w:type="dxa"/>
            <w:vAlign w:val="center"/>
          </w:tcPr>
          <w:p w14:paraId="7D0A6C2C">
            <w:pPr>
              <w:snapToGrid w:val="0"/>
              <w:spacing w:line="360" w:lineRule="auto"/>
              <w:jc w:val="center"/>
              <w:rPr>
                <w:rFonts w:ascii="宋体" w:hAnsi="宋体"/>
                <w:szCs w:val="21"/>
              </w:rPr>
            </w:pPr>
          </w:p>
        </w:tc>
        <w:tc>
          <w:tcPr>
            <w:tcW w:w="1960" w:type="dxa"/>
            <w:vAlign w:val="center"/>
          </w:tcPr>
          <w:p w14:paraId="2FE5A528">
            <w:pPr>
              <w:snapToGrid w:val="0"/>
              <w:spacing w:line="360" w:lineRule="auto"/>
              <w:jc w:val="center"/>
              <w:rPr>
                <w:rFonts w:ascii="宋体" w:hAnsi="宋体"/>
                <w:szCs w:val="21"/>
              </w:rPr>
            </w:pPr>
          </w:p>
        </w:tc>
        <w:tc>
          <w:tcPr>
            <w:tcW w:w="1265" w:type="dxa"/>
            <w:vAlign w:val="center"/>
          </w:tcPr>
          <w:p w14:paraId="3253F55E">
            <w:pPr>
              <w:snapToGrid w:val="0"/>
              <w:spacing w:line="360" w:lineRule="auto"/>
              <w:jc w:val="center"/>
              <w:rPr>
                <w:rFonts w:ascii="宋体" w:hAnsi="宋体"/>
                <w:szCs w:val="21"/>
              </w:rPr>
            </w:pPr>
          </w:p>
        </w:tc>
      </w:tr>
      <w:tr w14:paraId="67674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04" w:hRule="atLeast"/>
        </w:trPr>
        <w:tc>
          <w:tcPr>
            <w:tcW w:w="846" w:type="dxa"/>
            <w:tcBorders>
              <w:right w:val="single" w:color="auto" w:sz="4" w:space="0"/>
            </w:tcBorders>
            <w:vAlign w:val="center"/>
          </w:tcPr>
          <w:p w14:paraId="449B674E">
            <w:pPr>
              <w:snapToGrid w:val="0"/>
              <w:spacing w:line="360" w:lineRule="auto"/>
              <w:jc w:val="center"/>
              <w:rPr>
                <w:rFonts w:ascii="宋体" w:hAnsi="宋体"/>
                <w:szCs w:val="21"/>
              </w:rPr>
            </w:pPr>
          </w:p>
        </w:tc>
        <w:tc>
          <w:tcPr>
            <w:tcW w:w="2080" w:type="dxa"/>
            <w:tcBorders>
              <w:left w:val="single" w:color="auto" w:sz="4" w:space="0"/>
            </w:tcBorders>
            <w:vAlign w:val="center"/>
          </w:tcPr>
          <w:p w14:paraId="156CB0E0">
            <w:pPr>
              <w:snapToGrid w:val="0"/>
              <w:spacing w:line="360" w:lineRule="auto"/>
              <w:jc w:val="center"/>
              <w:rPr>
                <w:rFonts w:ascii="宋体" w:hAnsi="宋体"/>
                <w:szCs w:val="21"/>
              </w:rPr>
            </w:pPr>
          </w:p>
        </w:tc>
        <w:tc>
          <w:tcPr>
            <w:tcW w:w="3309" w:type="dxa"/>
            <w:vAlign w:val="center"/>
          </w:tcPr>
          <w:p w14:paraId="09C37F34">
            <w:pPr>
              <w:snapToGrid w:val="0"/>
              <w:spacing w:line="360" w:lineRule="auto"/>
              <w:jc w:val="center"/>
              <w:rPr>
                <w:rFonts w:ascii="宋体" w:hAnsi="宋体"/>
                <w:szCs w:val="21"/>
              </w:rPr>
            </w:pPr>
          </w:p>
        </w:tc>
        <w:tc>
          <w:tcPr>
            <w:tcW w:w="1960" w:type="dxa"/>
            <w:vAlign w:val="center"/>
          </w:tcPr>
          <w:p w14:paraId="1FD635A7">
            <w:pPr>
              <w:snapToGrid w:val="0"/>
              <w:spacing w:line="360" w:lineRule="auto"/>
              <w:jc w:val="center"/>
              <w:rPr>
                <w:rFonts w:ascii="宋体" w:hAnsi="宋体"/>
                <w:szCs w:val="21"/>
              </w:rPr>
            </w:pPr>
          </w:p>
        </w:tc>
        <w:tc>
          <w:tcPr>
            <w:tcW w:w="1265" w:type="dxa"/>
            <w:vAlign w:val="center"/>
          </w:tcPr>
          <w:p w14:paraId="10A8111E">
            <w:pPr>
              <w:snapToGrid w:val="0"/>
              <w:spacing w:line="360" w:lineRule="auto"/>
              <w:jc w:val="center"/>
              <w:rPr>
                <w:rFonts w:ascii="宋体" w:hAnsi="宋体"/>
                <w:szCs w:val="21"/>
              </w:rPr>
            </w:pPr>
          </w:p>
        </w:tc>
      </w:tr>
    </w:tbl>
    <w:p w14:paraId="5316AE96">
      <w:pPr>
        <w:spacing w:line="360" w:lineRule="auto"/>
        <w:rPr>
          <w:rFonts w:ascii="新宋体" w:hAnsi="新宋体" w:eastAsia="新宋体" w:cs="新宋体"/>
          <w:szCs w:val="21"/>
        </w:rPr>
      </w:pPr>
      <w:r>
        <w:rPr>
          <w:rFonts w:hint="eastAsia" w:ascii="新宋体" w:hAnsi="新宋体" w:eastAsia="新宋体" w:cs="新宋体"/>
          <w:szCs w:val="21"/>
        </w:rPr>
        <w:t>注：允许正偏离，但不允许抬高价格。</w:t>
      </w:r>
    </w:p>
    <w:p w14:paraId="5CAA277E">
      <w:pPr>
        <w:spacing w:line="360" w:lineRule="auto"/>
        <w:ind w:firstLine="3290" w:firstLineChars="1750"/>
        <w:rPr>
          <w:rFonts w:hint="eastAsia" w:ascii="新宋体" w:hAnsi="新宋体" w:eastAsia="新宋体" w:cs="新宋体"/>
          <w:szCs w:val="21"/>
        </w:rPr>
      </w:pPr>
      <w:r>
        <w:rPr>
          <w:rFonts w:hint="eastAsia" w:eastAsia="宋体"/>
          <w:spacing w:val="-26"/>
          <w:sz w:val="24"/>
          <w:szCs w:val="24"/>
          <w:lang w:eastAsia="zh-CN"/>
        </w:rPr>
        <w:t>供应商</w:t>
      </w:r>
      <w:r>
        <w:rPr>
          <w:spacing w:val="-26"/>
          <w:sz w:val="24"/>
          <w:szCs w:val="24"/>
        </w:rPr>
        <w:t>名称</w:t>
      </w:r>
      <w:r>
        <w:rPr>
          <w:rFonts w:hint="eastAsia" w:ascii="新宋体" w:hAnsi="新宋体" w:eastAsia="新宋体" w:cs="新宋体"/>
          <w:szCs w:val="21"/>
        </w:rPr>
        <w:t>：</w:t>
      </w:r>
      <w:r>
        <w:rPr>
          <w:rFonts w:hint="eastAsia" w:ascii="新宋体" w:hAnsi="新宋体" w:eastAsia="新宋体" w:cs="新宋体"/>
          <w:szCs w:val="21"/>
          <w:u w:val="single"/>
        </w:rPr>
        <w:t xml:space="preserve">                     </w:t>
      </w:r>
      <w:r>
        <w:rPr>
          <w:rFonts w:hint="eastAsia" w:ascii="新宋体" w:hAnsi="新宋体" w:eastAsia="新宋体" w:cs="新宋体"/>
          <w:szCs w:val="21"/>
        </w:rPr>
        <w:t>（盖单位公章）</w:t>
      </w:r>
    </w:p>
    <w:p w14:paraId="5E429014">
      <w:pPr>
        <w:spacing w:line="360" w:lineRule="auto"/>
        <w:ind w:firstLine="3045" w:firstLineChars="1450"/>
        <w:rPr>
          <w:rFonts w:ascii="新宋体" w:hAnsi="新宋体" w:eastAsia="新宋体" w:cs="新宋体"/>
          <w:szCs w:val="21"/>
        </w:rPr>
      </w:pPr>
      <w:r>
        <w:rPr>
          <w:rFonts w:hint="eastAsia" w:ascii="新宋体" w:hAnsi="新宋体" w:eastAsia="新宋体" w:cs="新宋体"/>
          <w:szCs w:val="21"/>
        </w:rPr>
        <w:t>法定代表人或其委托代理人：</w:t>
      </w:r>
      <w:r>
        <w:rPr>
          <w:rFonts w:hint="eastAsia" w:ascii="新宋体" w:hAnsi="新宋体" w:eastAsia="新宋体" w:cs="新宋体"/>
          <w:szCs w:val="21"/>
          <w:u w:val="single"/>
        </w:rPr>
        <w:t xml:space="preserve">        </w:t>
      </w:r>
      <w:r>
        <w:rPr>
          <w:rFonts w:hint="eastAsia" w:ascii="新宋体" w:hAnsi="新宋体" w:eastAsia="新宋体" w:cs="新宋体"/>
          <w:szCs w:val="21"/>
        </w:rPr>
        <w:t>（签字或盖章）</w:t>
      </w:r>
    </w:p>
    <w:p w14:paraId="03B0AEE8">
      <w:pPr>
        <w:spacing w:line="360" w:lineRule="auto"/>
        <w:ind w:firstLine="4620" w:firstLineChars="2200"/>
        <w:rPr>
          <w:rFonts w:ascii="新宋体" w:hAnsi="新宋体" w:eastAsia="新宋体" w:cs="新宋体"/>
          <w:sz w:val="20"/>
        </w:rPr>
      </w:pPr>
      <w:r>
        <w:rPr>
          <w:rFonts w:hint="eastAsia" w:ascii="新宋体" w:hAnsi="新宋体" w:eastAsia="新宋体" w:cs="新宋体"/>
          <w:szCs w:val="21"/>
          <w:u w:val="single"/>
        </w:rPr>
        <w:t xml:space="preserve">        </w:t>
      </w:r>
      <w:r>
        <w:rPr>
          <w:rFonts w:hint="eastAsia" w:ascii="新宋体" w:hAnsi="新宋体" w:eastAsia="新宋体" w:cs="新宋体"/>
          <w:szCs w:val="21"/>
        </w:rPr>
        <w:t>年</w:t>
      </w:r>
      <w:r>
        <w:rPr>
          <w:rFonts w:hint="eastAsia" w:ascii="新宋体" w:hAnsi="新宋体" w:eastAsia="新宋体" w:cs="新宋体"/>
          <w:szCs w:val="21"/>
          <w:u w:val="single"/>
        </w:rPr>
        <w:t xml:space="preserve">        </w:t>
      </w:r>
      <w:r>
        <w:rPr>
          <w:rFonts w:hint="eastAsia" w:ascii="新宋体" w:hAnsi="新宋体" w:eastAsia="新宋体" w:cs="新宋体"/>
          <w:szCs w:val="21"/>
        </w:rPr>
        <w:t>月</w:t>
      </w:r>
      <w:r>
        <w:rPr>
          <w:rFonts w:hint="eastAsia" w:ascii="新宋体" w:hAnsi="新宋体" w:eastAsia="新宋体" w:cs="新宋体"/>
          <w:szCs w:val="21"/>
          <w:u w:val="single"/>
        </w:rPr>
        <w:t xml:space="preserve">        </w:t>
      </w:r>
      <w:r>
        <w:rPr>
          <w:rFonts w:hint="eastAsia" w:ascii="新宋体" w:hAnsi="新宋体" w:eastAsia="新宋体" w:cs="新宋体"/>
          <w:szCs w:val="21"/>
        </w:rPr>
        <w:t>日</w:t>
      </w:r>
    </w:p>
    <w:p w14:paraId="456E54B9">
      <w:pPr>
        <w:spacing w:line="360" w:lineRule="auto"/>
        <w:jc w:val="center"/>
        <w:outlineLvl w:val="1"/>
        <w:rPr>
          <w:rFonts w:ascii="新宋体" w:hAnsi="新宋体" w:eastAsia="新宋体" w:cs="新宋体"/>
          <w:sz w:val="28"/>
        </w:rPr>
      </w:pPr>
      <w:r>
        <w:rPr>
          <w:rFonts w:hint="eastAsia" w:ascii="新宋体" w:hAnsi="新宋体" w:eastAsia="新宋体" w:cs="新宋体"/>
          <w:b/>
          <w:spacing w:val="-10"/>
          <w:sz w:val="24"/>
        </w:rPr>
        <w:t xml:space="preserve">          </w:t>
      </w:r>
      <w:r>
        <w:rPr>
          <w:rFonts w:hint="eastAsia" w:ascii="新宋体" w:hAnsi="新宋体" w:eastAsia="新宋体" w:cs="新宋体"/>
          <w:b/>
          <w:spacing w:val="-10"/>
          <w:sz w:val="24"/>
        </w:rPr>
        <w:br w:type="page"/>
      </w:r>
    </w:p>
    <w:p w14:paraId="70AFC187">
      <w:pPr>
        <w:pStyle w:val="3"/>
        <w:spacing w:before="91" w:line="220" w:lineRule="auto"/>
        <w:ind w:left="526"/>
        <w:outlineLvl w:val="6"/>
        <w:rPr>
          <w:sz w:val="28"/>
          <w:szCs w:val="28"/>
        </w:rPr>
      </w:pPr>
      <w:r>
        <w:rPr>
          <w:spacing w:val="-26"/>
          <w:w w:val="94"/>
          <w:sz w:val="28"/>
          <w:szCs w:val="28"/>
          <w14:textOutline w14:w="5080">
            <w14:solidFill>
              <w14:srgbClr w14:val="000000"/>
            </w14:solidFill>
            <w14:prstDash w14:val="solid"/>
            <w14:miter w14:val="0"/>
          </w14:textOutline>
        </w:rPr>
        <w:t>三、法定代表人身份证明或附有法定代表人身份证明的企业法定代表人授权书</w:t>
      </w:r>
    </w:p>
    <w:p w14:paraId="6CF2A56F">
      <w:pPr>
        <w:spacing w:line="256" w:lineRule="auto"/>
        <w:rPr>
          <w:rFonts w:ascii="Arial"/>
          <w:sz w:val="21"/>
        </w:rPr>
      </w:pPr>
    </w:p>
    <w:p w14:paraId="1FA91909">
      <w:pPr>
        <w:spacing w:line="256" w:lineRule="auto"/>
        <w:rPr>
          <w:rFonts w:ascii="Arial"/>
          <w:sz w:val="21"/>
        </w:rPr>
      </w:pPr>
    </w:p>
    <w:p w14:paraId="152B9F37">
      <w:pPr>
        <w:pStyle w:val="3"/>
        <w:spacing w:before="78" w:line="220" w:lineRule="auto"/>
        <w:ind w:left="3357"/>
        <w:outlineLvl w:val="6"/>
        <w:rPr>
          <w:sz w:val="24"/>
          <w:szCs w:val="24"/>
        </w:rPr>
      </w:pPr>
      <w:r>
        <w:rPr>
          <w:spacing w:val="-2"/>
          <w:sz w:val="24"/>
          <w:szCs w:val="24"/>
          <w14:textOutline w14:w="4354">
            <w14:solidFill>
              <w14:srgbClr w14:val="000000"/>
            </w14:solidFill>
            <w14:prstDash w14:val="solid"/>
            <w14:miter w14:val="0"/>
          </w14:textOutline>
        </w:rPr>
        <w:t>1.法定代表人身份证明</w:t>
      </w:r>
    </w:p>
    <w:p w14:paraId="6219260C">
      <w:pPr>
        <w:spacing w:line="303" w:lineRule="auto"/>
        <w:rPr>
          <w:rFonts w:ascii="Arial"/>
          <w:sz w:val="21"/>
        </w:rPr>
      </w:pPr>
    </w:p>
    <w:p w14:paraId="3AA35309">
      <w:pPr>
        <w:spacing w:line="303" w:lineRule="auto"/>
        <w:rPr>
          <w:rFonts w:ascii="Arial"/>
          <w:sz w:val="21"/>
        </w:rPr>
      </w:pPr>
    </w:p>
    <w:p w14:paraId="056E47F3">
      <w:pPr>
        <w:spacing w:line="304" w:lineRule="auto"/>
        <w:rPr>
          <w:rFonts w:ascii="Arial"/>
          <w:sz w:val="21"/>
        </w:rPr>
      </w:pPr>
    </w:p>
    <w:p w14:paraId="193FE5D2">
      <w:pPr>
        <w:pStyle w:val="3"/>
        <w:spacing w:before="78" w:line="492" w:lineRule="auto"/>
        <w:ind w:left="832"/>
        <w:rPr>
          <w:sz w:val="24"/>
          <w:szCs w:val="24"/>
        </w:rPr>
      </w:pPr>
      <w:r>
        <w:rPr>
          <w:rFonts w:hint="eastAsia"/>
          <w:spacing w:val="-26"/>
          <w:w w:val="97"/>
          <w:sz w:val="24"/>
          <w:szCs w:val="24"/>
          <w:lang w:eastAsia="zh-CN"/>
        </w:rPr>
        <w:t>供应商</w:t>
      </w:r>
      <w:r>
        <w:rPr>
          <w:spacing w:val="-26"/>
          <w:w w:val="97"/>
          <w:sz w:val="24"/>
          <w:szCs w:val="24"/>
        </w:rPr>
        <w:t>名称：</w:t>
      </w:r>
      <w:r>
        <w:rPr>
          <w:spacing w:val="65"/>
          <w:sz w:val="24"/>
          <w:szCs w:val="24"/>
        </w:rPr>
        <w:t xml:space="preserve"> </w:t>
      </w:r>
      <w:r>
        <w:rPr>
          <w:sz w:val="24"/>
          <w:szCs w:val="24"/>
          <w:u w:val="single" w:color="auto"/>
        </w:rPr>
        <w:t xml:space="preserve">                                 </w:t>
      </w:r>
    </w:p>
    <w:p w14:paraId="611ADC3B">
      <w:pPr>
        <w:pStyle w:val="3"/>
        <w:spacing w:before="1" w:line="220" w:lineRule="auto"/>
        <w:ind w:left="831"/>
        <w:rPr>
          <w:sz w:val="24"/>
          <w:szCs w:val="24"/>
        </w:rPr>
      </w:pPr>
      <w:r>
        <w:rPr>
          <w:spacing w:val="-26"/>
          <w:w w:val="98"/>
          <w:sz w:val="24"/>
          <w:szCs w:val="24"/>
        </w:rPr>
        <w:t>单位性质：</w:t>
      </w:r>
      <w:r>
        <w:rPr>
          <w:spacing w:val="21"/>
          <w:sz w:val="24"/>
          <w:szCs w:val="24"/>
        </w:rPr>
        <w:t xml:space="preserve"> </w:t>
      </w:r>
      <w:r>
        <w:rPr>
          <w:sz w:val="24"/>
          <w:szCs w:val="24"/>
          <w:u w:val="single" w:color="auto"/>
        </w:rPr>
        <w:t xml:space="preserve">                                   </w:t>
      </w:r>
    </w:p>
    <w:p w14:paraId="54B07BBF">
      <w:pPr>
        <w:spacing w:line="272" w:lineRule="auto"/>
        <w:rPr>
          <w:rFonts w:ascii="Arial"/>
          <w:sz w:val="21"/>
        </w:rPr>
      </w:pPr>
    </w:p>
    <w:p w14:paraId="0709D94A">
      <w:pPr>
        <w:pStyle w:val="3"/>
        <w:spacing w:before="78" w:line="230" w:lineRule="auto"/>
        <w:ind w:left="829"/>
        <w:rPr>
          <w:sz w:val="24"/>
          <w:szCs w:val="24"/>
        </w:rPr>
      </w:pPr>
      <w:r>
        <w:rPr>
          <w:spacing w:val="-32"/>
          <w:w w:val="99"/>
          <w:sz w:val="24"/>
          <w:szCs w:val="24"/>
        </w:rPr>
        <w:t>地</w:t>
      </w:r>
      <w:r>
        <w:rPr>
          <w:spacing w:val="2"/>
          <w:sz w:val="24"/>
          <w:szCs w:val="24"/>
        </w:rPr>
        <w:t xml:space="preserve">    </w:t>
      </w:r>
      <w:r>
        <w:rPr>
          <w:spacing w:val="-32"/>
          <w:w w:val="99"/>
          <w:sz w:val="24"/>
          <w:szCs w:val="24"/>
        </w:rPr>
        <w:t>址：</w:t>
      </w:r>
      <w:r>
        <w:rPr>
          <w:spacing w:val="-36"/>
          <w:sz w:val="24"/>
          <w:szCs w:val="24"/>
        </w:rPr>
        <w:t xml:space="preserve"> </w:t>
      </w:r>
      <w:r>
        <w:rPr>
          <w:sz w:val="24"/>
          <w:szCs w:val="24"/>
          <w:u w:val="single" w:color="auto"/>
        </w:rPr>
        <w:t xml:space="preserve">                                   </w:t>
      </w:r>
    </w:p>
    <w:p w14:paraId="580549F1">
      <w:pPr>
        <w:spacing w:line="262" w:lineRule="auto"/>
        <w:rPr>
          <w:rFonts w:ascii="Arial"/>
          <w:sz w:val="21"/>
        </w:rPr>
      </w:pPr>
    </w:p>
    <w:p w14:paraId="06991CBB">
      <w:pPr>
        <w:pStyle w:val="3"/>
        <w:spacing w:before="78" w:line="220" w:lineRule="auto"/>
        <w:ind w:left="831"/>
        <w:rPr>
          <w:sz w:val="24"/>
          <w:szCs w:val="24"/>
        </w:rPr>
      </w:pPr>
      <w:r>
        <w:rPr>
          <w:spacing w:val="-22"/>
          <w:sz w:val="24"/>
          <w:szCs w:val="24"/>
        </w:rPr>
        <w:t>成立时间：</w:t>
      </w:r>
      <w:r>
        <w:rPr>
          <w:spacing w:val="18"/>
          <w:sz w:val="24"/>
          <w:szCs w:val="24"/>
        </w:rPr>
        <w:t xml:space="preserve"> </w:t>
      </w:r>
      <w:r>
        <w:rPr>
          <w:sz w:val="24"/>
          <w:szCs w:val="24"/>
          <w:u w:val="single" w:color="auto"/>
        </w:rPr>
        <w:t xml:space="preserve">     </w:t>
      </w:r>
      <w:r>
        <w:rPr>
          <w:spacing w:val="-110"/>
          <w:sz w:val="24"/>
          <w:szCs w:val="24"/>
        </w:rPr>
        <w:t xml:space="preserve"> </w:t>
      </w:r>
      <w:r>
        <w:rPr>
          <w:spacing w:val="-22"/>
          <w:sz w:val="24"/>
          <w:szCs w:val="24"/>
        </w:rPr>
        <w:t>年</w:t>
      </w:r>
      <w:r>
        <w:rPr>
          <w:sz w:val="24"/>
          <w:szCs w:val="24"/>
          <w:u w:val="single" w:color="auto"/>
        </w:rPr>
        <w:t xml:space="preserve">     </w:t>
      </w:r>
      <w:r>
        <w:rPr>
          <w:spacing w:val="-105"/>
          <w:sz w:val="24"/>
          <w:szCs w:val="24"/>
        </w:rPr>
        <w:t xml:space="preserve"> </w:t>
      </w:r>
      <w:r>
        <w:rPr>
          <w:spacing w:val="-22"/>
          <w:sz w:val="24"/>
          <w:szCs w:val="24"/>
        </w:rPr>
        <w:t>月</w:t>
      </w:r>
      <w:r>
        <w:rPr>
          <w:sz w:val="24"/>
          <w:szCs w:val="24"/>
          <w:u w:val="single" w:color="auto"/>
        </w:rPr>
        <w:t xml:space="preserve">     </w:t>
      </w:r>
      <w:r>
        <w:rPr>
          <w:spacing w:val="-69"/>
          <w:sz w:val="24"/>
          <w:szCs w:val="24"/>
        </w:rPr>
        <w:t xml:space="preserve"> </w:t>
      </w:r>
      <w:r>
        <w:rPr>
          <w:spacing w:val="-22"/>
          <w:sz w:val="24"/>
          <w:szCs w:val="24"/>
        </w:rPr>
        <w:t>日</w:t>
      </w:r>
    </w:p>
    <w:p w14:paraId="5CA3306A">
      <w:pPr>
        <w:spacing w:line="273" w:lineRule="auto"/>
        <w:rPr>
          <w:rFonts w:ascii="Arial"/>
          <w:sz w:val="21"/>
        </w:rPr>
      </w:pPr>
    </w:p>
    <w:p w14:paraId="1887FDD2">
      <w:pPr>
        <w:pStyle w:val="3"/>
        <w:spacing w:before="79" w:line="221" w:lineRule="auto"/>
        <w:ind w:left="831"/>
        <w:rPr>
          <w:sz w:val="24"/>
          <w:szCs w:val="24"/>
        </w:rPr>
      </w:pPr>
      <w:r>
        <w:rPr>
          <w:spacing w:val="-30"/>
          <w:sz w:val="24"/>
          <w:szCs w:val="24"/>
        </w:rPr>
        <w:t>经营期限：</w:t>
      </w:r>
      <w:r>
        <w:rPr>
          <w:spacing w:val="17"/>
          <w:sz w:val="24"/>
          <w:szCs w:val="24"/>
        </w:rPr>
        <w:t xml:space="preserve"> </w:t>
      </w:r>
      <w:r>
        <w:rPr>
          <w:sz w:val="24"/>
          <w:szCs w:val="24"/>
          <w:u w:val="single" w:color="auto"/>
        </w:rPr>
        <w:t xml:space="preserve">                                 </w:t>
      </w:r>
    </w:p>
    <w:p w14:paraId="5C3BB360">
      <w:pPr>
        <w:spacing w:line="273" w:lineRule="auto"/>
        <w:rPr>
          <w:rFonts w:ascii="Arial"/>
          <w:sz w:val="21"/>
        </w:rPr>
      </w:pPr>
    </w:p>
    <w:p w14:paraId="4B182A57">
      <w:pPr>
        <w:pStyle w:val="3"/>
        <w:spacing w:before="79" w:line="492" w:lineRule="auto"/>
        <w:ind w:left="829"/>
        <w:rPr>
          <w:sz w:val="24"/>
          <w:szCs w:val="24"/>
        </w:rPr>
      </w:pPr>
      <w:r>
        <w:rPr>
          <w:spacing w:val="-31"/>
          <w:sz w:val="24"/>
          <w:szCs w:val="24"/>
        </w:rPr>
        <w:t xml:space="preserve">姓名： </w:t>
      </w:r>
      <w:r>
        <w:rPr>
          <w:sz w:val="24"/>
          <w:szCs w:val="24"/>
          <w:u w:val="single" w:color="auto"/>
        </w:rPr>
        <w:t xml:space="preserve">         </w:t>
      </w:r>
      <w:r>
        <w:rPr>
          <w:spacing w:val="-104"/>
          <w:sz w:val="24"/>
          <w:szCs w:val="24"/>
        </w:rPr>
        <w:t xml:space="preserve"> </w:t>
      </w:r>
      <w:r>
        <w:rPr>
          <w:spacing w:val="-31"/>
          <w:sz w:val="24"/>
          <w:szCs w:val="24"/>
        </w:rPr>
        <w:t xml:space="preserve">性别： </w:t>
      </w:r>
      <w:r>
        <w:rPr>
          <w:sz w:val="24"/>
          <w:szCs w:val="24"/>
          <w:u w:val="single" w:color="auto"/>
        </w:rPr>
        <w:t xml:space="preserve">       </w:t>
      </w:r>
      <w:r>
        <w:rPr>
          <w:spacing w:val="-104"/>
          <w:sz w:val="24"/>
          <w:szCs w:val="24"/>
        </w:rPr>
        <w:t xml:space="preserve"> </w:t>
      </w:r>
      <w:r>
        <w:rPr>
          <w:spacing w:val="-31"/>
          <w:sz w:val="24"/>
          <w:szCs w:val="24"/>
        </w:rPr>
        <w:t>身份证号：</w:t>
      </w:r>
      <w:r>
        <w:rPr>
          <w:spacing w:val="17"/>
          <w:sz w:val="24"/>
          <w:szCs w:val="24"/>
        </w:rPr>
        <w:t xml:space="preserve"> </w:t>
      </w:r>
      <w:r>
        <w:rPr>
          <w:sz w:val="24"/>
          <w:szCs w:val="24"/>
          <w:u w:val="single" w:color="auto"/>
        </w:rPr>
        <w:t xml:space="preserve">               </w:t>
      </w:r>
      <w:r>
        <w:rPr>
          <w:spacing w:val="-106"/>
          <w:sz w:val="24"/>
          <w:szCs w:val="24"/>
        </w:rPr>
        <w:t xml:space="preserve"> </w:t>
      </w:r>
      <w:r>
        <w:rPr>
          <w:spacing w:val="-31"/>
          <w:sz w:val="24"/>
          <w:szCs w:val="24"/>
        </w:rPr>
        <w:t>系</w:t>
      </w:r>
      <w:r>
        <w:rPr>
          <w:sz w:val="24"/>
          <w:szCs w:val="24"/>
          <w:u w:val="single" w:color="auto"/>
        </w:rPr>
        <w:t xml:space="preserve">              </w:t>
      </w:r>
    </w:p>
    <w:p w14:paraId="166E5274">
      <w:pPr>
        <w:pStyle w:val="3"/>
        <w:tabs>
          <w:tab w:val="left" w:pos="720"/>
        </w:tabs>
        <w:spacing w:line="220" w:lineRule="auto"/>
        <w:rPr>
          <w:sz w:val="24"/>
          <w:szCs w:val="24"/>
        </w:rPr>
      </w:pPr>
      <w:r>
        <w:rPr>
          <w:sz w:val="24"/>
          <w:szCs w:val="24"/>
          <w:u w:val="single" w:color="auto"/>
        </w:rPr>
        <w:tab/>
      </w:r>
      <w:r>
        <w:rPr>
          <w:spacing w:val="25"/>
          <w:sz w:val="24"/>
          <w:szCs w:val="24"/>
        </w:rPr>
        <w:t xml:space="preserve"> </w:t>
      </w:r>
      <w:r>
        <w:rPr>
          <w:spacing w:val="-12"/>
          <w:sz w:val="24"/>
          <w:szCs w:val="24"/>
        </w:rPr>
        <w:t>（</w:t>
      </w:r>
      <w:r>
        <w:rPr>
          <w:rFonts w:hint="eastAsia"/>
          <w:spacing w:val="-12"/>
          <w:sz w:val="24"/>
          <w:szCs w:val="24"/>
          <w:lang w:eastAsia="zh-CN"/>
        </w:rPr>
        <w:t>供应商</w:t>
      </w:r>
      <w:r>
        <w:rPr>
          <w:spacing w:val="-12"/>
          <w:sz w:val="24"/>
          <w:szCs w:val="24"/>
        </w:rPr>
        <w:t>名称）的法定代表人。</w:t>
      </w:r>
    </w:p>
    <w:p w14:paraId="51364F70">
      <w:pPr>
        <w:spacing w:line="273" w:lineRule="auto"/>
        <w:rPr>
          <w:rFonts w:ascii="Arial"/>
          <w:sz w:val="21"/>
        </w:rPr>
      </w:pPr>
    </w:p>
    <w:p w14:paraId="3F5C602B">
      <w:pPr>
        <w:pStyle w:val="3"/>
        <w:spacing w:before="79" w:line="640" w:lineRule="exact"/>
        <w:ind w:left="848"/>
        <w:rPr>
          <w:sz w:val="24"/>
          <w:szCs w:val="24"/>
        </w:rPr>
      </w:pPr>
      <w:r>
        <w:rPr>
          <w:spacing w:val="-4"/>
          <w:position w:val="31"/>
          <w:sz w:val="24"/>
          <w:szCs w:val="24"/>
        </w:rPr>
        <w:t>附：法定代表人身份证原件扫描件。</w:t>
      </w:r>
    </w:p>
    <w:p w14:paraId="5405D271">
      <w:pPr>
        <w:pStyle w:val="3"/>
        <w:spacing w:line="220" w:lineRule="auto"/>
        <w:ind w:left="829"/>
        <w:rPr>
          <w:sz w:val="24"/>
          <w:szCs w:val="24"/>
        </w:rPr>
      </w:pPr>
      <w:r>
        <w:rPr>
          <w:spacing w:val="-7"/>
          <w:sz w:val="24"/>
          <w:szCs w:val="24"/>
        </w:rPr>
        <w:t>特此证明。</w:t>
      </w:r>
    </w:p>
    <w:p w14:paraId="61A9380D">
      <w:pPr>
        <w:spacing w:line="303" w:lineRule="auto"/>
        <w:rPr>
          <w:rFonts w:ascii="Arial"/>
          <w:sz w:val="21"/>
        </w:rPr>
      </w:pPr>
    </w:p>
    <w:p w14:paraId="011175E1">
      <w:pPr>
        <w:spacing w:line="303" w:lineRule="auto"/>
        <w:rPr>
          <w:rFonts w:ascii="Arial"/>
          <w:sz w:val="21"/>
        </w:rPr>
      </w:pPr>
    </w:p>
    <w:p w14:paraId="544E975D">
      <w:pPr>
        <w:spacing w:line="304" w:lineRule="auto"/>
        <w:rPr>
          <w:rFonts w:ascii="Arial"/>
          <w:sz w:val="21"/>
        </w:rPr>
      </w:pPr>
    </w:p>
    <w:p w14:paraId="494E9C87">
      <w:pPr>
        <w:pStyle w:val="3"/>
        <w:spacing w:before="79" w:line="492" w:lineRule="auto"/>
        <w:ind w:right="39"/>
        <w:jc w:val="right"/>
        <w:rPr>
          <w:sz w:val="24"/>
          <w:szCs w:val="24"/>
        </w:rPr>
      </w:pPr>
      <w:r>
        <w:rPr>
          <w:rFonts w:hint="eastAsia"/>
          <w:spacing w:val="-26"/>
          <w:sz w:val="24"/>
          <w:szCs w:val="24"/>
          <w:lang w:eastAsia="zh-CN"/>
        </w:rPr>
        <w:t>供应商</w:t>
      </w:r>
      <w:r>
        <w:rPr>
          <w:spacing w:val="-26"/>
          <w:sz w:val="24"/>
          <w:szCs w:val="24"/>
        </w:rPr>
        <w:t>名称</w:t>
      </w:r>
      <w:r>
        <w:rPr>
          <w:spacing w:val="-28"/>
          <w:sz w:val="24"/>
          <w:szCs w:val="24"/>
        </w:rPr>
        <w:t>：</w:t>
      </w:r>
      <w:r>
        <w:rPr>
          <w:spacing w:val="56"/>
          <w:sz w:val="24"/>
          <w:szCs w:val="24"/>
        </w:rPr>
        <w:t xml:space="preserve"> </w:t>
      </w:r>
      <w:r>
        <w:rPr>
          <w:sz w:val="24"/>
          <w:szCs w:val="24"/>
          <w:u w:val="single" w:color="auto"/>
        </w:rPr>
        <w:t xml:space="preserve">                  </w:t>
      </w:r>
      <w:r>
        <w:rPr>
          <w:spacing w:val="16"/>
          <w:sz w:val="24"/>
          <w:szCs w:val="24"/>
        </w:rPr>
        <w:t xml:space="preserve"> </w:t>
      </w:r>
      <w:r>
        <w:rPr>
          <w:spacing w:val="-28"/>
          <w:sz w:val="24"/>
          <w:szCs w:val="24"/>
        </w:rPr>
        <w:t>（</w:t>
      </w:r>
      <w:r>
        <w:rPr>
          <w:spacing w:val="-26"/>
          <w:sz w:val="24"/>
          <w:szCs w:val="24"/>
        </w:rPr>
        <w:t>盖单位章）</w:t>
      </w:r>
    </w:p>
    <w:p w14:paraId="2CDFDF24">
      <w:pPr>
        <w:pStyle w:val="3"/>
        <w:tabs>
          <w:tab w:val="left" w:pos="6000"/>
        </w:tabs>
        <w:spacing w:line="220" w:lineRule="auto"/>
        <w:ind w:left="5280"/>
        <w:rPr>
          <w:sz w:val="24"/>
          <w:szCs w:val="24"/>
        </w:rPr>
      </w:pPr>
      <w:r>
        <w:rPr>
          <w:sz w:val="24"/>
          <w:szCs w:val="24"/>
          <w:u w:val="single" w:color="auto"/>
        </w:rPr>
        <w:tab/>
      </w:r>
      <w:r>
        <w:rPr>
          <w:spacing w:val="-110"/>
          <w:sz w:val="24"/>
          <w:szCs w:val="24"/>
        </w:rPr>
        <w:t xml:space="preserve"> </w:t>
      </w:r>
      <w:r>
        <w:rPr>
          <w:spacing w:val="-9"/>
          <w:sz w:val="24"/>
          <w:szCs w:val="24"/>
        </w:rPr>
        <w:t>年</w:t>
      </w:r>
      <w:r>
        <w:rPr>
          <w:sz w:val="24"/>
          <w:szCs w:val="24"/>
          <w:u w:val="single" w:color="auto"/>
        </w:rPr>
        <w:t xml:space="preserve">    </w:t>
      </w:r>
      <w:r>
        <w:rPr>
          <w:spacing w:val="-105"/>
          <w:sz w:val="24"/>
          <w:szCs w:val="24"/>
        </w:rPr>
        <w:t xml:space="preserve"> </w:t>
      </w:r>
      <w:r>
        <w:rPr>
          <w:spacing w:val="-9"/>
          <w:sz w:val="24"/>
          <w:szCs w:val="24"/>
        </w:rPr>
        <w:t>月</w:t>
      </w:r>
      <w:r>
        <w:rPr>
          <w:sz w:val="24"/>
          <w:szCs w:val="24"/>
          <w:u w:val="single" w:color="auto"/>
        </w:rPr>
        <w:t xml:space="preserve">    </w:t>
      </w:r>
      <w:r>
        <w:rPr>
          <w:spacing w:val="-69"/>
          <w:sz w:val="24"/>
          <w:szCs w:val="24"/>
        </w:rPr>
        <w:t xml:space="preserve"> </w:t>
      </w:r>
      <w:r>
        <w:rPr>
          <w:spacing w:val="-9"/>
          <w:sz w:val="24"/>
          <w:szCs w:val="24"/>
        </w:rPr>
        <w:t>日</w:t>
      </w:r>
    </w:p>
    <w:p w14:paraId="0A3A2CC5">
      <w:pPr>
        <w:spacing w:line="220" w:lineRule="auto"/>
        <w:rPr>
          <w:sz w:val="24"/>
          <w:szCs w:val="24"/>
        </w:rPr>
        <w:sectPr>
          <w:footerReference r:id="rId22" w:type="default"/>
          <w:pgSz w:w="11905" w:h="16838"/>
          <w:pgMar w:top="841" w:right="1368" w:bottom="799" w:left="1417" w:header="0" w:footer="548" w:gutter="0"/>
          <w:pgNumType w:fmt="decimal"/>
          <w:cols w:space="720" w:num="1"/>
        </w:sectPr>
      </w:pPr>
    </w:p>
    <w:p w14:paraId="5AFFE5B3">
      <w:pPr>
        <w:pStyle w:val="3"/>
        <w:spacing w:before="78" w:line="220" w:lineRule="auto"/>
        <w:ind w:left="3401"/>
        <w:outlineLvl w:val="6"/>
        <w:rPr>
          <w:sz w:val="24"/>
          <w:szCs w:val="24"/>
        </w:rPr>
      </w:pPr>
      <w:r>
        <w:rPr>
          <w:spacing w:val="-1"/>
          <w:sz w:val="24"/>
          <w:szCs w:val="24"/>
          <w14:textOutline w14:w="4354">
            <w14:solidFill>
              <w14:srgbClr w14:val="000000"/>
            </w14:solidFill>
            <w14:prstDash w14:val="solid"/>
            <w14:miter w14:val="0"/>
          </w14:textOutline>
        </w:rPr>
        <w:t>2.企业法定代表人授权书</w:t>
      </w:r>
    </w:p>
    <w:p w14:paraId="5EEC783A">
      <w:pPr>
        <w:spacing w:line="278" w:lineRule="auto"/>
        <w:rPr>
          <w:rFonts w:ascii="Arial"/>
          <w:sz w:val="21"/>
        </w:rPr>
      </w:pPr>
    </w:p>
    <w:p w14:paraId="36A4152A">
      <w:pPr>
        <w:spacing w:line="279" w:lineRule="auto"/>
        <w:rPr>
          <w:rFonts w:ascii="Arial"/>
          <w:sz w:val="21"/>
        </w:rPr>
      </w:pPr>
    </w:p>
    <w:p w14:paraId="7A887BC2">
      <w:pPr>
        <w:pStyle w:val="3"/>
        <w:tabs>
          <w:tab w:val="left" w:pos="135"/>
          <w:tab w:val="left" w:pos="9250"/>
        </w:tabs>
        <w:spacing w:before="78" w:line="523" w:lineRule="auto"/>
        <w:ind w:right="48" w:firstLine="533"/>
        <w:jc w:val="both"/>
        <w:rPr>
          <w:sz w:val="24"/>
          <w:szCs w:val="24"/>
        </w:rPr>
      </w:pPr>
      <w:r>
        <w:rPr>
          <w:spacing w:val="2"/>
          <w:sz w:val="24"/>
          <w:szCs w:val="24"/>
        </w:rPr>
        <w:t>本人</w:t>
      </w:r>
      <w:r>
        <w:rPr>
          <w:spacing w:val="-118"/>
          <w:sz w:val="24"/>
          <w:szCs w:val="24"/>
        </w:rPr>
        <w:t xml:space="preserve"> </w:t>
      </w:r>
      <w:r>
        <w:rPr>
          <w:spacing w:val="2"/>
          <w:sz w:val="24"/>
          <w:szCs w:val="24"/>
          <w:u w:val="single" w:color="auto"/>
        </w:rPr>
        <w:t xml:space="preserve">         </w:t>
      </w:r>
      <w:r>
        <w:rPr>
          <w:spacing w:val="2"/>
          <w:sz w:val="24"/>
          <w:szCs w:val="24"/>
        </w:rPr>
        <w:t>（姓名）系</w:t>
      </w:r>
      <w:r>
        <w:rPr>
          <w:spacing w:val="-118"/>
          <w:sz w:val="24"/>
          <w:szCs w:val="24"/>
        </w:rPr>
        <w:t xml:space="preserve"> </w:t>
      </w:r>
      <w:r>
        <w:rPr>
          <w:spacing w:val="2"/>
          <w:sz w:val="24"/>
          <w:szCs w:val="24"/>
          <w:u w:val="single" w:color="auto"/>
        </w:rPr>
        <w:t xml:space="preserve">         </w:t>
      </w:r>
      <w:r>
        <w:rPr>
          <w:spacing w:val="1"/>
          <w:sz w:val="24"/>
          <w:szCs w:val="24"/>
          <w:u w:val="single" w:color="auto"/>
        </w:rPr>
        <w:t xml:space="preserve">   </w:t>
      </w:r>
      <w:r>
        <w:rPr>
          <w:spacing w:val="1"/>
          <w:sz w:val="24"/>
          <w:szCs w:val="24"/>
        </w:rPr>
        <w:t>（</w:t>
      </w:r>
      <w:r>
        <w:rPr>
          <w:rFonts w:hint="eastAsia"/>
          <w:spacing w:val="1"/>
          <w:sz w:val="24"/>
          <w:szCs w:val="24"/>
          <w:lang w:eastAsia="zh-CN"/>
        </w:rPr>
        <w:t>供应商</w:t>
      </w:r>
      <w:r>
        <w:rPr>
          <w:spacing w:val="1"/>
          <w:sz w:val="24"/>
          <w:szCs w:val="24"/>
        </w:rPr>
        <w:t>名称）的法定代表人，现委托</w:t>
      </w:r>
      <w:r>
        <w:rPr>
          <w:spacing w:val="-119"/>
          <w:sz w:val="24"/>
          <w:szCs w:val="24"/>
        </w:rPr>
        <w:t xml:space="preserve"> </w:t>
      </w:r>
      <w:r>
        <w:rPr>
          <w:sz w:val="24"/>
          <w:szCs w:val="24"/>
          <w:u w:val="single" w:color="auto"/>
        </w:rPr>
        <w:tab/>
      </w:r>
      <w:r>
        <w:rPr>
          <w:sz w:val="24"/>
          <w:szCs w:val="24"/>
        </w:rPr>
        <w:t xml:space="preserve"> </w:t>
      </w:r>
      <w:r>
        <w:rPr>
          <w:sz w:val="24"/>
          <w:szCs w:val="24"/>
          <w:u w:val="single" w:color="auto"/>
        </w:rPr>
        <w:tab/>
      </w:r>
      <w:r>
        <w:rPr>
          <w:spacing w:val="-3"/>
          <w:sz w:val="24"/>
          <w:szCs w:val="24"/>
          <w:u w:val="single" w:color="auto"/>
        </w:rPr>
        <w:t xml:space="preserve">（姓名）   </w:t>
      </w:r>
      <w:r>
        <w:rPr>
          <w:spacing w:val="-107"/>
          <w:sz w:val="24"/>
          <w:szCs w:val="24"/>
        </w:rPr>
        <w:t xml:space="preserve"> </w:t>
      </w:r>
      <w:r>
        <w:rPr>
          <w:spacing w:val="-3"/>
          <w:sz w:val="24"/>
          <w:szCs w:val="24"/>
        </w:rPr>
        <w:t>为我方代理人。代理人根据授权，</w:t>
      </w:r>
      <w:r>
        <w:rPr>
          <w:spacing w:val="-4"/>
          <w:sz w:val="24"/>
          <w:szCs w:val="24"/>
        </w:rPr>
        <w:t>以我方名义签署、澄清、说明、补正、递</w:t>
      </w:r>
      <w:r>
        <w:rPr>
          <w:sz w:val="24"/>
          <w:szCs w:val="24"/>
        </w:rPr>
        <w:t xml:space="preserve"> </w:t>
      </w:r>
      <w:r>
        <w:rPr>
          <w:spacing w:val="-2"/>
          <w:sz w:val="24"/>
          <w:szCs w:val="24"/>
        </w:rPr>
        <w:t>交、撤回、修改</w:t>
      </w:r>
      <w:r>
        <w:rPr>
          <w:spacing w:val="-120"/>
          <w:sz w:val="24"/>
          <w:szCs w:val="24"/>
        </w:rPr>
        <w:t xml:space="preserve"> </w:t>
      </w:r>
      <w:r>
        <w:rPr>
          <w:sz w:val="24"/>
          <w:szCs w:val="24"/>
          <w:u w:val="single" w:color="auto"/>
        </w:rPr>
        <w:t xml:space="preserve">                       </w:t>
      </w:r>
      <w:r>
        <w:rPr>
          <w:spacing w:val="-55"/>
          <w:sz w:val="24"/>
          <w:szCs w:val="24"/>
        </w:rPr>
        <w:t xml:space="preserve"> </w:t>
      </w:r>
      <w:r>
        <w:rPr>
          <w:spacing w:val="-2"/>
          <w:sz w:val="24"/>
          <w:szCs w:val="24"/>
        </w:rPr>
        <w:t>（项目名称）投标文件、签订合同和处理</w:t>
      </w:r>
      <w:r>
        <w:rPr>
          <w:spacing w:val="-3"/>
          <w:sz w:val="24"/>
          <w:szCs w:val="24"/>
        </w:rPr>
        <w:t>有关</w:t>
      </w:r>
    </w:p>
    <w:p w14:paraId="4A259330">
      <w:pPr>
        <w:pStyle w:val="3"/>
        <w:spacing w:line="220" w:lineRule="auto"/>
        <w:ind w:left="9"/>
        <w:rPr>
          <w:sz w:val="24"/>
          <w:szCs w:val="24"/>
        </w:rPr>
      </w:pPr>
      <w:r>
        <w:rPr>
          <w:spacing w:val="-11"/>
          <w:sz w:val="24"/>
          <w:szCs w:val="24"/>
        </w:rPr>
        <w:t>事宜，其法律后果由我方承担。  委托期限：</w:t>
      </w:r>
      <w:r>
        <w:rPr>
          <w:spacing w:val="30"/>
          <w:sz w:val="24"/>
          <w:szCs w:val="24"/>
        </w:rPr>
        <w:t xml:space="preserve"> </w:t>
      </w:r>
      <w:r>
        <w:rPr>
          <w:spacing w:val="15"/>
          <w:sz w:val="24"/>
          <w:szCs w:val="24"/>
          <w:u w:val="single" w:color="auto"/>
        </w:rPr>
        <w:t xml:space="preserve">        </w:t>
      </w:r>
      <w:r>
        <w:rPr>
          <w:spacing w:val="-87"/>
          <w:sz w:val="24"/>
          <w:szCs w:val="24"/>
        </w:rPr>
        <w:t xml:space="preserve"> </w:t>
      </w:r>
      <w:r>
        <w:rPr>
          <w:spacing w:val="-11"/>
          <w:sz w:val="24"/>
          <w:szCs w:val="24"/>
        </w:rPr>
        <w:t>。代理人无转委托权。</w:t>
      </w:r>
    </w:p>
    <w:p w14:paraId="00036814">
      <w:pPr>
        <w:spacing w:line="313" w:lineRule="auto"/>
        <w:rPr>
          <w:rFonts w:ascii="Arial"/>
          <w:sz w:val="21"/>
        </w:rPr>
      </w:pPr>
    </w:p>
    <w:p w14:paraId="77333306">
      <w:pPr>
        <w:pStyle w:val="3"/>
        <w:spacing w:before="78" w:line="220" w:lineRule="auto"/>
        <w:ind w:left="618"/>
        <w:rPr>
          <w:sz w:val="24"/>
          <w:szCs w:val="24"/>
        </w:rPr>
      </w:pPr>
      <w:r>
        <w:rPr>
          <w:spacing w:val="-3"/>
          <w:sz w:val="24"/>
          <w:szCs w:val="24"/>
        </w:rPr>
        <w:t>附：法定代表人身份证明和委托代理人身份证原件扫描件。</w:t>
      </w:r>
    </w:p>
    <w:p w14:paraId="2B681A79">
      <w:pPr>
        <w:spacing w:line="247" w:lineRule="auto"/>
        <w:rPr>
          <w:rFonts w:ascii="Arial"/>
          <w:sz w:val="21"/>
        </w:rPr>
      </w:pPr>
    </w:p>
    <w:p w14:paraId="62FBB1C0">
      <w:pPr>
        <w:spacing w:line="247" w:lineRule="auto"/>
        <w:rPr>
          <w:rFonts w:ascii="Arial"/>
          <w:sz w:val="21"/>
        </w:rPr>
      </w:pPr>
    </w:p>
    <w:p w14:paraId="68D9FE58">
      <w:pPr>
        <w:spacing w:line="248" w:lineRule="auto"/>
        <w:rPr>
          <w:rFonts w:ascii="Arial"/>
          <w:sz w:val="21"/>
        </w:rPr>
      </w:pPr>
    </w:p>
    <w:p w14:paraId="57E090B6">
      <w:pPr>
        <w:spacing w:line="248" w:lineRule="auto"/>
        <w:rPr>
          <w:rFonts w:ascii="Arial"/>
          <w:sz w:val="21"/>
        </w:rPr>
      </w:pPr>
    </w:p>
    <w:p w14:paraId="45F4CE7A">
      <w:pPr>
        <w:pStyle w:val="3"/>
        <w:spacing w:before="78" w:line="523" w:lineRule="auto"/>
        <w:ind w:left="190"/>
        <w:rPr>
          <w:sz w:val="24"/>
          <w:szCs w:val="24"/>
        </w:rPr>
      </w:pPr>
      <w:r>
        <w:rPr>
          <w:spacing w:val="-24"/>
          <w:sz w:val="24"/>
          <w:szCs w:val="24"/>
        </w:rPr>
        <w:t>法定代表人</w:t>
      </w:r>
      <w:r>
        <w:rPr>
          <w:spacing w:val="-27"/>
          <w:sz w:val="24"/>
          <w:szCs w:val="24"/>
        </w:rPr>
        <w:t>：</w:t>
      </w:r>
      <w:r>
        <w:rPr>
          <w:spacing w:val="56"/>
          <w:sz w:val="24"/>
          <w:szCs w:val="24"/>
        </w:rPr>
        <w:t xml:space="preserve"> </w:t>
      </w:r>
      <w:r>
        <w:rPr>
          <w:sz w:val="24"/>
          <w:szCs w:val="24"/>
          <w:u w:val="single" w:color="auto"/>
        </w:rPr>
        <w:t xml:space="preserve">                      </w:t>
      </w:r>
      <w:r>
        <w:rPr>
          <w:spacing w:val="16"/>
          <w:sz w:val="24"/>
          <w:szCs w:val="24"/>
        </w:rPr>
        <w:t xml:space="preserve"> </w:t>
      </w:r>
      <w:r>
        <w:rPr>
          <w:spacing w:val="-27"/>
          <w:sz w:val="24"/>
          <w:szCs w:val="24"/>
        </w:rPr>
        <w:t>（</w:t>
      </w:r>
      <w:r>
        <w:rPr>
          <w:spacing w:val="-24"/>
          <w:sz w:val="24"/>
          <w:szCs w:val="24"/>
        </w:rPr>
        <w:t>签字或盖章）</w:t>
      </w:r>
    </w:p>
    <w:p w14:paraId="1E7C89E1">
      <w:pPr>
        <w:pStyle w:val="3"/>
        <w:spacing w:line="220" w:lineRule="auto"/>
        <w:ind w:left="195"/>
        <w:rPr>
          <w:sz w:val="24"/>
          <w:szCs w:val="24"/>
        </w:rPr>
      </w:pPr>
      <w:r>
        <w:rPr>
          <w:spacing w:val="-28"/>
          <w:w w:val="98"/>
          <w:sz w:val="24"/>
          <w:szCs w:val="24"/>
        </w:rPr>
        <w:t>身份证号码：</w:t>
      </w:r>
      <w:r>
        <w:rPr>
          <w:spacing w:val="59"/>
          <w:sz w:val="24"/>
          <w:szCs w:val="24"/>
        </w:rPr>
        <w:t xml:space="preserve"> </w:t>
      </w:r>
      <w:r>
        <w:rPr>
          <w:sz w:val="24"/>
          <w:szCs w:val="24"/>
          <w:u w:val="single" w:color="auto"/>
        </w:rPr>
        <w:t xml:space="preserve">                      </w:t>
      </w:r>
    </w:p>
    <w:p w14:paraId="5029EBA9">
      <w:pPr>
        <w:spacing w:line="313" w:lineRule="auto"/>
        <w:rPr>
          <w:rFonts w:ascii="Arial"/>
          <w:sz w:val="21"/>
        </w:rPr>
      </w:pPr>
    </w:p>
    <w:p w14:paraId="1B175ABD">
      <w:pPr>
        <w:pStyle w:val="3"/>
        <w:spacing w:before="79" w:line="523" w:lineRule="auto"/>
        <w:ind w:left="188"/>
        <w:rPr>
          <w:sz w:val="24"/>
          <w:szCs w:val="24"/>
        </w:rPr>
      </w:pPr>
      <w:r>
        <w:rPr>
          <w:spacing w:val="-24"/>
          <w:sz w:val="24"/>
          <w:szCs w:val="24"/>
        </w:rPr>
        <w:t>委托代理人</w:t>
      </w:r>
      <w:r>
        <w:rPr>
          <w:spacing w:val="-26"/>
          <w:sz w:val="24"/>
          <w:szCs w:val="24"/>
        </w:rPr>
        <w:t>：</w:t>
      </w:r>
      <w:r>
        <w:rPr>
          <w:spacing w:val="56"/>
          <w:sz w:val="24"/>
          <w:szCs w:val="24"/>
        </w:rPr>
        <w:t xml:space="preserve"> </w:t>
      </w:r>
      <w:r>
        <w:rPr>
          <w:sz w:val="24"/>
          <w:szCs w:val="24"/>
          <w:u w:val="single" w:color="auto"/>
        </w:rPr>
        <w:t xml:space="preserve">                      </w:t>
      </w:r>
      <w:r>
        <w:rPr>
          <w:spacing w:val="16"/>
          <w:sz w:val="24"/>
          <w:szCs w:val="24"/>
        </w:rPr>
        <w:t xml:space="preserve"> </w:t>
      </w:r>
      <w:r>
        <w:rPr>
          <w:spacing w:val="-26"/>
          <w:sz w:val="24"/>
          <w:szCs w:val="24"/>
        </w:rPr>
        <w:t>（</w:t>
      </w:r>
      <w:r>
        <w:rPr>
          <w:spacing w:val="-24"/>
          <w:sz w:val="24"/>
          <w:szCs w:val="24"/>
        </w:rPr>
        <w:t>签字或盖章）</w:t>
      </w:r>
    </w:p>
    <w:p w14:paraId="372875B0">
      <w:pPr>
        <w:pStyle w:val="3"/>
        <w:spacing w:line="220" w:lineRule="auto"/>
        <w:ind w:left="195"/>
        <w:rPr>
          <w:sz w:val="24"/>
          <w:szCs w:val="24"/>
        </w:rPr>
      </w:pPr>
      <w:r>
        <w:rPr>
          <w:spacing w:val="-28"/>
          <w:w w:val="98"/>
          <w:sz w:val="24"/>
          <w:szCs w:val="24"/>
        </w:rPr>
        <w:t>身份证号码：</w:t>
      </w:r>
      <w:r>
        <w:rPr>
          <w:spacing w:val="59"/>
          <w:sz w:val="24"/>
          <w:szCs w:val="24"/>
        </w:rPr>
        <w:t xml:space="preserve"> </w:t>
      </w:r>
      <w:r>
        <w:rPr>
          <w:sz w:val="24"/>
          <w:szCs w:val="24"/>
          <w:u w:val="single" w:color="auto"/>
        </w:rPr>
        <w:t xml:space="preserve">                      </w:t>
      </w:r>
    </w:p>
    <w:p w14:paraId="110BCB7E">
      <w:pPr>
        <w:spacing w:line="247" w:lineRule="auto"/>
        <w:rPr>
          <w:rFonts w:ascii="Arial"/>
          <w:sz w:val="21"/>
        </w:rPr>
      </w:pPr>
    </w:p>
    <w:p w14:paraId="1B72976B">
      <w:pPr>
        <w:spacing w:line="247" w:lineRule="auto"/>
        <w:rPr>
          <w:rFonts w:ascii="Arial"/>
          <w:sz w:val="21"/>
        </w:rPr>
      </w:pPr>
    </w:p>
    <w:p w14:paraId="1386CCAF">
      <w:pPr>
        <w:spacing w:line="247" w:lineRule="auto"/>
        <w:rPr>
          <w:rFonts w:ascii="Arial"/>
          <w:sz w:val="21"/>
        </w:rPr>
      </w:pPr>
    </w:p>
    <w:p w14:paraId="2F622C2B">
      <w:pPr>
        <w:spacing w:line="248" w:lineRule="auto"/>
        <w:rPr>
          <w:rFonts w:ascii="Arial"/>
          <w:sz w:val="21"/>
        </w:rPr>
      </w:pPr>
    </w:p>
    <w:p w14:paraId="365AABF9">
      <w:pPr>
        <w:pStyle w:val="3"/>
        <w:spacing w:before="79" w:line="523" w:lineRule="auto"/>
        <w:ind w:right="39"/>
        <w:jc w:val="right"/>
        <w:rPr>
          <w:sz w:val="24"/>
          <w:szCs w:val="24"/>
        </w:rPr>
      </w:pPr>
      <w:r>
        <w:rPr>
          <w:rFonts w:hint="eastAsia"/>
          <w:spacing w:val="-26"/>
          <w:sz w:val="24"/>
          <w:szCs w:val="24"/>
          <w:lang w:eastAsia="zh-CN"/>
        </w:rPr>
        <w:t>供应商</w:t>
      </w:r>
      <w:r>
        <w:rPr>
          <w:spacing w:val="-26"/>
          <w:sz w:val="24"/>
          <w:szCs w:val="24"/>
        </w:rPr>
        <w:t>名称</w:t>
      </w:r>
      <w:r>
        <w:rPr>
          <w:spacing w:val="-28"/>
          <w:sz w:val="24"/>
          <w:szCs w:val="24"/>
        </w:rPr>
        <w:t>：</w:t>
      </w:r>
      <w:r>
        <w:rPr>
          <w:spacing w:val="56"/>
          <w:sz w:val="24"/>
          <w:szCs w:val="24"/>
        </w:rPr>
        <w:t xml:space="preserve"> </w:t>
      </w:r>
      <w:r>
        <w:rPr>
          <w:spacing w:val="5"/>
          <w:sz w:val="24"/>
          <w:szCs w:val="24"/>
          <w:u w:val="single" w:color="auto"/>
        </w:rPr>
        <w:t xml:space="preserve">                       </w:t>
      </w:r>
      <w:r>
        <w:rPr>
          <w:spacing w:val="21"/>
          <w:sz w:val="24"/>
          <w:szCs w:val="24"/>
        </w:rPr>
        <w:t xml:space="preserve"> </w:t>
      </w:r>
      <w:r>
        <w:rPr>
          <w:spacing w:val="-28"/>
          <w:sz w:val="24"/>
          <w:szCs w:val="24"/>
        </w:rPr>
        <w:t>（</w:t>
      </w:r>
      <w:r>
        <w:rPr>
          <w:spacing w:val="-26"/>
          <w:sz w:val="24"/>
          <w:szCs w:val="24"/>
        </w:rPr>
        <w:t>盖单位章）</w:t>
      </w:r>
    </w:p>
    <w:p w14:paraId="43CA6186">
      <w:pPr>
        <w:pStyle w:val="3"/>
        <w:tabs>
          <w:tab w:val="left" w:pos="6134"/>
        </w:tabs>
        <w:spacing w:line="220" w:lineRule="auto"/>
        <w:ind w:left="5414"/>
        <w:rPr>
          <w:sz w:val="24"/>
          <w:szCs w:val="24"/>
        </w:rPr>
      </w:pPr>
      <w:r>
        <w:rPr>
          <w:sz w:val="24"/>
          <w:szCs w:val="24"/>
          <w:u w:val="single" w:color="auto"/>
        </w:rPr>
        <w:tab/>
      </w:r>
      <w:r>
        <w:rPr>
          <w:spacing w:val="-110"/>
          <w:sz w:val="24"/>
          <w:szCs w:val="24"/>
        </w:rPr>
        <w:t xml:space="preserve"> </w:t>
      </w:r>
      <w:r>
        <w:rPr>
          <w:spacing w:val="-9"/>
          <w:sz w:val="24"/>
          <w:szCs w:val="24"/>
        </w:rPr>
        <w:t>年</w:t>
      </w:r>
      <w:r>
        <w:rPr>
          <w:sz w:val="24"/>
          <w:szCs w:val="24"/>
          <w:u w:val="single" w:color="auto"/>
        </w:rPr>
        <w:t xml:space="preserve">    </w:t>
      </w:r>
      <w:r>
        <w:rPr>
          <w:spacing w:val="-105"/>
          <w:sz w:val="24"/>
          <w:szCs w:val="24"/>
        </w:rPr>
        <w:t xml:space="preserve"> </w:t>
      </w:r>
      <w:r>
        <w:rPr>
          <w:spacing w:val="-9"/>
          <w:sz w:val="24"/>
          <w:szCs w:val="24"/>
        </w:rPr>
        <w:t>月</w:t>
      </w:r>
      <w:r>
        <w:rPr>
          <w:sz w:val="24"/>
          <w:szCs w:val="24"/>
          <w:u w:val="single" w:color="auto"/>
        </w:rPr>
        <w:t xml:space="preserve">    </w:t>
      </w:r>
      <w:r>
        <w:rPr>
          <w:spacing w:val="-69"/>
          <w:sz w:val="24"/>
          <w:szCs w:val="24"/>
        </w:rPr>
        <w:t xml:space="preserve"> </w:t>
      </w:r>
      <w:r>
        <w:rPr>
          <w:spacing w:val="-9"/>
          <w:sz w:val="24"/>
          <w:szCs w:val="24"/>
        </w:rPr>
        <w:t>日</w:t>
      </w:r>
    </w:p>
    <w:p w14:paraId="0971BFD8">
      <w:pPr>
        <w:spacing w:line="255" w:lineRule="auto"/>
        <w:rPr>
          <w:rFonts w:ascii="Arial"/>
          <w:sz w:val="21"/>
        </w:rPr>
      </w:pPr>
    </w:p>
    <w:p w14:paraId="3A807AEF">
      <w:pPr>
        <w:spacing w:line="255" w:lineRule="auto"/>
        <w:rPr>
          <w:rFonts w:ascii="Arial"/>
          <w:sz w:val="21"/>
        </w:rPr>
      </w:pPr>
    </w:p>
    <w:p w14:paraId="77AAD88D">
      <w:pPr>
        <w:spacing w:line="255" w:lineRule="auto"/>
        <w:rPr>
          <w:rFonts w:ascii="Arial"/>
          <w:sz w:val="21"/>
        </w:rPr>
      </w:pPr>
    </w:p>
    <w:p w14:paraId="7B4825A5">
      <w:pPr>
        <w:spacing w:line="255" w:lineRule="auto"/>
        <w:rPr>
          <w:rFonts w:ascii="Arial"/>
          <w:sz w:val="21"/>
        </w:rPr>
      </w:pPr>
    </w:p>
    <w:p w14:paraId="25FF32FE">
      <w:pPr>
        <w:spacing w:line="256" w:lineRule="auto"/>
        <w:rPr>
          <w:rFonts w:ascii="Arial"/>
          <w:sz w:val="21"/>
        </w:rPr>
      </w:pPr>
    </w:p>
    <w:p w14:paraId="1E88F41B">
      <w:pPr>
        <w:spacing w:line="256" w:lineRule="auto"/>
        <w:rPr>
          <w:rFonts w:ascii="Arial"/>
          <w:sz w:val="21"/>
        </w:rPr>
      </w:pPr>
    </w:p>
    <w:p w14:paraId="76186552">
      <w:pPr>
        <w:spacing w:line="256" w:lineRule="auto"/>
        <w:rPr>
          <w:rFonts w:ascii="Arial"/>
          <w:sz w:val="21"/>
        </w:rPr>
      </w:pPr>
    </w:p>
    <w:p w14:paraId="0571D13B">
      <w:pPr>
        <w:spacing w:line="256" w:lineRule="auto"/>
        <w:rPr>
          <w:rFonts w:ascii="Arial"/>
          <w:sz w:val="21"/>
        </w:rPr>
      </w:pPr>
    </w:p>
    <w:p w14:paraId="056AB982">
      <w:pPr>
        <w:spacing w:line="256" w:lineRule="auto"/>
        <w:rPr>
          <w:rFonts w:ascii="Arial"/>
          <w:sz w:val="21"/>
        </w:rPr>
      </w:pPr>
    </w:p>
    <w:p w14:paraId="72C1702E">
      <w:pPr>
        <w:spacing w:line="256" w:lineRule="auto"/>
        <w:rPr>
          <w:rFonts w:ascii="Arial"/>
          <w:sz w:val="21"/>
        </w:rPr>
      </w:pPr>
    </w:p>
    <w:p w14:paraId="4E87485C">
      <w:pPr>
        <w:spacing w:line="256" w:lineRule="auto"/>
        <w:rPr>
          <w:rFonts w:ascii="Arial"/>
          <w:sz w:val="21"/>
        </w:rPr>
      </w:pPr>
    </w:p>
    <w:p w14:paraId="0F5452E2">
      <w:pPr>
        <w:spacing w:line="256" w:lineRule="auto"/>
        <w:rPr>
          <w:rFonts w:ascii="Arial"/>
          <w:sz w:val="21"/>
        </w:rPr>
      </w:pPr>
    </w:p>
    <w:p w14:paraId="4F33C204">
      <w:pPr>
        <w:spacing w:line="256" w:lineRule="auto"/>
        <w:rPr>
          <w:rFonts w:ascii="Arial"/>
          <w:sz w:val="21"/>
        </w:rPr>
      </w:pPr>
    </w:p>
    <w:p w14:paraId="77F9EC28">
      <w:pPr>
        <w:spacing w:line="256" w:lineRule="auto"/>
        <w:rPr>
          <w:rFonts w:ascii="Arial"/>
          <w:sz w:val="21"/>
        </w:rPr>
      </w:pPr>
    </w:p>
    <w:p w14:paraId="57171A08">
      <w:pPr>
        <w:pStyle w:val="3"/>
        <w:spacing w:before="79" w:line="220" w:lineRule="auto"/>
        <w:ind w:left="189"/>
        <w:rPr>
          <w:sz w:val="24"/>
          <w:szCs w:val="24"/>
        </w:rPr>
      </w:pPr>
      <w:r>
        <w:rPr>
          <w:spacing w:val="1"/>
          <w:sz w:val="24"/>
          <w:szCs w:val="24"/>
          <w14:textOutline w14:w="4354">
            <w14:solidFill>
              <w14:srgbClr w14:val="000000"/>
            </w14:solidFill>
            <w14:prstDash w14:val="solid"/>
            <w14:miter w14:val="0"/>
          </w14:textOutline>
        </w:rPr>
        <w:t>注：无授权的无须提供企业法定代表人授权书，</w:t>
      </w:r>
      <w:r>
        <w:rPr>
          <w:sz w:val="24"/>
          <w:szCs w:val="24"/>
          <w14:textOutline w14:w="4354">
            <w14:solidFill>
              <w14:srgbClr w14:val="000000"/>
            </w14:solidFill>
            <w14:prstDash w14:val="solid"/>
            <w14:miter w14:val="0"/>
          </w14:textOutline>
        </w:rPr>
        <w:t>仅提供法定代表人身份证明即可。</w:t>
      </w:r>
    </w:p>
    <w:p w14:paraId="74228831">
      <w:pPr>
        <w:spacing w:line="220" w:lineRule="auto"/>
        <w:rPr>
          <w:sz w:val="24"/>
          <w:szCs w:val="24"/>
        </w:rPr>
        <w:sectPr>
          <w:footerReference r:id="rId23" w:type="default"/>
          <w:pgSz w:w="11905" w:h="16838"/>
          <w:pgMar w:top="841" w:right="1368" w:bottom="799" w:left="1237" w:header="0" w:footer="548" w:gutter="0"/>
          <w:pgNumType w:fmt="decimal"/>
          <w:cols w:space="720" w:num="1"/>
        </w:sectPr>
      </w:pPr>
    </w:p>
    <w:p w14:paraId="1F3FDAF9">
      <w:pPr>
        <w:pStyle w:val="3"/>
        <w:spacing w:before="91" w:line="220" w:lineRule="auto"/>
        <w:ind w:left="3448"/>
        <w:outlineLvl w:val="6"/>
        <w:rPr>
          <w:sz w:val="28"/>
          <w:szCs w:val="28"/>
        </w:rPr>
      </w:pPr>
      <w:r>
        <w:rPr>
          <w:spacing w:val="-4"/>
          <w:sz w:val="28"/>
          <w:szCs w:val="28"/>
          <w14:textOutline w14:w="5080">
            <w14:solidFill>
              <w14:srgbClr w14:val="000000"/>
            </w14:solidFill>
            <w14:prstDash w14:val="solid"/>
            <w14:miter w14:val="0"/>
          </w14:textOutline>
        </w:rPr>
        <w:t>四、资格证明文件</w:t>
      </w:r>
    </w:p>
    <w:p w14:paraId="6D250482">
      <w:pPr>
        <w:spacing w:line="244" w:lineRule="auto"/>
        <w:rPr>
          <w:rFonts w:ascii="Arial"/>
          <w:sz w:val="21"/>
        </w:rPr>
      </w:pPr>
    </w:p>
    <w:p w14:paraId="1A723B6C">
      <w:pPr>
        <w:pStyle w:val="3"/>
        <w:spacing w:before="78" w:line="467" w:lineRule="exact"/>
        <w:ind w:right="44"/>
        <w:jc w:val="right"/>
        <w:rPr>
          <w:sz w:val="24"/>
          <w:szCs w:val="24"/>
        </w:rPr>
      </w:pPr>
      <w:r>
        <w:rPr>
          <w:spacing w:val="-2"/>
          <w:position w:val="17"/>
          <w:sz w:val="24"/>
          <w:szCs w:val="24"/>
        </w:rPr>
        <w:t>注：后附营业执照等证明</w:t>
      </w:r>
      <w:r>
        <w:rPr>
          <w:rFonts w:hint="eastAsia"/>
          <w:spacing w:val="-2"/>
          <w:position w:val="17"/>
          <w:sz w:val="24"/>
          <w:szCs w:val="24"/>
          <w:lang w:eastAsia="zh-CN"/>
        </w:rPr>
        <w:t>供应商</w:t>
      </w:r>
      <w:r>
        <w:rPr>
          <w:spacing w:val="-2"/>
          <w:position w:val="17"/>
          <w:sz w:val="24"/>
          <w:szCs w:val="24"/>
        </w:rPr>
        <w:t>符合“申请人资</w:t>
      </w:r>
      <w:r>
        <w:rPr>
          <w:spacing w:val="-3"/>
          <w:position w:val="17"/>
          <w:sz w:val="24"/>
          <w:szCs w:val="24"/>
        </w:rPr>
        <w:t>格要求</w:t>
      </w:r>
      <w:r>
        <w:rPr>
          <w:spacing w:val="-88"/>
          <w:position w:val="17"/>
          <w:sz w:val="24"/>
          <w:szCs w:val="24"/>
        </w:rPr>
        <w:t xml:space="preserve"> </w:t>
      </w:r>
      <w:r>
        <w:rPr>
          <w:spacing w:val="-3"/>
          <w:position w:val="17"/>
          <w:sz w:val="24"/>
          <w:szCs w:val="24"/>
        </w:rPr>
        <w:t>”的相关证明材料原件或原</w:t>
      </w:r>
    </w:p>
    <w:p w14:paraId="27A7C6AD">
      <w:pPr>
        <w:pStyle w:val="3"/>
        <w:spacing w:line="219" w:lineRule="auto"/>
        <w:ind w:left="8"/>
        <w:rPr>
          <w:sz w:val="24"/>
          <w:szCs w:val="24"/>
        </w:rPr>
      </w:pPr>
      <w:r>
        <w:rPr>
          <w:spacing w:val="-2"/>
          <w:sz w:val="24"/>
          <w:szCs w:val="24"/>
        </w:rPr>
        <w:t>件扫描件并加盖</w:t>
      </w:r>
      <w:r>
        <w:rPr>
          <w:rFonts w:hint="eastAsia"/>
          <w:spacing w:val="-2"/>
          <w:sz w:val="24"/>
          <w:szCs w:val="24"/>
          <w:lang w:eastAsia="zh-CN"/>
        </w:rPr>
        <w:t>供应商</w:t>
      </w:r>
      <w:r>
        <w:rPr>
          <w:spacing w:val="-2"/>
          <w:sz w:val="24"/>
          <w:szCs w:val="24"/>
        </w:rPr>
        <w:t>单位章，证明</w:t>
      </w:r>
      <w:r>
        <w:rPr>
          <w:rFonts w:hint="eastAsia"/>
          <w:spacing w:val="-2"/>
          <w:sz w:val="24"/>
          <w:szCs w:val="24"/>
          <w:lang w:eastAsia="zh-CN"/>
        </w:rPr>
        <w:t>供应商</w:t>
      </w:r>
      <w:r>
        <w:rPr>
          <w:spacing w:val="-2"/>
          <w:sz w:val="24"/>
          <w:szCs w:val="24"/>
        </w:rPr>
        <w:t>为合格的。</w:t>
      </w:r>
    </w:p>
    <w:p w14:paraId="3EE8338F">
      <w:pPr>
        <w:spacing w:line="219" w:lineRule="auto"/>
        <w:rPr>
          <w:sz w:val="24"/>
          <w:szCs w:val="24"/>
        </w:rPr>
        <w:sectPr>
          <w:footerReference r:id="rId24" w:type="default"/>
          <w:pgSz w:w="11905" w:h="16838"/>
          <w:pgMar w:top="841" w:right="1368" w:bottom="799" w:left="1417" w:header="0" w:footer="548" w:gutter="0"/>
          <w:pgNumType w:fmt="decimal"/>
          <w:cols w:space="720" w:num="1"/>
        </w:sectPr>
      </w:pPr>
    </w:p>
    <w:p w14:paraId="0E1DFF71">
      <w:pPr>
        <w:pStyle w:val="3"/>
        <w:spacing w:before="91" w:line="220" w:lineRule="auto"/>
        <w:ind w:left="3145"/>
        <w:outlineLvl w:val="6"/>
        <w:rPr>
          <w:sz w:val="28"/>
          <w:szCs w:val="28"/>
        </w:rPr>
      </w:pPr>
      <w:r>
        <w:rPr>
          <w:spacing w:val="-1"/>
          <w:sz w:val="28"/>
          <w:szCs w:val="28"/>
          <w14:textOutline w14:w="5080">
            <w14:solidFill>
              <w14:srgbClr w14:val="000000"/>
            </w14:solidFill>
            <w14:prstDash w14:val="solid"/>
            <w14:miter w14:val="0"/>
          </w14:textOutline>
        </w:rPr>
        <w:t>五、反商业贿赂承诺书</w:t>
      </w:r>
    </w:p>
    <w:p w14:paraId="768C2906">
      <w:pPr>
        <w:spacing w:line="279" w:lineRule="auto"/>
        <w:rPr>
          <w:rFonts w:ascii="Arial"/>
          <w:sz w:val="21"/>
        </w:rPr>
      </w:pPr>
    </w:p>
    <w:p w14:paraId="0A99CD15">
      <w:pPr>
        <w:spacing w:line="280" w:lineRule="auto"/>
        <w:rPr>
          <w:rFonts w:ascii="Arial"/>
          <w:sz w:val="21"/>
        </w:rPr>
      </w:pPr>
    </w:p>
    <w:p w14:paraId="36A02E1E">
      <w:pPr>
        <w:pStyle w:val="3"/>
        <w:spacing w:before="78" w:line="220" w:lineRule="auto"/>
        <w:ind w:left="11"/>
        <w:rPr>
          <w:sz w:val="24"/>
          <w:szCs w:val="24"/>
        </w:rPr>
      </w:pPr>
      <w:r>
        <w:rPr>
          <w:spacing w:val="-5"/>
          <w:sz w:val="24"/>
          <w:szCs w:val="24"/>
        </w:rPr>
        <w:t>我（公司、单位、本人）承诺：</w:t>
      </w:r>
    </w:p>
    <w:p w14:paraId="170B4BDF">
      <w:pPr>
        <w:spacing w:line="335" w:lineRule="auto"/>
        <w:rPr>
          <w:rFonts w:ascii="Arial"/>
          <w:sz w:val="21"/>
        </w:rPr>
      </w:pPr>
    </w:p>
    <w:p w14:paraId="7CEBB6DF">
      <w:pPr>
        <w:pStyle w:val="3"/>
        <w:spacing w:before="78" w:line="538" w:lineRule="auto"/>
        <w:ind w:right="2"/>
        <w:jc w:val="right"/>
        <w:rPr>
          <w:sz w:val="24"/>
          <w:szCs w:val="24"/>
        </w:rPr>
      </w:pPr>
      <w:r>
        <w:rPr>
          <w:spacing w:val="14"/>
          <w:sz w:val="24"/>
          <w:szCs w:val="24"/>
        </w:rPr>
        <w:t>在</w:t>
      </w:r>
      <w:r>
        <w:rPr>
          <w:spacing w:val="-97"/>
          <w:sz w:val="24"/>
          <w:szCs w:val="24"/>
        </w:rPr>
        <w:t xml:space="preserve"> </w:t>
      </w:r>
      <w:r>
        <w:rPr>
          <w:sz w:val="24"/>
          <w:szCs w:val="24"/>
          <w:u w:val="single" w:color="auto"/>
        </w:rPr>
        <w:t xml:space="preserve">                            </w:t>
      </w:r>
      <w:r>
        <w:rPr>
          <w:spacing w:val="14"/>
          <w:sz w:val="24"/>
          <w:szCs w:val="24"/>
        </w:rPr>
        <w:t>（项目名称</w:t>
      </w:r>
      <w:r>
        <w:rPr>
          <w:spacing w:val="-13"/>
          <w:sz w:val="24"/>
          <w:szCs w:val="24"/>
        </w:rPr>
        <w:t>）</w:t>
      </w:r>
      <w:r>
        <w:rPr>
          <w:spacing w:val="-80"/>
          <w:sz w:val="24"/>
          <w:szCs w:val="24"/>
        </w:rPr>
        <w:t xml:space="preserve"> </w:t>
      </w:r>
      <w:r>
        <w:rPr>
          <w:spacing w:val="-13"/>
          <w:sz w:val="24"/>
          <w:szCs w:val="24"/>
        </w:rPr>
        <w:t>（</w:t>
      </w:r>
      <w:r>
        <w:rPr>
          <w:spacing w:val="14"/>
          <w:sz w:val="24"/>
          <w:szCs w:val="24"/>
        </w:rPr>
        <w:t>项目编号</w:t>
      </w:r>
      <w:r>
        <w:rPr>
          <w:spacing w:val="-13"/>
          <w:sz w:val="24"/>
          <w:szCs w:val="24"/>
        </w:rPr>
        <w:t>：</w:t>
      </w:r>
      <w:r>
        <w:rPr>
          <w:spacing w:val="-80"/>
          <w:sz w:val="24"/>
          <w:szCs w:val="24"/>
        </w:rPr>
        <w:t xml:space="preserve"> </w:t>
      </w:r>
      <w:r>
        <w:rPr>
          <w:spacing w:val="4"/>
          <w:sz w:val="24"/>
          <w:szCs w:val="24"/>
          <w:u w:val="single" w:color="auto"/>
        </w:rPr>
        <w:t xml:space="preserve">         </w:t>
      </w:r>
      <w:r>
        <w:rPr>
          <w:spacing w:val="-81"/>
          <w:sz w:val="24"/>
          <w:szCs w:val="24"/>
        </w:rPr>
        <w:t xml:space="preserve"> </w:t>
      </w:r>
      <w:r>
        <w:rPr>
          <w:spacing w:val="-13"/>
          <w:sz w:val="24"/>
          <w:szCs w:val="24"/>
        </w:rPr>
        <w:t>）</w:t>
      </w:r>
      <w:r>
        <w:rPr>
          <w:spacing w:val="14"/>
          <w:sz w:val="24"/>
          <w:szCs w:val="24"/>
        </w:rPr>
        <w:t>采购</w:t>
      </w:r>
    </w:p>
    <w:p w14:paraId="6C9C2CE9">
      <w:pPr>
        <w:pStyle w:val="3"/>
        <w:spacing w:line="219" w:lineRule="auto"/>
        <w:ind w:left="13"/>
        <w:rPr>
          <w:sz w:val="24"/>
          <w:szCs w:val="24"/>
        </w:rPr>
      </w:pPr>
      <w:r>
        <w:rPr>
          <w:spacing w:val="-4"/>
          <w:sz w:val="24"/>
          <w:szCs w:val="24"/>
        </w:rPr>
        <w:t>活动中，我（公司、单位、本人）保证做到：</w:t>
      </w:r>
    </w:p>
    <w:p w14:paraId="54035614">
      <w:pPr>
        <w:spacing w:line="333" w:lineRule="auto"/>
        <w:rPr>
          <w:rFonts w:ascii="Arial"/>
          <w:sz w:val="21"/>
        </w:rPr>
      </w:pPr>
    </w:p>
    <w:p w14:paraId="10356201">
      <w:pPr>
        <w:pStyle w:val="3"/>
        <w:spacing w:before="79" w:line="220" w:lineRule="auto"/>
        <w:ind w:left="583"/>
        <w:rPr>
          <w:sz w:val="24"/>
          <w:szCs w:val="24"/>
        </w:rPr>
      </w:pPr>
      <w:r>
        <w:rPr>
          <w:spacing w:val="-3"/>
          <w:sz w:val="24"/>
          <w:szCs w:val="24"/>
        </w:rPr>
        <w:t>一、公平竞争参加本次招标采购活动。</w:t>
      </w:r>
    </w:p>
    <w:p w14:paraId="6EC7A626">
      <w:pPr>
        <w:spacing w:line="335" w:lineRule="auto"/>
        <w:rPr>
          <w:rFonts w:ascii="Arial"/>
          <w:sz w:val="21"/>
        </w:rPr>
      </w:pPr>
    </w:p>
    <w:p w14:paraId="36CB9F28">
      <w:pPr>
        <w:pStyle w:val="3"/>
        <w:spacing w:before="79" w:line="538" w:lineRule="auto"/>
        <w:ind w:left="8" w:firstLine="574"/>
        <w:rPr>
          <w:sz w:val="24"/>
          <w:szCs w:val="24"/>
        </w:rPr>
      </w:pPr>
      <w:r>
        <w:rPr>
          <w:spacing w:val="-2"/>
          <w:sz w:val="24"/>
          <w:szCs w:val="24"/>
        </w:rPr>
        <w:t>二、杜绝任何形式的商业贿赂行为。不向国家工作人员、采购代理机构工作人员、</w:t>
      </w:r>
      <w:r>
        <w:rPr>
          <w:spacing w:val="4"/>
          <w:sz w:val="24"/>
          <w:szCs w:val="24"/>
        </w:rPr>
        <w:t xml:space="preserve"> </w:t>
      </w:r>
      <w:r>
        <w:rPr>
          <w:spacing w:val="-1"/>
          <w:sz w:val="24"/>
          <w:szCs w:val="24"/>
        </w:rPr>
        <w:t>评审专家及其亲属提供礼品礼金、有价证券、购物券、回扣、佣金、咨询</w:t>
      </w:r>
      <w:r>
        <w:rPr>
          <w:spacing w:val="-2"/>
          <w:sz w:val="24"/>
          <w:szCs w:val="24"/>
        </w:rPr>
        <w:t>费、劳务费、</w:t>
      </w:r>
    </w:p>
    <w:p w14:paraId="62833C95">
      <w:pPr>
        <w:pStyle w:val="3"/>
        <w:spacing w:line="219" w:lineRule="auto"/>
        <w:ind w:left="16"/>
        <w:rPr>
          <w:sz w:val="24"/>
          <w:szCs w:val="24"/>
        </w:rPr>
      </w:pPr>
      <w:r>
        <w:rPr>
          <w:spacing w:val="-1"/>
          <w:sz w:val="24"/>
          <w:szCs w:val="24"/>
        </w:rPr>
        <w:t>赞助费、宣传费、宴请；不为其报销各种消费凭</w:t>
      </w:r>
      <w:r>
        <w:rPr>
          <w:spacing w:val="-2"/>
          <w:sz w:val="24"/>
          <w:szCs w:val="24"/>
        </w:rPr>
        <w:t>证，不支付其旅游、娱乐等费用。</w:t>
      </w:r>
    </w:p>
    <w:p w14:paraId="5DE81B50">
      <w:pPr>
        <w:spacing w:line="334" w:lineRule="auto"/>
        <w:rPr>
          <w:rFonts w:ascii="Arial"/>
          <w:sz w:val="21"/>
        </w:rPr>
      </w:pPr>
    </w:p>
    <w:p w14:paraId="53E793CC">
      <w:pPr>
        <w:pStyle w:val="3"/>
        <w:spacing w:before="79" w:line="700" w:lineRule="exact"/>
        <w:ind w:left="579"/>
        <w:rPr>
          <w:sz w:val="24"/>
          <w:szCs w:val="24"/>
        </w:rPr>
      </w:pPr>
      <w:r>
        <w:rPr>
          <w:position w:val="35"/>
          <w:sz w:val="24"/>
          <w:szCs w:val="24"/>
        </w:rPr>
        <w:t>三、若出现上述行为，我（公司、单位、本人）及参与</w:t>
      </w:r>
      <w:r>
        <w:rPr>
          <w:spacing w:val="-1"/>
          <w:position w:val="35"/>
          <w:sz w:val="24"/>
          <w:szCs w:val="24"/>
        </w:rPr>
        <w:t>投标的工作人员愿意接受</w:t>
      </w:r>
    </w:p>
    <w:p w14:paraId="3A755A9B">
      <w:pPr>
        <w:pStyle w:val="3"/>
        <w:spacing w:line="220" w:lineRule="auto"/>
        <w:ind w:left="11"/>
        <w:rPr>
          <w:sz w:val="24"/>
          <w:szCs w:val="24"/>
        </w:rPr>
      </w:pPr>
      <w:r>
        <w:rPr>
          <w:spacing w:val="-3"/>
          <w:sz w:val="24"/>
          <w:szCs w:val="24"/>
        </w:rPr>
        <w:t>按照国家法律法规等有关规定给予的处罚。</w:t>
      </w:r>
    </w:p>
    <w:p w14:paraId="0DBF14B0">
      <w:pPr>
        <w:spacing w:line="245" w:lineRule="auto"/>
        <w:rPr>
          <w:rFonts w:ascii="Arial"/>
          <w:sz w:val="21"/>
        </w:rPr>
      </w:pPr>
    </w:p>
    <w:p w14:paraId="7BFA1F65">
      <w:pPr>
        <w:spacing w:line="245" w:lineRule="auto"/>
        <w:rPr>
          <w:rFonts w:ascii="Arial"/>
          <w:sz w:val="21"/>
        </w:rPr>
      </w:pPr>
    </w:p>
    <w:p w14:paraId="5709E081">
      <w:pPr>
        <w:spacing w:line="246" w:lineRule="auto"/>
        <w:rPr>
          <w:rFonts w:ascii="Arial"/>
          <w:sz w:val="21"/>
        </w:rPr>
      </w:pPr>
    </w:p>
    <w:p w14:paraId="381A4C18">
      <w:pPr>
        <w:spacing w:line="246" w:lineRule="auto"/>
        <w:rPr>
          <w:rFonts w:ascii="Arial"/>
          <w:sz w:val="21"/>
        </w:rPr>
      </w:pPr>
    </w:p>
    <w:p w14:paraId="5A3EF3E1">
      <w:pPr>
        <w:pStyle w:val="3"/>
        <w:spacing w:before="79" w:line="492" w:lineRule="auto"/>
        <w:ind w:left="4004" w:right="2"/>
        <w:jc w:val="right"/>
        <w:rPr>
          <w:sz w:val="24"/>
          <w:szCs w:val="24"/>
        </w:rPr>
      </w:pPr>
      <w:r>
        <w:rPr>
          <w:rFonts w:hint="eastAsia"/>
          <w:spacing w:val="-25"/>
          <w:w w:val="98"/>
          <w:sz w:val="24"/>
          <w:szCs w:val="24"/>
          <w:lang w:eastAsia="zh-CN"/>
        </w:rPr>
        <w:t>供应商</w:t>
      </w:r>
      <w:r>
        <w:rPr>
          <w:spacing w:val="-25"/>
          <w:w w:val="98"/>
          <w:sz w:val="24"/>
          <w:szCs w:val="24"/>
        </w:rPr>
        <w:t>名称</w:t>
      </w:r>
      <w:r>
        <w:rPr>
          <w:spacing w:val="-22"/>
          <w:sz w:val="24"/>
          <w:szCs w:val="24"/>
        </w:rPr>
        <w:t>：</w:t>
      </w:r>
      <w:r>
        <w:rPr>
          <w:spacing w:val="57"/>
          <w:sz w:val="24"/>
          <w:szCs w:val="24"/>
        </w:rPr>
        <w:t xml:space="preserve"> </w:t>
      </w:r>
      <w:r>
        <w:rPr>
          <w:sz w:val="24"/>
          <w:szCs w:val="24"/>
          <w:u w:val="single" w:color="auto"/>
        </w:rPr>
        <w:t xml:space="preserve">                   </w:t>
      </w:r>
      <w:r>
        <w:rPr>
          <w:spacing w:val="15"/>
          <w:sz w:val="24"/>
          <w:szCs w:val="24"/>
        </w:rPr>
        <w:t xml:space="preserve"> </w:t>
      </w:r>
      <w:r>
        <w:rPr>
          <w:spacing w:val="-22"/>
          <w:sz w:val="24"/>
          <w:szCs w:val="24"/>
        </w:rPr>
        <w:t>（</w:t>
      </w:r>
      <w:r>
        <w:rPr>
          <w:spacing w:val="-25"/>
          <w:w w:val="98"/>
          <w:sz w:val="24"/>
          <w:szCs w:val="24"/>
        </w:rPr>
        <w:t>盖单位章）</w:t>
      </w:r>
      <w:r>
        <w:rPr>
          <w:sz w:val="24"/>
          <w:szCs w:val="24"/>
        </w:rPr>
        <w:t xml:space="preserve"> </w:t>
      </w:r>
      <w:r>
        <w:rPr>
          <w:spacing w:val="-18"/>
          <w:sz w:val="24"/>
          <w:szCs w:val="24"/>
        </w:rPr>
        <w:t>法定代表人或委托代理人</w:t>
      </w:r>
      <w:r>
        <w:rPr>
          <w:spacing w:val="-17"/>
          <w:sz w:val="24"/>
          <w:szCs w:val="24"/>
        </w:rPr>
        <w:t>：</w:t>
      </w:r>
      <w:r>
        <w:rPr>
          <w:spacing w:val="57"/>
          <w:sz w:val="24"/>
          <w:szCs w:val="24"/>
        </w:rPr>
        <w:t xml:space="preserve"> </w:t>
      </w:r>
      <w:r>
        <w:rPr>
          <w:sz w:val="24"/>
          <w:szCs w:val="24"/>
          <w:u w:val="single" w:color="auto"/>
        </w:rPr>
        <w:t xml:space="preserve">     </w:t>
      </w:r>
      <w:r>
        <w:rPr>
          <w:spacing w:val="15"/>
          <w:sz w:val="24"/>
          <w:szCs w:val="24"/>
        </w:rPr>
        <w:t xml:space="preserve"> </w:t>
      </w:r>
      <w:r>
        <w:rPr>
          <w:spacing w:val="-17"/>
          <w:sz w:val="24"/>
          <w:szCs w:val="24"/>
        </w:rPr>
        <w:t>（</w:t>
      </w:r>
      <w:r>
        <w:rPr>
          <w:spacing w:val="-18"/>
          <w:sz w:val="24"/>
          <w:szCs w:val="24"/>
        </w:rPr>
        <w:t>签字或盖章）</w:t>
      </w:r>
    </w:p>
    <w:p w14:paraId="524C3BE5">
      <w:pPr>
        <w:pStyle w:val="3"/>
        <w:tabs>
          <w:tab w:val="left" w:pos="7630"/>
        </w:tabs>
        <w:spacing w:line="220" w:lineRule="auto"/>
        <w:ind w:left="6911"/>
        <w:rPr>
          <w:sz w:val="24"/>
          <w:szCs w:val="24"/>
        </w:rPr>
      </w:pPr>
      <w:r>
        <w:rPr>
          <w:sz w:val="24"/>
          <w:szCs w:val="24"/>
          <w:u w:val="single" w:color="auto"/>
        </w:rPr>
        <w:tab/>
      </w:r>
      <w:r>
        <w:rPr>
          <w:spacing w:val="-110"/>
          <w:sz w:val="24"/>
          <w:szCs w:val="24"/>
        </w:rPr>
        <w:t xml:space="preserve"> </w:t>
      </w:r>
      <w:r>
        <w:rPr>
          <w:spacing w:val="-9"/>
          <w:sz w:val="24"/>
          <w:szCs w:val="24"/>
        </w:rPr>
        <w:t>年</w:t>
      </w:r>
      <w:r>
        <w:rPr>
          <w:sz w:val="24"/>
          <w:szCs w:val="24"/>
          <w:u w:val="single" w:color="auto"/>
        </w:rPr>
        <w:t xml:space="preserve">   </w:t>
      </w:r>
      <w:r>
        <w:rPr>
          <w:spacing w:val="-104"/>
          <w:sz w:val="24"/>
          <w:szCs w:val="24"/>
        </w:rPr>
        <w:t xml:space="preserve"> </w:t>
      </w:r>
      <w:r>
        <w:rPr>
          <w:spacing w:val="-9"/>
          <w:sz w:val="24"/>
          <w:szCs w:val="24"/>
        </w:rPr>
        <w:t>月</w:t>
      </w:r>
      <w:r>
        <w:rPr>
          <w:sz w:val="24"/>
          <w:szCs w:val="24"/>
          <w:u w:val="single" w:color="auto"/>
        </w:rPr>
        <w:t xml:space="preserve">   </w:t>
      </w:r>
      <w:r>
        <w:rPr>
          <w:spacing w:val="-70"/>
          <w:sz w:val="24"/>
          <w:szCs w:val="24"/>
        </w:rPr>
        <w:t xml:space="preserve"> </w:t>
      </w:r>
      <w:r>
        <w:rPr>
          <w:spacing w:val="-9"/>
          <w:sz w:val="24"/>
          <w:szCs w:val="24"/>
        </w:rPr>
        <w:t>日</w:t>
      </w:r>
    </w:p>
    <w:p w14:paraId="1CCCD99E">
      <w:pPr>
        <w:spacing w:line="220" w:lineRule="auto"/>
        <w:rPr>
          <w:sz w:val="24"/>
          <w:szCs w:val="24"/>
        </w:rPr>
        <w:sectPr>
          <w:footerReference r:id="rId25" w:type="default"/>
          <w:pgSz w:w="11905" w:h="16838"/>
          <w:pgMar w:top="841" w:right="1331" w:bottom="799" w:left="1417" w:header="0" w:footer="548" w:gutter="0"/>
          <w:pgNumType w:fmt="decimal"/>
          <w:cols w:space="720" w:num="1"/>
        </w:sectPr>
      </w:pPr>
    </w:p>
    <w:p w14:paraId="30ADEA35">
      <w:pPr>
        <w:pStyle w:val="3"/>
        <w:spacing w:before="91" w:line="220" w:lineRule="auto"/>
        <w:ind w:left="3564"/>
        <w:outlineLvl w:val="6"/>
        <w:rPr>
          <w:sz w:val="28"/>
          <w:szCs w:val="28"/>
        </w:rPr>
      </w:pPr>
      <w:r>
        <w:rPr>
          <w:spacing w:val="-1"/>
          <w:sz w:val="28"/>
          <w:szCs w:val="28"/>
          <w14:textOutline w14:w="5080">
            <w14:solidFill>
              <w14:srgbClr w14:val="000000"/>
            </w14:solidFill>
            <w14:prstDash w14:val="solid"/>
            <w14:miter w14:val="0"/>
          </w14:textOutline>
        </w:rPr>
        <w:t>六、投标承诺函</w:t>
      </w:r>
    </w:p>
    <w:p w14:paraId="6E5B1E6B">
      <w:pPr>
        <w:spacing w:line="252" w:lineRule="auto"/>
        <w:rPr>
          <w:rFonts w:ascii="Arial"/>
          <w:sz w:val="21"/>
        </w:rPr>
      </w:pPr>
    </w:p>
    <w:p w14:paraId="48DBE5D2">
      <w:pPr>
        <w:spacing w:line="252" w:lineRule="auto"/>
        <w:rPr>
          <w:rFonts w:ascii="Arial"/>
          <w:sz w:val="21"/>
        </w:rPr>
      </w:pPr>
    </w:p>
    <w:p w14:paraId="22469D80">
      <w:pPr>
        <w:spacing w:line="252" w:lineRule="auto"/>
        <w:rPr>
          <w:rFonts w:ascii="Arial"/>
          <w:sz w:val="21"/>
        </w:rPr>
      </w:pPr>
    </w:p>
    <w:p w14:paraId="61657CEC">
      <w:pPr>
        <w:pStyle w:val="3"/>
        <w:spacing w:before="78" w:line="220" w:lineRule="auto"/>
        <w:ind w:left="9"/>
        <w:rPr>
          <w:sz w:val="24"/>
          <w:szCs w:val="24"/>
        </w:rPr>
      </w:pPr>
      <w:r>
        <w:rPr>
          <w:spacing w:val="-26"/>
          <w:w w:val="95"/>
          <w:sz w:val="24"/>
          <w:szCs w:val="24"/>
        </w:rPr>
        <w:t>致</w:t>
      </w:r>
      <w:r>
        <w:rPr>
          <w:spacing w:val="-13"/>
          <w:sz w:val="24"/>
          <w:szCs w:val="24"/>
        </w:rPr>
        <w:t>：</w:t>
      </w:r>
      <w:r>
        <w:rPr>
          <w:spacing w:val="-36"/>
          <w:sz w:val="24"/>
          <w:szCs w:val="24"/>
        </w:rPr>
        <w:t xml:space="preserve"> </w:t>
      </w:r>
      <w:r>
        <w:rPr>
          <w:sz w:val="24"/>
          <w:szCs w:val="24"/>
          <w:u w:val="single" w:color="auto"/>
        </w:rPr>
        <w:t xml:space="preserve">                 </w:t>
      </w:r>
      <w:r>
        <w:rPr>
          <w:spacing w:val="16"/>
          <w:sz w:val="24"/>
          <w:szCs w:val="24"/>
        </w:rPr>
        <w:t xml:space="preserve"> </w:t>
      </w:r>
      <w:r>
        <w:rPr>
          <w:spacing w:val="-13"/>
          <w:sz w:val="24"/>
          <w:szCs w:val="24"/>
        </w:rPr>
        <w:t>（</w:t>
      </w:r>
      <w:r>
        <w:rPr>
          <w:spacing w:val="-26"/>
          <w:w w:val="95"/>
          <w:sz w:val="24"/>
          <w:szCs w:val="24"/>
        </w:rPr>
        <w:t>采购人）</w:t>
      </w:r>
    </w:p>
    <w:p w14:paraId="3DACD58F">
      <w:pPr>
        <w:pStyle w:val="3"/>
        <w:spacing w:before="274" w:line="431" w:lineRule="auto"/>
        <w:ind w:left="491"/>
        <w:rPr>
          <w:sz w:val="24"/>
          <w:szCs w:val="24"/>
        </w:rPr>
      </w:pPr>
      <w:r>
        <w:rPr>
          <w:spacing w:val="1"/>
          <w:sz w:val="24"/>
          <w:szCs w:val="24"/>
        </w:rPr>
        <w:t>我们收到了</w:t>
      </w:r>
      <w:r>
        <w:rPr>
          <w:spacing w:val="-116"/>
          <w:sz w:val="24"/>
          <w:szCs w:val="24"/>
        </w:rPr>
        <w:t xml:space="preserve"> </w:t>
      </w:r>
      <w:r>
        <w:rPr>
          <w:spacing w:val="1"/>
          <w:sz w:val="24"/>
          <w:szCs w:val="24"/>
          <w:u w:val="single" w:color="auto"/>
        </w:rPr>
        <w:t xml:space="preserve">                  </w:t>
      </w:r>
      <w:r>
        <w:rPr>
          <w:spacing w:val="1"/>
          <w:sz w:val="24"/>
          <w:szCs w:val="24"/>
        </w:rPr>
        <w:t>（项目名称</w:t>
      </w:r>
      <w:r>
        <w:rPr>
          <w:spacing w:val="-8"/>
          <w:sz w:val="24"/>
          <w:szCs w:val="24"/>
        </w:rPr>
        <w:t>）（</w:t>
      </w:r>
      <w:r>
        <w:rPr>
          <w:spacing w:val="1"/>
          <w:sz w:val="24"/>
          <w:szCs w:val="24"/>
        </w:rPr>
        <w:t>项目编号</w:t>
      </w:r>
      <w:r>
        <w:rPr>
          <w:spacing w:val="-8"/>
          <w:sz w:val="24"/>
          <w:szCs w:val="24"/>
        </w:rPr>
        <w:t>：</w:t>
      </w:r>
      <w:r>
        <w:rPr>
          <w:spacing w:val="1"/>
          <w:sz w:val="24"/>
          <w:szCs w:val="24"/>
          <w:u w:val="single" w:color="auto"/>
        </w:rPr>
        <w:t xml:space="preserve">         </w:t>
      </w:r>
      <w:r>
        <w:rPr>
          <w:spacing w:val="-81"/>
          <w:sz w:val="24"/>
          <w:szCs w:val="24"/>
        </w:rPr>
        <w:t xml:space="preserve"> </w:t>
      </w:r>
      <w:r>
        <w:rPr>
          <w:spacing w:val="-8"/>
          <w:sz w:val="24"/>
          <w:szCs w:val="24"/>
        </w:rPr>
        <w:t>）</w:t>
      </w:r>
      <w:r>
        <w:rPr>
          <w:spacing w:val="1"/>
          <w:sz w:val="24"/>
          <w:szCs w:val="24"/>
        </w:rPr>
        <w:t>的招标文</w:t>
      </w:r>
    </w:p>
    <w:p w14:paraId="1843C6BD">
      <w:pPr>
        <w:pStyle w:val="3"/>
        <w:spacing w:line="219" w:lineRule="auto"/>
        <w:ind w:left="8"/>
        <w:rPr>
          <w:sz w:val="24"/>
          <w:szCs w:val="24"/>
        </w:rPr>
      </w:pPr>
      <w:r>
        <w:rPr>
          <w:spacing w:val="-2"/>
          <w:sz w:val="24"/>
          <w:szCs w:val="24"/>
        </w:rPr>
        <w:t>件，经详细研究，我们决定参加该项目的投标活动，我方无条件地、不可撤销地承诺：</w:t>
      </w:r>
    </w:p>
    <w:p w14:paraId="29AAC73A">
      <w:pPr>
        <w:pStyle w:val="3"/>
        <w:spacing w:before="274" w:line="431" w:lineRule="auto"/>
        <w:ind w:left="12" w:firstLine="494"/>
        <w:rPr>
          <w:sz w:val="24"/>
          <w:szCs w:val="24"/>
        </w:rPr>
      </w:pPr>
      <w:r>
        <w:rPr>
          <w:spacing w:val="-6"/>
          <w:sz w:val="24"/>
          <w:szCs w:val="24"/>
        </w:rPr>
        <w:t>1.在规定的投标有效期内撤销或修改其投标文件， 或者在收到中标通知书后无正当  理由拒签合同或拒按规定交纳履约保证金的，</w:t>
      </w:r>
      <w:r>
        <w:rPr>
          <w:spacing w:val="-57"/>
          <w:sz w:val="24"/>
          <w:szCs w:val="24"/>
        </w:rPr>
        <w:t xml:space="preserve"> </w:t>
      </w:r>
      <w:r>
        <w:rPr>
          <w:spacing w:val="-6"/>
          <w:sz w:val="24"/>
          <w:szCs w:val="24"/>
        </w:rPr>
        <w:t>我方自愿承担项目金额</w:t>
      </w:r>
      <w:r>
        <w:rPr>
          <w:spacing w:val="-48"/>
          <w:sz w:val="24"/>
          <w:szCs w:val="24"/>
        </w:rPr>
        <w:t xml:space="preserve"> </w:t>
      </w:r>
      <w:r>
        <w:rPr>
          <w:spacing w:val="-6"/>
          <w:sz w:val="24"/>
          <w:szCs w:val="24"/>
        </w:rPr>
        <w:t>2%的投标保证</w:t>
      </w:r>
      <w:r>
        <w:rPr>
          <w:spacing w:val="-7"/>
          <w:sz w:val="24"/>
          <w:szCs w:val="24"/>
        </w:rPr>
        <w:t>责任。</w:t>
      </w:r>
    </w:p>
    <w:p w14:paraId="1EC4512E">
      <w:pPr>
        <w:pStyle w:val="3"/>
        <w:spacing w:line="220" w:lineRule="auto"/>
        <w:ind w:left="12"/>
        <w:rPr>
          <w:sz w:val="24"/>
          <w:szCs w:val="24"/>
        </w:rPr>
      </w:pPr>
      <w:r>
        <w:rPr>
          <w:spacing w:val="-3"/>
          <w:sz w:val="24"/>
          <w:szCs w:val="24"/>
        </w:rPr>
        <w:t>投标承诺函在投标有效期内保持有效。</w:t>
      </w:r>
    </w:p>
    <w:p w14:paraId="6EA1608F">
      <w:pPr>
        <w:pStyle w:val="3"/>
        <w:spacing w:before="274" w:line="560" w:lineRule="exact"/>
        <w:ind w:left="492"/>
        <w:rPr>
          <w:sz w:val="24"/>
          <w:szCs w:val="24"/>
        </w:rPr>
      </w:pPr>
      <w:r>
        <w:rPr>
          <w:spacing w:val="-15"/>
          <w:position w:val="24"/>
          <w:sz w:val="24"/>
          <w:szCs w:val="24"/>
        </w:rPr>
        <w:t>2.在本次投标活动中，</w:t>
      </w:r>
      <w:r>
        <w:rPr>
          <w:spacing w:val="46"/>
          <w:position w:val="24"/>
          <w:sz w:val="24"/>
          <w:szCs w:val="24"/>
        </w:rPr>
        <w:t xml:space="preserve"> </w:t>
      </w:r>
      <w:r>
        <w:rPr>
          <w:spacing w:val="-15"/>
          <w:position w:val="24"/>
          <w:sz w:val="24"/>
          <w:szCs w:val="24"/>
        </w:rPr>
        <w:t>严格遵守法律法规规定，</w:t>
      </w:r>
      <w:r>
        <w:rPr>
          <w:spacing w:val="48"/>
          <w:position w:val="24"/>
          <w:sz w:val="24"/>
          <w:szCs w:val="24"/>
        </w:rPr>
        <w:t xml:space="preserve"> </w:t>
      </w:r>
      <w:r>
        <w:rPr>
          <w:spacing w:val="-15"/>
          <w:position w:val="24"/>
          <w:sz w:val="24"/>
          <w:szCs w:val="24"/>
        </w:rPr>
        <w:t>不存在围标串标</w:t>
      </w:r>
      <w:r>
        <w:rPr>
          <w:spacing w:val="-16"/>
          <w:position w:val="24"/>
          <w:sz w:val="24"/>
          <w:szCs w:val="24"/>
        </w:rPr>
        <w:t>行为，</w:t>
      </w:r>
      <w:r>
        <w:rPr>
          <w:spacing w:val="49"/>
          <w:position w:val="24"/>
          <w:sz w:val="24"/>
          <w:szCs w:val="24"/>
        </w:rPr>
        <w:t xml:space="preserve"> </w:t>
      </w:r>
      <w:r>
        <w:rPr>
          <w:spacing w:val="-16"/>
          <w:position w:val="24"/>
          <w:sz w:val="24"/>
          <w:szCs w:val="24"/>
        </w:rPr>
        <w:t>如若存在围</w:t>
      </w:r>
    </w:p>
    <w:p w14:paraId="55322DB9">
      <w:pPr>
        <w:pStyle w:val="3"/>
        <w:spacing w:line="220" w:lineRule="auto"/>
        <w:ind w:left="10"/>
        <w:rPr>
          <w:sz w:val="24"/>
          <w:szCs w:val="24"/>
        </w:rPr>
      </w:pPr>
      <w:r>
        <w:rPr>
          <w:spacing w:val="-1"/>
          <w:sz w:val="24"/>
          <w:szCs w:val="24"/>
        </w:rPr>
        <w:t>标串标行为，我公司自愿放弃投标和中标资格，</w:t>
      </w:r>
      <w:r>
        <w:rPr>
          <w:spacing w:val="-2"/>
          <w:sz w:val="24"/>
          <w:szCs w:val="24"/>
        </w:rPr>
        <w:t>并承担一切后果。</w:t>
      </w:r>
    </w:p>
    <w:p w14:paraId="37328106">
      <w:pPr>
        <w:spacing w:line="271" w:lineRule="auto"/>
        <w:rPr>
          <w:rFonts w:ascii="Arial"/>
          <w:sz w:val="21"/>
        </w:rPr>
      </w:pPr>
    </w:p>
    <w:p w14:paraId="39FFE149">
      <w:pPr>
        <w:spacing w:line="272" w:lineRule="auto"/>
        <w:rPr>
          <w:rFonts w:ascii="Arial"/>
          <w:sz w:val="21"/>
        </w:rPr>
      </w:pPr>
    </w:p>
    <w:p w14:paraId="5A36BBE0">
      <w:pPr>
        <w:spacing w:line="272" w:lineRule="auto"/>
        <w:rPr>
          <w:rFonts w:ascii="Arial"/>
          <w:sz w:val="21"/>
        </w:rPr>
      </w:pPr>
    </w:p>
    <w:p w14:paraId="3C20B0E4">
      <w:pPr>
        <w:pStyle w:val="3"/>
        <w:spacing w:before="78" w:line="492" w:lineRule="auto"/>
        <w:ind w:left="4004" w:right="112"/>
        <w:jc w:val="right"/>
        <w:rPr>
          <w:sz w:val="24"/>
          <w:szCs w:val="24"/>
        </w:rPr>
      </w:pPr>
      <w:r>
        <w:rPr>
          <w:rFonts w:hint="eastAsia"/>
          <w:spacing w:val="-25"/>
          <w:w w:val="98"/>
          <w:sz w:val="24"/>
          <w:szCs w:val="24"/>
          <w:lang w:eastAsia="zh-CN"/>
        </w:rPr>
        <w:t>供应商</w:t>
      </w:r>
      <w:r>
        <w:rPr>
          <w:spacing w:val="-25"/>
          <w:w w:val="98"/>
          <w:sz w:val="24"/>
          <w:szCs w:val="24"/>
        </w:rPr>
        <w:t>名称</w:t>
      </w:r>
      <w:r>
        <w:rPr>
          <w:spacing w:val="-22"/>
          <w:sz w:val="24"/>
          <w:szCs w:val="24"/>
        </w:rPr>
        <w:t>：</w:t>
      </w:r>
      <w:r>
        <w:rPr>
          <w:spacing w:val="57"/>
          <w:sz w:val="24"/>
          <w:szCs w:val="24"/>
        </w:rPr>
        <w:t xml:space="preserve"> </w:t>
      </w:r>
      <w:r>
        <w:rPr>
          <w:sz w:val="24"/>
          <w:szCs w:val="24"/>
          <w:u w:val="single" w:color="auto"/>
        </w:rPr>
        <w:t xml:space="preserve">                   </w:t>
      </w:r>
      <w:r>
        <w:rPr>
          <w:spacing w:val="15"/>
          <w:sz w:val="24"/>
          <w:szCs w:val="24"/>
        </w:rPr>
        <w:t xml:space="preserve"> </w:t>
      </w:r>
      <w:r>
        <w:rPr>
          <w:spacing w:val="-22"/>
          <w:sz w:val="24"/>
          <w:szCs w:val="24"/>
        </w:rPr>
        <w:t>（</w:t>
      </w:r>
      <w:r>
        <w:rPr>
          <w:spacing w:val="-25"/>
          <w:w w:val="98"/>
          <w:sz w:val="24"/>
          <w:szCs w:val="24"/>
        </w:rPr>
        <w:t>盖单位章）</w:t>
      </w:r>
      <w:r>
        <w:rPr>
          <w:sz w:val="24"/>
          <w:szCs w:val="24"/>
        </w:rPr>
        <w:t xml:space="preserve"> </w:t>
      </w:r>
      <w:r>
        <w:rPr>
          <w:spacing w:val="-18"/>
          <w:sz w:val="24"/>
          <w:szCs w:val="24"/>
        </w:rPr>
        <w:t>法定代表人或委托代理人</w:t>
      </w:r>
      <w:r>
        <w:rPr>
          <w:spacing w:val="-17"/>
          <w:sz w:val="24"/>
          <w:szCs w:val="24"/>
        </w:rPr>
        <w:t>：</w:t>
      </w:r>
      <w:r>
        <w:rPr>
          <w:spacing w:val="57"/>
          <w:sz w:val="24"/>
          <w:szCs w:val="24"/>
        </w:rPr>
        <w:t xml:space="preserve"> </w:t>
      </w:r>
      <w:r>
        <w:rPr>
          <w:sz w:val="24"/>
          <w:szCs w:val="24"/>
          <w:u w:val="single" w:color="auto"/>
        </w:rPr>
        <w:t xml:space="preserve">     </w:t>
      </w:r>
      <w:r>
        <w:rPr>
          <w:spacing w:val="15"/>
          <w:sz w:val="24"/>
          <w:szCs w:val="24"/>
        </w:rPr>
        <w:t xml:space="preserve"> </w:t>
      </w:r>
      <w:r>
        <w:rPr>
          <w:spacing w:val="-17"/>
          <w:sz w:val="24"/>
          <w:szCs w:val="24"/>
        </w:rPr>
        <w:t>（</w:t>
      </w:r>
      <w:r>
        <w:rPr>
          <w:spacing w:val="-18"/>
          <w:sz w:val="24"/>
          <w:szCs w:val="24"/>
        </w:rPr>
        <w:t>签字或盖章）</w:t>
      </w:r>
    </w:p>
    <w:p w14:paraId="3851C2EF">
      <w:pPr>
        <w:pStyle w:val="3"/>
        <w:tabs>
          <w:tab w:val="left" w:pos="7630"/>
        </w:tabs>
        <w:spacing w:before="1" w:line="220" w:lineRule="auto"/>
        <w:ind w:left="6911"/>
        <w:rPr>
          <w:sz w:val="24"/>
          <w:szCs w:val="24"/>
        </w:rPr>
      </w:pPr>
      <w:r>
        <w:rPr>
          <w:sz w:val="24"/>
          <w:szCs w:val="24"/>
          <w:u w:val="single" w:color="auto"/>
        </w:rPr>
        <w:tab/>
      </w:r>
      <w:r>
        <w:rPr>
          <w:spacing w:val="-110"/>
          <w:sz w:val="24"/>
          <w:szCs w:val="24"/>
        </w:rPr>
        <w:t xml:space="preserve"> </w:t>
      </w:r>
      <w:r>
        <w:rPr>
          <w:spacing w:val="-9"/>
          <w:sz w:val="24"/>
          <w:szCs w:val="24"/>
        </w:rPr>
        <w:t>年</w:t>
      </w:r>
      <w:r>
        <w:rPr>
          <w:sz w:val="24"/>
          <w:szCs w:val="24"/>
          <w:u w:val="single" w:color="auto"/>
        </w:rPr>
        <w:t xml:space="preserve">   </w:t>
      </w:r>
      <w:r>
        <w:rPr>
          <w:spacing w:val="-104"/>
          <w:sz w:val="24"/>
          <w:szCs w:val="24"/>
        </w:rPr>
        <w:t xml:space="preserve"> </w:t>
      </w:r>
      <w:r>
        <w:rPr>
          <w:spacing w:val="-9"/>
          <w:sz w:val="24"/>
          <w:szCs w:val="24"/>
        </w:rPr>
        <w:t>月</w:t>
      </w:r>
      <w:r>
        <w:rPr>
          <w:sz w:val="24"/>
          <w:szCs w:val="24"/>
          <w:u w:val="single" w:color="auto"/>
        </w:rPr>
        <w:t xml:space="preserve">   </w:t>
      </w:r>
      <w:r>
        <w:rPr>
          <w:spacing w:val="-70"/>
          <w:sz w:val="24"/>
          <w:szCs w:val="24"/>
        </w:rPr>
        <w:t xml:space="preserve"> </w:t>
      </w:r>
      <w:r>
        <w:rPr>
          <w:spacing w:val="-9"/>
          <w:sz w:val="24"/>
          <w:szCs w:val="24"/>
        </w:rPr>
        <w:t>日</w:t>
      </w:r>
    </w:p>
    <w:p w14:paraId="78A8F5B6">
      <w:pPr>
        <w:spacing w:line="220" w:lineRule="auto"/>
        <w:rPr>
          <w:sz w:val="24"/>
          <w:szCs w:val="24"/>
        </w:rPr>
        <w:sectPr>
          <w:footerReference r:id="rId26" w:type="default"/>
          <w:pgSz w:w="11905" w:h="16838"/>
          <w:pgMar w:top="841" w:right="1221" w:bottom="799" w:left="1417" w:header="0" w:footer="548" w:gutter="0"/>
          <w:pgNumType w:fmt="decimal"/>
          <w:cols w:space="720" w:num="1"/>
        </w:sectPr>
      </w:pPr>
    </w:p>
    <w:p w14:paraId="75247758">
      <w:pPr>
        <w:pStyle w:val="3"/>
        <w:spacing w:before="91" w:line="220" w:lineRule="auto"/>
        <w:ind w:left="3561"/>
        <w:outlineLvl w:val="6"/>
        <w:rPr>
          <w:sz w:val="28"/>
          <w:szCs w:val="28"/>
        </w:rPr>
      </w:pPr>
      <w:r>
        <w:rPr>
          <w:spacing w:val="-1"/>
          <w:sz w:val="28"/>
          <w:szCs w:val="28"/>
          <w14:textOutline w14:w="5080">
            <w14:solidFill>
              <w14:srgbClr w14:val="000000"/>
            </w14:solidFill>
            <w14:prstDash w14:val="solid"/>
            <w14:miter w14:val="0"/>
          </w14:textOutline>
        </w:rPr>
        <w:t>七、履约承诺书</w:t>
      </w:r>
    </w:p>
    <w:p w14:paraId="4B3408EE">
      <w:pPr>
        <w:spacing w:line="433" w:lineRule="auto"/>
        <w:rPr>
          <w:rFonts w:ascii="Arial"/>
          <w:sz w:val="21"/>
        </w:rPr>
      </w:pPr>
    </w:p>
    <w:p w14:paraId="15F9BB3E">
      <w:pPr>
        <w:pStyle w:val="3"/>
        <w:spacing w:before="78" w:line="220" w:lineRule="auto"/>
        <w:ind w:left="11"/>
        <w:rPr>
          <w:sz w:val="24"/>
          <w:szCs w:val="24"/>
        </w:rPr>
      </w:pPr>
      <w:r>
        <w:rPr>
          <w:spacing w:val="8"/>
          <w:sz w:val="24"/>
          <w:szCs w:val="24"/>
        </w:rPr>
        <w:t>我单位承诺：</w:t>
      </w:r>
    </w:p>
    <w:p w14:paraId="0D8BB7E5">
      <w:pPr>
        <w:pStyle w:val="3"/>
        <w:spacing w:before="255" w:line="415" w:lineRule="auto"/>
        <w:ind w:left="14" w:right="67" w:firstLine="409"/>
        <w:jc w:val="both"/>
        <w:rPr>
          <w:sz w:val="24"/>
          <w:szCs w:val="24"/>
        </w:rPr>
      </w:pPr>
      <w:r>
        <w:rPr>
          <w:spacing w:val="15"/>
          <w:sz w:val="24"/>
          <w:szCs w:val="24"/>
        </w:rPr>
        <w:t>（一）我单位已详细阅读并完全理解、同意《招标文件》</w:t>
      </w:r>
      <w:r>
        <w:rPr>
          <w:spacing w:val="14"/>
          <w:sz w:val="24"/>
          <w:szCs w:val="24"/>
        </w:rPr>
        <w:t>的全部内容，包括修</w:t>
      </w:r>
      <w:r>
        <w:rPr>
          <w:sz w:val="24"/>
          <w:szCs w:val="24"/>
        </w:rPr>
        <w:t xml:space="preserve"> </w:t>
      </w:r>
      <w:r>
        <w:rPr>
          <w:spacing w:val="16"/>
          <w:sz w:val="24"/>
          <w:szCs w:val="24"/>
        </w:rPr>
        <w:t>改补充文件以及全部参考资料和有关附件；</w:t>
      </w:r>
      <w:r>
        <w:rPr>
          <w:spacing w:val="-41"/>
          <w:sz w:val="24"/>
          <w:szCs w:val="24"/>
        </w:rPr>
        <w:t xml:space="preserve"> </w:t>
      </w:r>
      <w:r>
        <w:rPr>
          <w:spacing w:val="16"/>
          <w:sz w:val="24"/>
          <w:szCs w:val="24"/>
        </w:rPr>
        <w:t>除我单位在《招标文件》规定期间内</w:t>
      </w:r>
      <w:r>
        <w:rPr>
          <w:sz w:val="24"/>
          <w:szCs w:val="24"/>
        </w:rPr>
        <w:t xml:space="preserve"> </w:t>
      </w:r>
      <w:r>
        <w:rPr>
          <w:spacing w:val="15"/>
          <w:sz w:val="24"/>
          <w:szCs w:val="24"/>
        </w:rPr>
        <w:t>书面提出的疑问外，</w:t>
      </w:r>
      <w:r>
        <w:rPr>
          <w:spacing w:val="-59"/>
          <w:sz w:val="24"/>
          <w:szCs w:val="24"/>
        </w:rPr>
        <w:t xml:space="preserve"> </w:t>
      </w:r>
      <w:r>
        <w:rPr>
          <w:spacing w:val="15"/>
          <w:sz w:val="24"/>
          <w:szCs w:val="24"/>
        </w:rPr>
        <w:t>我单位放弃对这方面不明及误解的权力，</w:t>
      </w:r>
      <w:r>
        <w:rPr>
          <w:spacing w:val="-67"/>
          <w:sz w:val="24"/>
          <w:szCs w:val="24"/>
        </w:rPr>
        <w:t xml:space="preserve"> </w:t>
      </w:r>
      <w:r>
        <w:rPr>
          <w:spacing w:val="15"/>
          <w:sz w:val="24"/>
          <w:szCs w:val="24"/>
        </w:rPr>
        <w:t>并严格按采购人确</w:t>
      </w:r>
      <w:r>
        <w:rPr>
          <w:spacing w:val="12"/>
          <w:sz w:val="24"/>
          <w:szCs w:val="24"/>
        </w:rPr>
        <w:t>定的技术及商务要求等履行。</w:t>
      </w:r>
    </w:p>
    <w:p w14:paraId="2EA38F9A">
      <w:pPr>
        <w:pStyle w:val="3"/>
        <w:spacing w:before="255" w:line="415" w:lineRule="auto"/>
        <w:ind w:left="8" w:right="99" w:firstLine="503"/>
        <w:jc w:val="both"/>
        <w:rPr>
          <w:sz w:val="24"/>
          <w:szCs w:val="24"/>
        </w:rPr>
      </w:pPr>
      <w:r>
        <w:rPr>
          <w:spacing w:val="16"/>
          <w:sz w:val="24"/>
          <w:szCs w:val="24"/>
        </w:rPr>
        <w:t>（二）</w:t>
      </w:r>
      <w:r>
        <w:rPr>
          <w:spacing w:val="-69"/>
          <w:sz w:val="24"/>
          <w:szCs w:val="24"/>
        </w:rPr>
        <w:t xml:space="preserve"> </w:t>
      </w:r>
      <w:r>
        <w:rPr>
          <w:spacing w:val="16"/>
          <w:sz w:val="24"/>
          <w:szCs w:val="24"/>
        </w:rPr>
        <w:t>我单位开标前已详细了解采购项目内容</w:t>
      </w:r>
      <w:r>
        <w:rPr>
          <w:spacing w:val="15"/>
          <w:sz w:val="24"/>
          <w:szCs w:val="24"/>
        </w:rPr>
        <w:t>及要求，</w:t>
      </w:r>
      <w:r>
        <w:rPr>
          <w:spacing w:val="-65"/>
          <w:sz w:val="24"/>
          <w:szCs w:val="24"/>
        </w:rPr>
        <w:t xml:space="preserve"> </w:t>
      </w:r>
      <w:r>
        <w:rPr>
          <w:spacing w:val="15"/>
          <w:sz w:val="24"/>
          <w:szCs w:val="24"/>
        </w:rPr>
        <w:t>并按采购人现有条件</w:t>
      </w:r>
      <w:r>
        <w:rPr>
          <w:sz w:val="24"/>
          <w:szCs w:val="24"/>
        </w:rPr>
        <w:t xml:space="preserve"> </w:t>
      </w:r>
      <w:r>
        <w:rPr>
          <w:spacing w:val="17"/>
          <w:sz w:val="24"/>
          <w:szCs w:val="24"/>
        </w:rPr>
        <w:t>及要求编制投标报价；</w:t>
      </w:r>
      <w:r>
        <w:rPr>
          <w:spacing w:val="-70"/>
          <w:sz w:val="24"/>
          <w:szCs w:val="24"/>
        </w:rPr>
        <w:t xml:space="preserve"> </w:t>
      </w:r>
      <w:r>
        <w:rPr>
          <w:spacing w:val="17"/>
          <w:sz w:val="24"/>
          <w:szCs w:val="24"/>
        </w:rPr>
        <w:t>我单位的投标报价包括《招标文件》所述投标报价组成的</w:t>
      </w:r>
      <w:r>
        <w:rPr>
          <w:sz w:val="24"/>
          <w:szCs w:val="24"/>
        </w:rPr>
        <w:t xml:space="preserve"> </w:t>
      </w:r>
      <w:r>
        <w:rPr>
          <w:spacing w:val="18"/>
          <w:sz w:val="24"/>
          <w:szCs w:val="24"/>
        </w:rPr>
        <w:t>所有内容、并包括《招标文件》未列明而完成本项目所必须的物料及合同保期内</w:t>
      </w:r>
      <w:r>
        <w:rPr>
          <w:spacing w:val="15"/>
          <w:sz w:val="24"/>
          <w:szCs w:val="24"/>
        </w:rPr>
        <w:t xml:space="preserve"> </w:t>
      </w:r>
      <w:r>
        <w:rPr>
          <w:spacing w:val="17"/>
          <w:sz w:val="24"/>
          <w:szCs w:val="24"/>
        </w:rPr>
        <w:t>所需一切风险、责任和义务。我单位确认本次投标报价为合理报价，</w:t>
      </w:r>
      <w:r>
        <w:rPr>
          <w:spacing w:val="-70"/>
          <w:sz w:val="24"/>
          <w:szCs w:val="24"/>
        </w:rPr>
        <w:t xml:space="preserve"> </w:t>
      </w:r>
      <w:r>
        <w:rPr>
          <w:spacing w:val="17"/>
          <w:sz w:val="24"/>
          <w:szCs w:val="24"/>
        </w:rPr>
        <w:t>保证按《招</w:t>
      </w:r>
      <w:r>
        <w:rPr>
          <w:spacing w:val="14"/>
          <w:sz w:val="24"/>
          <w:szCs w:val="24"/>
        </w:rPr>
        <w:t>标文件》要求及投标文件承诺的事宜诚信履</w:t>
      </w:r>
      <w:r>
        <w:rPr>
          <w:spacing w:val="13"/>
          <w:sz w:val="24"/>
          <w:szCs w:val="24"/>
        </w:rPr>
        <w:t>约。</w:t>
      </w:r>
    </w:p>
    <w:p w14:paraId="77224AAC">
      <w:pPr>
        <w:pStyle w:val="3"/>
        <w:spacing w:before="255" w:line="415" w:lineRule="auto"/>
        <w:ind w:left="9" w:right="12" w:firstLine="502"/>
        <w:jc w:val="both"/>
        <w:rPr>
          <w:sz w:val="24"/>
          <w:szCs w:val="24"/>
        </w:rPr>
      </w:pPr>
      <w:r>
        <w:rPr>
          <w:spacing w:val="14"/>
          <w:sz w:val="24"/>
          <w:szCs w:val="24"/>
        </w:rPr>
        <w:t>（三）我单位保证在《招标文件》要求的服务期内高质量完</w:t>
      </w:r>
      <w:r>
        <w:rPr>
          <w:spacing w:val="13"/>
          <w:sz w:val="24"/>
          <w:szCs w:val="24"/>
        </w:rPr>
        <w:t>成所有服务任务。</w:t>
      </w:r>
      <w:r>
        <w:rPr>
          <w:sz w:val="24"/>
          <w:szCs w:val="24"/>
        </w:rPr>
        <w:t xml:space="preserve"> </w:t>
      </w:r>
      <w:r>
        <w:rPr>
          <w:spacing w:val="18"/>
          <w:sz w:val="24"/>
          <w:szCs w:val="24"/>
        </w:rPr>
        <w:t>如我单位中标，将在中标结果公告发布后，积极、主动的与采购人联系合同签订</w:t>
      </w:r>
      <w:r>
        <w:rPr>
          <w:spacing w:val="14"/>
          <w:sz w:val="24"/>
          <w:szCs w:val="24"/>
        </w:rPr>
        <w:t xml:space="preserve"> 事宜，</w:t>
      </w:r>
      <w:r>
        <w:rPr>
          <w:spacing w:val="-71"/>
          <w:sz w:val="24"/>
          <w:szCs w:val="24"/>
        </w:rPr>
        <w:t xml:space="preserve"> </w:t>
      </w:r>
      <w:r>
        <w:rPr>
          <w:spacing w:val="14"/>
          <w:sz w:val="24"/>
          <w:szCs w:val="24"/>
        </w:rPr>
        <w:t>合同签订中如有任何的问题，</w:t>
      </w:r>
      <w:r>
        <w:rPr>
          <w:spacing w:val="-70"/>
          <w:sz w:val="24"/>
          <w:szCs w:val="24"/>
        </w:rPr>
        <w:t xml:space="preserve"> </w:t>
      </w:r>
      <w:r>
        <w:rPr>
          <w:spacing w:val="14"/>
          <w:sz w:val="24"/>
          <w:szCs w:val="24"/>
        </w:rPr>
        <w:t>我单位保证及时书面反映情况，</w:t>
      </w:r>
      <w:r>
        <w:rPr>
          <w:spacing w:val="-65"/>
          <w:sz w:val="24"/>
          <w:szCs w:val="24"/>
        </w:rPr>
        <w:t xml:space="preserve"> </w:t>
      </w:r>
      <w:r>
        <w:rPr>
          <w:spacing w:val="14"/>
          <w:sz w:val="24"/>
          <w:szCs w:val="24"/>
        </w:rPr>
        <w:t>否则视为我</w:t>
      </w:r>
      <w:r>
        <w:rPr>
          <w:spacing w:val="12"/>
          <w:sz w:val="24"/>
          <w:szCs w:val="24"/>
        </w:rPr>
        <w:t>单位责任、按违约处理。</w:t>
      </w:r>
    </w:p>
    <w:p w14:paraId="6E5DD8C6">
      <w:pPr>
        <w:pStyle w:val="3"/>
        <w:spacing w:before="256" w:line="415" w:lineRule="auto"/>
        <w:ind w:left="11" w:right="99" w:firstLine="500"/>
        <w:jc w:val="both"/>
        <w:rPr>
          <w:sz w:val="24"/>
          <w:szCs w:val="24"/>
        </w:rPr>
      </w:pPr>
      <w:r>
        <w:rPr>
          <w:spacing w:val="15"/>
          <w:sz w:val="24"/>
          <w:szCs w:val="24"/>
        </w:rPr>
        <w:t>（四）</w:t>
      </w:r>
      <w:r>
        <w:rPr>
          <w:spacing w:val="-45"/>
          <w:sz w:val="24"/>
          <w:szCs w:val="24"/>
        </w:rPr>
        <w:t xml:space="preserve"> </w:t>
      </w:r>
      <w:r>
        <w:rPr>
          <w:spacing w:val="15"/>
          <w:sz w:val="24"/>
          <w:szCs w:val="24"/>
        </w:rPr>
        <w:t>除法律规定的不可抗力因素或双方约定事项外，</w:t>
      </w:r>
      <w:r>
        <w:rPr>
          <w:spacing w:val="-69"/>
          <w:sz w:val="24"/>
          <w:szCs w:val="24"/>
        </w:rPr>
        <w:t xml:space="preserve"> </w:t>
      </w:r>
      <w:r>
        <w:rPr>
          <w:spacing w:val="15"/>
          <w:sz w:val="24"/>
          <w:szCs w:val="24"/>
        </w:rPr>
        <w:t>我单位中标后以任何</w:t>
      </w:r>
      <w:r>
        <w:rPr>
          <w:sz w:val="24"/>
          <w:szCs w:val="24"/>
        </w:rPr>
        <w:t xml:space="preserve"> </w:t>
      </w:r>
      <w:r>
        <w:rPr>
          <w:spacing w:val="17"/>
          <w:sz w:val="24"/>
          <w:szCs w:val="24"/>
        </w:rPr>
        <w:t>理由（包括违背上述承诺的事项）</w:t>
      </w:r>
      <w:r>
        <w:rPr>
          <w:spacing w:val="-71"/>
          <w:sz w:val="24"/>
          <w:szCs w:val="24"/>
        </w:rPr>
        <w:t xml:space="preserve"> </w:t>
      </w:r>
      <w:r>
        <w:rPr>
          <w:spacing w:val="17"/>
          <w:sz w:val="24"/>
          <w:szCs w:val="24"/>
        </w:rPr>
        <w:t>提出不能满足《招标文件》要求要求或不</w:t>
      </w:r>
      <w:r>
        <w:rPr>
          <w:spacing w:val="16"/>
          <w:sz w:val="24"/>
          <w:szCs w:val="24"/>
        </w:rPr>
        <w:t>能实</w:t>
      </w:r>
      <w:r>
        <w:rPr>
          <w:sz w:val="24"/>
          <w:szCs w:val="24"/>
        </w:rPr>
        <w:t xml:space="preserve"> </w:t>
      </w:r>
      <w:r>
        <w:rPr>
          <w:spacing w:val="17"/>
          <w:sz w:val="24"/>
          <w:szCs w:val="24"/>
        </w:rPr>
        <w:t>现投标承诺的或提出变更的，</w:t>
      </w:r>
      <w:r>
        <w:rPr>
          <w:spacing w:val="-70"/>
          <w:sz w:val="24"/>
          <w:szCs w:val="24"/>
        </w:rPr>
        <w:t xml:space="preserve"> </w:t>
      </w:r>
      <w:r>
        <w:rPr>
          <w:spacing w:val="17"/>
          <w:sz w:val="24"/>
          <w:szCs w:val="24"/>
        </w:rPr>
        <w:t>我单位将无条件接受违约处理、并放弃我单</w:t>
      </w:r>
      <w:r>
        <w:rPr>
          <w:spacing w:val="16"/>
          <w:sz w:val="24"/>
          <w:szCs w:val="24"/>
        </w:rPr>
        <w:t>位中标</w:t>
      </w:r>
      <w:r>
        <w:rPr>
          <w:sz w:val="24"/>
          <w:szCs w:val="24"/>
        </w:rPr>
        <w:t xml:space="preserve"> </w:t>
      </w:r>
      <w:r>
        <w:rPr>
          <w:spacing w:val="15"/>
          <w:sz w:val="24"/>
          <w:szCs w:val="24"/>
        </w:rPr>
        <w:t>资格。我单位知悉违约责任及其处理，</w:t>
      </w:r>
      <w:r>
        <w:rPr>
          <w:spacing w:val="-52"/>
          <w:sz w:val="24"/>
          <w:szCs w:val="24"/>
        </w:rPr>
        <w:t xml:space="preserve"> </w:t>
      </w:r>
      <w:r>
        <w:rPr>
          <w:spacing w:val="15"/>
          <w:sz w:val="24"/>
          <w:szCs w:val="24"/>
        </w:rPr>
        <w:t>并无条件接受：</w:t>
      </w:r>
      <w:r>
        <w:rPr>
          <w:spacing w:val="-71"/>
          <w:sz w:val="24"/>
          <w:szCs w:val="24"/>
        </w:rPr>
        <w:t xml:space="preserve"> </w:t>
      </w:r>
      <w:r>
        <w:rPr>
          <w:spacing w:val="15"/>
          <w:sz w:val="24"/>
          <w:szCs w:val="24"/>
        </w:rPr>
        <w:t>给采购人及他人造成损失</w:t>
      </w:r>
      <w:r>
        <w:rPr>
          <w:sz w:val="24"/>
          <w:szCs w:val="24"/>
        </w:rPr>
        <w:t xml:space="preserve"> </w:t>
      </w:r>
      <w:r>
        <w:rPr>
          <w:spacing w:val="15"/>
          <w:sz w:val="24"/>
          <w:szCs w:val="24"/>
        </w:rPr>
        <w:t>的，</w:t>
      </w:r>
      <w:r>
        <w:rPr>
          <w:spacing w:val="-72"/>
          <w:sz w:val="24"/>
          <w:szCs w:val="24"/>
        </w:rPr>
        <w:t xml:space="preserve"> </w:t>
      </w:r>
      <w:r>
        <w:rPr>
          <w:spacing w:val="15"/>
          <w:sz w:val="24"/>
          <w:szCs w:val="24"/>
        </w:rPr>
        <w:t>承担相应的赔偿责任；情节严重的，</w:t>
      </w:r>
      <w:r>
        <w:rPr>
          <w:spacing w:val="-43"/>
          <w:sz w:val="24"/>
          <w:szCs w:val="24"/>
        </w:rPr>
        <w:t xml:space="preserve"> </w:t>
      </w:r>
      <w:r>
        <w:rPr>
          <w:spacing w:val="15"/>
          <w:sz w:val="24"/>
          <w:szCs w:val="24"/>
        </w:rPr>
        <w:t>由相关部门列入不良</w:t>
      </w:r>
      <w:r>
        <w:rPr>
          <w:spacing w:val="14"/>
          <w:sz w:val="24"/>
          <w:szCs w:val="24"/>
        </w:rPr>
        <w:t>行为记录名单，在一至三年内禁止参加政府采购活动，并予以通报，处以罚金。</w:t>
      </w:r>
    </w:p>
    <w:p w14:paraId="42E07CB9">
      <w:pPr>
        <w:spacing w:line="255" w:lineRule="auto"/>
        <w:rPr>
          <w:rFonts w:ascii="Arial"/>
          <w:sz w:val="21"/>
        </w:rPr>
      </w:pPr>
    </w:p>
    <w:p w14:paraId="3A1760AC">
      <w:pPr>
        <w:pStyle w:val="3"/>
        <w:spacing w:before="79" w:line="492" w:lineRule="auto"/>
        <w:ind w:left="4004"/>
        <w:jc w:val="right"/>
        <w:rPr>
          <w:sz w:val="24"/>
          <w:szCs w:val="24"/>
        </w:rPr>
      </w:pPr>
      <w:r>
        <w:rPr>
          <w:rFonts w:hint="eastAsia"/>
          <w:spacing w:val="-25"/>
          <w:w w:val="98"/>
          <w:sz w:val="24"/>
          <w:szCs w:val="24"/>
          <w:lang w:eastAsia="zh-CN"/>
        </w:rPr>
        <w:t>供应商</w:t>
      </w:r>
      <w:r>
        <w:rPr>
          <w:spacing w:val="-25"/>
          <w:w w:val="98"/>
          <w:sz w:val="24"/>
          <w:szCs w:val="24"/>
        </w:rPr>
        <w:t>名称</w:t>
      </w:r>
      <w:r>
        <w:rPr>
          <w:spacing w:val="-22"/>
          <w:sz w:val="24"/>
          <w:szCs w:val="24"/>
        </w:rPr>
        <w:t>：</w:t>
      </w:r>
      <w:r>
        <w:rPr>
          <w:spacing w:val="57"/>
          <w:sz w:val="24"/>
          <w:szCs w:val="24"/>
        </w:rPr>
        <w:t xml:space="preserve"> </w:t>
      </w:r>
      <w:r>
        <w:rPr>
          <w:sz w:val="24"/>
          <w:szCs w:val="24"/>
          <w:u w:val="single" w:color="auto"/>
        </w:rPr>
        <w:t xml:space="preserve">                   </w:t>
      </w:r>
      <w:r>
        <w:rPr>
          <w:spacing w:val="15"/>
          <w:sz w:val="24"/>
          <w:szCs w:val="24"/>
        </w:rPr>
        <w:t xml:space="preserve"> </w:t>
      </w:r>
      <w:r>
        <w:rPr>
          <w:spacing w:val="-22"/>
          <w:sz w:val="24"/>
          <w:szCs w:val="24"/>
        </w:rPr>
        <w:t>（</w:t>
      </w:r>
      <w:r>
        <w:rPr>
          <w:spacing w:val="-25"/>
          <w:w w:val="98"/>
          <w:sz w:val="24"/>
          <w:szCs w:val="24"/>
        </w:rPr>
        <w:t>盖单位章）</w:t>
      </w:r>
      <w:r>
        <w:rPr>
          <w:sz w:val="24"/>
          <w:szCs w:val="24"/>
        </w:rPr>
        <w:t xml:space="preserve"> </w:t>
      </w:r>
      <w:r>
        <w:rPr>
          <w:spacing w:val="-18"/>
          <w:sz w:val="24"/>
          <w:szCs w:val="24"/>
        </w:rPr>
        <w:t>法定代表人或委托代理人</w:t>
      </w:r>
      <w:r>
        <w:rPr>
          <w:spacing w:val="-17"/>
          <w:sz w:val="24"/>
          <w:szCs w:val="24"/>
        </w:rPr>
        <w:t>：</w:t>
      </w:r>
      <w:r>
        <w:rPr>
          <w:spacing w:val="57"/>
          <w:sz w:val="24"/>
          <w:szCs w:val="24"/>
        </w:rPr>
        <w:t xml:space="preserve"> </w:t>
      </w:r>
      <w:r>
        <w:rPr>
          <w:sz w:val="24"/>
          <w:szCs w:val="24"/>
          <w:u w:val="single" w:color="auto"/>
        </w:rPr>
        <w:t xml:space="preserve">     </w:t>
      </w:r>
      <w:r>
        <w:rPr>
          <w:spacing w:val="15"/>
          <w:sz w:val="24"/>
          <w:szCs w:val="24"/>
        </w:rPr>
        <w:t xml:space="preserve"> </w:t>
      </w:r>
      <w:r>
        <w:rPr>
          <w:spacing w:val="-17"/>
          <w:sz w:val="24"/>
          <w:szCs w:val="24"/>
        </w:rPr>
        <w:t>（</w:t>
      </w:r>
      <w:r>
        <w:rPr>
          <w:spacing w:val="-18"/>
          <w:sz w:val="24"/>
          <w:szCs w:val="24"/>
        </w:rPr>
        <w:t>签字或盖章）</w:t>
      </w:r>
    </w:p>
    <w:p w14:paraId="0BCCD644">
      <w:pPr>
        <w:pStyle w:val="3"/>
        <w:tabs>
          <w:tab w:val="left" w:pos="7630"/>
        </w:tabs>
        <w:spacing w:line="220" w:lineRule="auto"/>
        <w:ind w:left="6911"/>
        <w:rPr>
          <w:sz w:val="24"/>
          <w:szCs w:val="24"/>
        </w:rPr>
      </w:pPr>
      <w:r>
        <w:rPr>
          <w:sz w:val="24"/>
          <w:szCs w:val="24"/>
          <w:u w:val="single" w:color="auto"/>
        </w:rPr>
        <w:tab/>
      </w:r>
      <w:r>
        <w:rPr>
          <w:spacing w:val="-110"/>
          <w:sz w:val="24"/>
          <w:szCs w:val="24"/>
        </w:rPr>
        <w:t xml:space="preserve"> </w:t>
      </w:r>
      <w:r>
        <w:rPr>
          <w:spacing w:val="-9"/>
          <w:sz w:val="24"/>
          <w:szCs w:val="24"/>
        </w:rPr>
        <w:t>年</w:t>
      </w:r>
      <w:r>
        <w:rPr>
          <w:sz w:val="24"/>
          <w:szCs w:val="24"/>
          <w:u w:val="single" w:color="auto"/>
        </w:rPr>
        <w:t xml:space="preserve">   </w:t>
      </w:r>
      <w:r>
        <w:rPr>
          <w:spacing w:val="-104"/>
          <w:sz w:val="24"/>
          <w:szCs w:val="24"/>
        </w:rPr>
        <w:t xml:space="preserve"> </w:t>
      </w:r>
      <w:r>
        <w:rPr>
          <w:spacing w:val="-9"/>
          <w:sz w:val="24"/>
          <w:szCs w:val="24"/>
        </w:rPr>
        <w:t>月</w:t>
      </w:r>
      <w:r>
        <w:rPr>
          <w:sz w:val="24"/>
          <w:szCs w:val="24"/>
          <w:u w:val="single" w:color="auto"/>
        </w:rPr>
        <w:t xml:space="preserve">   </w:t>
      </w:r>
      <w:r>
        <w:rPr>
          <w:spacing w:val="-70"/>
          <w:sz w:val="24"/>
          <w:szCs w:val="24"/>
        </w:rPr>
        <w:t xml:space="preserve"> </w:t>
      </w:r>
      <w:r>
        <w:rPr>
          <w:spacing w:val="-9"/>
          <w:sz w:val="24"/>
          <w:szCs w:val="24"/>
        </w:rPr>
        <w:t>日</w:t>
      </w:r>
    </w:p>
    <w:p w14:paraId="78E1CAB3">
      <w:pPr>
        <w:spacing w:line="220" w:lineRule="auto"/>
        <w:rPr>
          <w:sz w:val="24"/>
          <w:szCs w:val="24"/>
        </w:rPr>
        <w:sectPr>
          <w:footerReference r:id="rId27" w:type="default"/>
          <w:pgSz w:w="11905" w:h="16838"/>
          <w:pgMar w:top="841" w:right="1333" w:bottom="799" w:left="1417" w:header="0" w:footer="548" w:gutter="0"/>
          <w:pgNumType w:fmt="decimal"/>
          <w:cols w:space="720" w:num="1"/>
        </w:sectPr>
      </w:pPr>
    </w:p>
    <w:p w14:paraId="0EE90A0F">
      <w:pPr>
        <w:pStyle w:val="3"/>
        <w:spacing w:before="91" w:line="220" w:lineRule="auto"/>
        <w:ind w:left="1754"/>
        <w:outlineLvl w:val="6"/>
        <w:rPr>
          <w:sz w:val="28"/>
          <w:szCs w:val="28"/>
        </w:rPr>
      </w:pPr>
      <w:r>
        <w:rPr>
          <w:sz w:val="28"/>
          <w:szCs w:val="28"/>
          <w14:textOutline w14:w="5080">
            <w14:solidFill>
              <w14:srgbClr w14:val="000000"/>
            </w14:solidFill>
            <w14:prstDash w14:val="solid"/>
            <w14:miter w14:val="0"/>
          </w14:textOutline>
        </w:rPr>
        <w:t>八、拟投入本项目主要人员及主要设备配置表</w:t>
      </w:r>
    </w:p>
    <w:p w14:paraId="116EC395">
      <w:pPr>
        <w:spacing w:line="279" w:lineRule="auto"/>
        <w:rPr>
          <w:rFonts w:ascii="Arial"/>
          <w:sz w:val="21"/>
        </w:rPr>
      </w:pPr>
    </w:p>
    <w:p w14:paraId="1D399CC9">
      <w:pPr>
        <w:spacing w:line="280" w:lineRule="auto"/>
        <w:rPr>
          <w:rFonts w:ascii="Arial"/>
          <w:sz w:val="21"/>
        </w:rPr>
      </w:pPr>
    </w:p>
    <w:p w14:paraId="74EBD7CB">
      <w:pPr>
        <w:pStyle w:val="3"/>
        <w:spacing w:before="78" w:line="220" w:lineRule="auto"/>
        <w:ind w:left="2638"/>
        <w:rPr>
          <w:sz w:val="24"/>
          <w:szCs w:val="24"/>
        </w:rPr>
      </w:pPr>
      <w:r>
        <w:rPr>
          <w:spacing w:val="-1"/>
          <w:sz w:val="24"/>
          <w:szCs w:val="24"/>
          <w14:textOutline w14:w="4354">
            <w14:solidFill>
              <w14:srgbClr w14:val="000000"/>
            </w14:solidFill>
            <w14:prstDash w14:val="solid"/>
            <w14:miter w14:val="0"/>
          </w14:textOutline>
        </w:rPr>
        <w:t>（一）拟投入本项目主要人员配置表</w:t>
      </w:r>
    </w:p>
    <w:p w14:paraId="3D4CDAAE">
      <w:pPr>
        <w:spacing w:line="180" w:lineRule="exact"/>
      </w:pPr>
    </w:p>
    <w:tbl>
      <w:tblPr>
        <w:tblStyle w:val="24"/>
        <w:tblW w:w="909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2"/>
        <w:gridCol w:w="966"/>
        <w:gridCol w:w="950"/>
        <w:gridCol w:w="840"/>
        <w:gridCol w:w="886"/>
        <w:gridCol w:w="1490"/>
        <w:gridCol w:w="1437"/>
        <w:gridCol w:w="1610"/>
      </w:tblGrid>
      <w:tr w14:paraId="650EA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912" w:type="dxa"/>
            <w:vAlign w:val="top"/>
          </w:tcPr>
          <w:p w14:paraId="3BFA18C8">
            <w:pPr>
              <w:pStyle w:val="25"/>
              <w:spacing w:before="232" w:line="222" w:lineRule="auto"/>
              <w:ind w:left="217"/>
              <w:rPr>
                <w:sz w:val="24"/>
                <w:szCs w:val="24"/>
              </w:rPr>
            </w:pPr>
            <w:r>
              <w:rPr>
                <w:spacing w:val="-3"/>
                <w:sz w:val="24"/>
                <w:szCs w:val="24"/>
              </w:rPr>
              <w:t>序号</w:t>
            </w:r>
          </w:p>
        </w:tc>
        <w:tc>
          <w:tcPr>
            <w:tcW w:w="966" w:type="dxa"/>
            <w:vAlign w:val="top"/>
          </w:tcPr>
          <w:p w14:paraId="7F83313D">
            <w:pPr>
              <w:pStyle w:val="25"/>
              <w:spacing w:before="233" w:line="220" w:lineRule="auto"/>
              <w:ind w:left="243"/>
              <w:rPr>
                <w:sz w:val="24"/>
                <w:szCs w:val="24"/>
              </w:rPr>
            </w:pPr>
            <w:r>
              <w:rPr>
                <w:spacing w:val="-3"/>
                <w:sz w:val="24"/>
                <w:szCs w:val="24"/>
              </w:rPr>
              <w:t>姓名</w:t>
            </w:r>
          </w:p>
        </w:tc>
        <w:tc>
          <w:tcPr>
            <w:tcW w:w="950" w:type="dxa"/>
            <w:vAlign w:val="top"/>
          </w:tcPr>
          <w:p w14:paraId="4CC52E3A">
            <w:pPr>
              <w:pStyle w:val="25"/>
              <w:spacing w:before="232" w:line="221" w:lineRule="auto"/>
              <w:ind w:left="236"/>
              <w:rPr>
                <w:sz w:val="24"/>
                <w:szCs w:val="24"/>
              </w:rPr>
            </w:pPr>
            <w:r>
              <w:rPr>
                <w:spacing w:val="-3"/>
                <w:sz w:val="24"/>
                <w:szCs w:val="24"/>
              </w:rPr>
              <w:t>性别</w:t>
            </w:r>
          </w:p>
        </w:tc>
        <w:tc>
          <w:tcPr>
            <w:tcW w:w="840" w:type="dxa"/>
            <w:vAlign w:val="top"/>
          </w:tcPr>
          <w:p w14:paraId="42022883">
            <w:pPr>
              <w:pStyle w:val="25"/>
              <w:spacing w:before="233" w:line="220" w:lineRule="auto"/>
              <w:ind w:left="183"/>
              <w:rPr>
                <w:sz w:val="24"/>
                <w:szCs w:val="24"/>
              </w:rPr>
            </w:pPr>
            <w:r>
              <w:rPr>
                <w:spacing w:val="-3"/>
                <w:sz w:val="24"/>
                <w:szCs w:val="24"/>
              </w:rPr>
              <w:t>年龄</w:t>
            </w:r>
          </w:p>
        </w:tc>
        <w:tc>
          <w:tcPr>
            <w:tcW w:w="886" w:type="dxa"/>
            <w:vAlign w:val="top"/>
          </w:tcPr>
          <w:p w14:paraId="2B67BA05">
            <w:pPr>
              <w:pStyle w:val="25"/>
              <w:spacing w:before="232" w:line="222" w:lineRule="auto"/>
              <w:ind w:left="211"/>
              <w:rPr>
                <w:sz w:val="24"/>
                <w:szCs w:val="24"/>
              </w:rPr>
            </w:pPr>
            <w:r>
              <w:rPr>
                <w:spacing w:val="-4"/>
                <w:sz w:val="24"/>
                <w:szCs w:val="24"/>
              </w:rPr>
              <w:t>学历</w:t>
            </w:r>
          </w:p>
        </w:tc>
        <w:tc>
          <w:tcPr>
            <w:tcW w:w="1490" w:type="dxa"/>
            <w:vAlign w:val="top"/>
          </w:tcPr>
          <w:p w14:paraId="5B52F774">
            <w:pPr>
              <w:pStyle w:val="25"/>
              <w:spacing w:before="232" w:line="221" w:lineRule="auto"/>
              <w:ind w:left="296"/>
              <w:rPr>
                <w:sz w:val="24"/>
                <w:szCs w:val="24"/>
              </w:rPr>
            </w:pPr>
            <w:r>
              <w:rPr>
                <w:spacing w:val="-7"/>
                <w:sz w:val="24"/>
                <w:szCs w:val="24"/>
              </w:rPr>
              <w:t>岗位名称</w:t>
            </w:r>
          </w:p>
        </w:tc>
        <w:tc>
          <w:tcPr>
            <w:tcW w:w="1437" w:type="dxa"/>
            <w:vAlign w:val="top"/>
          </w:tcPr>
          <w:p w14:paraId="7A403850">
            <w:pPr>
              <w:pStyle w:val="25"/>
              <w:spacing w:before="233" w:line="220" w:lineRule="auto"/>
              <w:ind w:left="486"/>
              <w:rPr>
                <w:sz w:val="24"/>
                <w:szCs w:val="24"/>
              </w:rPr>
            </w:pPr>
            <w:r>
              <w:rPr>
                <w:spacing w:val="-3"/>
                <w:sz w:val="24"/>
                <w:szCs w:val="24"/>
              </w:rPr>
              <w:t>职务</w:t>
            </w:r>
          </w:p>
        </w:tc>
        <w:tc>
          <w:tcPr>
            <w:tcW w:w="1610" w:type="dxa"/>
            <w:vAlign w:val="top"/>
          </w:tcPr>
          <w:p w14:paraId="6EFC64DD">
            <w:pPr>
              <w:pStyle w:val="25"/>
              <w:spacing w:before="232" w:line="222" w:lineRule="auto"/>
              <w:ind w:left="573"/>
              <w:rPr>
                <w:sz w:val="24"/>
                <w:szCs w:val="24"/>
              </w:rPr>
            </w:pPr>
            <w:r>
              <w:rPr>
                <w:spacing w:val="-4"/>
                <w:sz w:val="24"/>
                <w:szCs w:val="24"/>
              </w:rPr>
              <w:t>备注</w:t>
            </w:r>
          </w:p>
        </w:tc>
      </w:tr>
      <w:tr w14:paraId="2F7AD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912" w:type="dxa"/>
            <w:vAlign w:val="top"/>
          </w:tcPr>
          <w:p w14:paraId="1E92DDA2">
            <w:pPr>
              <w:rPr>
                <w:rFonts w:ascii="Arial"/>
                <w:sz w:val="21"/>
              </w:rPr>
            </w:pPr>
          </w:p>
        </w:tc>
        <w:tc>
          <w:tcPr>
            <w:tcW w:w="966" w:type="dxa"/>
            <w:vAlign w:val="top"/>
          </w:tcPr>
          <w:p w14:paraId="6C1A89BF">
            <w:pPr>
              <w:rPr>
                <w:rFonts w:ascii="Arial"/>
                <w:sz w:val="21"/>
              </w:rPr>
            </w:pPr>
          </w:p>
        </w:tc>
        <w:tc>
          <w:tcPr>
            <w:tcW w:w="950" w:type="dxa"/>
            <w:vAlign w:val="top"/>
          </w:tcPr>
          <w:p w14:paraId="6DD08735">
            <w:pPr>
              <w:rPr>
                <w:rFonts w:ascii="Arial"/>
                <w:sz w:val="21"/>
              </w:rPr>
            </w:pPr>
          </w:p>
        </w:tc>
        <w:tc>
          <w:tcPr>
            <w:tcW w:w="840" w:type="dxa"/>
            <w:vAlign w:val="top"/>
          </w:tcPr>
          <w:p w14:paraId="3A0C52FE">
            <w:pPr>
              <w:rPr>
                <w:rFonts w:ascii="Arial"/>
                <w:sz w:val="21"/>
              </w:rPr>
            </w:pPr>
          </w:p>
        </w:tc>
        <w:tc>
          <w:tcPr>
            <w:tcW w:w="886" w:type="dxa"/>
            <w:vAlign w:val="top"/>
          </w:tcPr>
          <w:p w14:paraId="59B5B0B7">
            <w:pPr>
              <w:rPr>
                <w:rFonts w:ascii="Arial"/>
                <w:sz w:val="21"/>
              </w:rPr>
            </w:pPr>
          </w:p>
        </w:tc>
        <w:tc>
          <w:tcPr>
            <w:tcW w:w="1490" w:type="dxa"/>
            <w:vAlign w:val="top"/>
          </w:tcPr>
          <w:p w14:paraId="3766A0AB">
            <w:pPr>
              <w:rPr>
                <w:rFonts w:ascii="Arial"/>
                <w:sz w:val="21"/>
              </w:rPr>
            </w:pPr>
          </w:p>
        </w:tc>
        <w:tc>
          <w:tcPr>
            <w:tcW w:w="1437" w:type="dxa"/>
            <w:vAlign w:val="top"/>
          </w:tcPr>
          <w:p w14:paraId="4364091E">
            <w:pPr>
              <w:rPr>
                <w:rFonts w:ascii="Arial"/>
                <w:sz w:val="21"/>
              </w:rPr>
            </w:pPr>
          </w:p>
        </w:tc>
        <w:tc>
          <w:tcPr>
            <w:tcW w:w="1610" w:type="dxa"/>
            <w:vAlign w:val="top"/>
          </w:tcPr>
          <w:p w14:paraId="7671B2EF">
            <w:pPr>
              <w:rPr>
                <w:rFonts w:ascii="Arial"/>
                <w:sz w:val="21"/>
              </w:rPr>
            </w:pPr>
          </w:p>
        </w:tc>
      </w:tr>
      <w:tr w14:paraId="59294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12" w:type="dxa"/>
            <w:vAlign w:val="top"/>
          </w:tcPr>
          <w:p w14:paraId="3D886AD5">
            <w:pPr>
              <w:rPr>
                <w:rFonts w:ascii="Arial"/>
                <w:sz w:val="21"/>
              </w:rPr>
            </w:pPr>
          </w:p>
        </w:tc>
        <w:tc>
          <w:tcPr>
            <w:tcW w:w="966" w:type="dxa"/>
            <w:vAlign w:val="top"/>
          </w:tcPr>
          <w:p w14:paraId="2F3FF249">
            <w:pPr>
              <w:rPr>
                <w:rFonts w:ascii="Arial"/>
                <w:sz w:val="21"/>
              </w:rPr>
            </w:pPr>
          </w:p>
        </w:tc>
        <w:tc>
          <w:tcPr>
            <w:tcW w:w="950" w:type="dxa"/>
            <w:vAlign w:val="top"/>
          </w:tcPr>
          <w:p w14:paraId="58F504CB">
            <w:pPr>
              <w:rPr>
                <w:rFonts w:ascii="Arial"/>
                <w:sz w:val="21"/>
              </w:rPr>
            </w:pPr>
          </w:p>
        </w:tc>
        <w:tc>
          <w:tcPr>
            <w:tcW w:w="840" w:type="dxa"/>
            <w:vAlign w:val="top"/>
          </w:tcPr>
          <w:p w14:paraId="0CBED616">
            <w:pPr>
              <w:rPr>
                <w:rFonts w:ascii="Arial"/>
                <w:sz w:val="21"/>
              </w:rPr>
            </w:pPr>
          </w:p>
        </w:tc>
        <w:tc>
          <w:tcPr>
            <w:tcW w:w="886" w:type="dxa"/>
            <w:vAlign w:val="top"/>
          </w:tcPr>
          <w:p w14:paraId="7157EBDC">
            <w:pPr>
              <w:rPr>
                <w:rFonts w:ascii="Arial"/>
                <w:sz w:val="21"/>
              </w:rPr>
            </w:pPr>
          </w:p>
        </w:tc>
        <w:tc>
          <w:tcPr>
            <w:tcW w:w="1490" w:type="dxa"/>
            <w:vAlign w:val="top"/>
          </w:tcPr>
          <w:p w14:paraId="16ED3864">
            <w:pPr>
              <w:rPr>
                <w:rFonts w:ascii="Arial"/>
                <w:sz w:val="21"/>
              </w:rPr>
            </w:pPr>
          </w:p>
        </w:tc>
        <w:tc>
          <w:tcPr>
            <w:tcW w:w="1437" w:type="dxa"/>
            <w:vAlign w:val="top"/>
          </w:tcPr>
          <w:p w14:paraId="5BD1661D">
            <w:pPr>
              <w:rPr>
                <w:rFonts w:ascii="Arial"/>
                <w:sz w:val="21"/>
              </w:rPr>
            </w:pPr>
          </w:p>
        </w:tc>
        <w:tc>
          <w:tcPr>
            <w:tcW w:w="1610" w:type="dxa"/>
            <w:vAlign w:val="top"/>
          </w:tcPr>
          <w:p w14:paraId="7347BA55">
            <w:pPr>
              <w:rPr>
                <w:rFonts w:ascii="Arial"/>
                <w:sz w:val="21"/>
              </w:rPr>
            </w:pPr>
          </w:p>
        </w:tc>
      </w:tr>
      <w:tr w14:paraId="62B9F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12" w:type="dxa"/>
            <w:vAlign w:val="top"/>
          </w:tcPr>
          <w:p w14:paraId="203BBE81">
            <w:pPr>
              <w:rPr>
                <w:rFonts w:ascii="Arial"/>
                <w:sz w:val="21"/>
              </w:rPr>
            </w:pPr>
          </w:p>
        </w:tc>
        <w:tc>
          <w:tcPr>
            <w:tcW w:w="966" w:type="dxa"/>
            <w:vAlign w:val="top"/>
          </w:tcPr>
          <w:p w14:paraId="4ED473B3">
            <w:pPr>
              <w:rPr>
                <w:rFonts w:ascii="Arial"/>
                <w:sz w:val="21"/>
              </w:rPr>
            </w:pPr>
          </w:p>
        </w:tc>
        <w:tc>
          <w:tcPr>
            <w:tcW w:w="950" w:type="dxa"/>
            <w:vAlign w:val="top"/>
          </w:tcPr>
          <w:p w14:paraId="48CC1DEF">
            <w:pPr>
              <w:rPr>
                <w:rFonts w:ascii="Arial"/>
                <w:sz w:val="21"/>
              </w:rPr>
            </w:pPr>
          </w:p>
        </w:tc>
        <w:tc>
          <w:tcPr>
            <w:tcW w:w="840" w:type="dxa"/>
            <w:vAlign w:val="top"/>
          </w:tcPr>
          <w:p w14:paraId="1793E444">
            <w:pPr>
              <w:rPr>
                <w:rFonts w:ascii="Arial"/>
                <w:sz w:val="21"/>
              </w:rPr>
            </w:pPr>
          </w:p>
        </w:tc>
        <w:tc>
          <w:tcPr>
            <w:tcW w:w="886" w:type="dxa"/>
            <w:vAlign w:val="top"/>
          </w:tcPr>
          <w:p w14:paraId="53D62874">
            <w:pPr>
              <w:rPr>
                <w:rFonts w:ascii="Arial"/>
                <w:sz w:val="21"/>
              </w:rPr>
            </w:pPr>
          </w:p>
        </w:tc>
        <w:tc>
          <w:tcPr>
            <w:tcW w:w="1490" w:type="dxa"/>
            <w:vAlign w:val="top"/>
          </w:tcPr>
          <w:p w14:paraId="167B7B50">
            <w:pPr>
              <w:rPr>
                <w:rFonts w:ascii="Arial"/>
                <w:sz w:val="21"/>
              </w:rPr>
            </w:pPr>
          </w:p>
        </w:tc>
        <w:tc>
          <w:tcPr>
            <w:tcW w:w="1437" w:type="dxa"/>
            <w:vAlign w:val="top"/>
          </w:tcPr>
          <w:p w14:paraId="6221AA82">
            <w:pPr>
              <w:rPr>
                <w:rFonts w:ascii="Arial"/>
                <w:sz w:val="21"/>
              </w:rPr>
            </w:pPr>
          </w:p>
        </w:tc>
        <w:tc>
          <w:tcPr>
            <w:tcW w:w="1610" w:type="dxa"/>
            <w:vAlign w:val="top"/>
          </w:tcPr>
          <w:p w14:paraId="3093E0ED">
            <w:pPr>
              <w:rPr>
                <w:rFonts w:ascii="Arial"/>
                <w:sz w:val="21"/>
              </w:rPr>
            </w:pPr>
          </w:p>
        </w:tc>
      </w:tr>
      <w:tr w14:paraId="79892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12" w:type="dxa"/>
            <w:vAlign w:val="top"/>
          </w:tcPr>
          <w:p w14:paraId="60461800">
            <w:pPr>
              <w:rPr>
                <w:rFonts w:ascii="Arial"/>
                <w:sz w:val="21"/>
              </w:rPr>
            </w:pPr>
          </w:p>
        </w:tc>
        <w:tc>
          <w:tcPr>
            <w:tcW w:w="966" w:type="dxa"/>
            <w:vAlign w:val="top"/>
          </w:tcPr>
          <w:p w14:paraId="0C984B72">
            <w:pPr>
              <w:rPr>
                <w:rFonts w:ascii="Arial"/>
                <w:sz w:val="21"/>
              </w:rPr>
            </w:pPr>
          </w:p>
        </w:tc>
        <w:tc>
          <w:tcPr>
            <w:tcW w:w="950" w:type="dxa"/>
            <w:vAlign w:val="top"/>
          </w:tcPr>
          <w:p w14:paraId="28B4E037">
            <w:pPr>
              <w:rPr>
                <w:rFonts w:ascii="Arial"/>
                <w:sz w:val="21"/>
              </w:rPr>
            </w:pPr>
          </w:p>
        </w:tc>
        <w:tc>
          <w:tcPr>
            <w:tcW w:w="840" w:type="dxa"/>
            <w:vAlign w:val="top"/>
          </w:tcPr>
          <w:p w14:paraId="7476192C">
            <w:pPr>
              <w:rPr>
                <w:rFonts w:ascii="Arial"/>
                <w:sz w:val="21"/>
              </w:rPr>
            </w:pPr>
          </w:p>
        </w:tc>
        <w:tc>
          <w:tcPr>
            <w:tcW w:w="886" w:type="dxa"/>
            <w:vAlign w:val="top"/>
          </w:tcPr>
          <w:p w14:paraId="0917E791">
            <w:pPr>
              <w:rPr>
                <w:rFonts w:ascii="Arial"/>
                <w:sz w:val="21"/>
              </w:rPr>
            </w:pPr>
          </w:p>
        </w:tc>
        <w:tc>
          <w:tcPr>
            <w:tcW w:w="1490" w:type="dxa"/>
            <w:vAlign w:val="top"/>
          </w:tcPr>
          <w:p w14:paraId="5471CD89">
            <w:pPr>
              <w:rPr>
                <w:rFonts w:ascii="Arial"/>
                <w:sz w:val="21"/>
              </w:rPr>
            </w:pPr>
          </w:p>
        </w:tc>
        <w:tc>
          <w:tcPr>
            <w:tcW w:w="1437" w:type="dxa"/>
            <w:vAlign w:val="top"/>
          </w:tcPr>
          <w:p w14:paraId="1CE5AE7D">
            <w:pPr>
              <w:rPr>
                <w:rFonts w:ascii="Arial"/>
                <w:sz w:val="21"/>
              </w:rPr>
            </w:pPr>
          </w:p>
        </w:tc>
        <w:tc>
          <w:tcPr>
            <w:tcW w:w="1610" w:type="dxa"/>
            <w:vAlign w:val="top"/>
          </w:tcPr>
          <w:p w14:paraId="37AC96B8">
            <w:pPr>
              <w:rPr>
                <w:rFonts w:ascii="Arial"/>
                <w:sz w:val="21"/>
              </w:rPr>
            </w:pPr>
          </w:p>
        </w:tc>
      </w:tr>
      <w:tr w14:paraId="207AC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12" w:type="dxa"/>
            <w:vAlign w:val="top"/>
          </w:tcPr>
          <w:p w14:paraId="4765D2A9">
            <w:pPr>
              <w:rPr>
                <w:rFonts w:ascii="Arial"/>
                <w:sz w:val="21"/>
              </w:rPr>
            </w:pPr>
          </w:p>
        </w:tc>
        <w:tc>
          <w:tcPr>
            <w:tcW w:w="966" w:type="dxa"/>
            <w:vAlign w:val="top"/>
          </w:tcPr>
          <w:p w14:paraId="2AFD7E4D">
            <w:pPr>
              <w:rPr>
                <w:rFonts w:ascii="Arial"/>
                <w:sz w:val="21"/>
              </w:rPr>
            </w:pPr>
          </w:p>
        </w:tc>
        <w:tc>
          <w:tcPr>
            <w:tcW w:w="950" w:type="dxa"/>
            <w:vAlign w:val="top"/>
          </w:tcPr>
          <w:p w14:paraId="2C1B318C">
            <w:pPr>
              <w:rPr>
                <w:rFonts w:ascii="Arial"/>
                <w:sz w:val="21"/>
              </w:rPr>
            </w:pPr>
          </w:p>
        </w:tc>
        <w:tc>
          <w:tcPr>
            <w:tcW w:w="840" w:type="dxa"/>
            <w:vAlign w:val="top"/>
          </w:tcPr>
          <w:p w14:paraId="23491660">
            <w:pPr>
              <w:rPr>
                <w:rFonts w:ascii="Arial"/>
                <w:sz w:val="21"/>
              </w:rPr>
            </w:pPr>
          </w:p>
        </w:tc>
        <w:tc>
          <w:tcPr>
            <w:tcW w:w="886" w:type="dxa"/>
            <w:vAlign w:val="top"/>
          </w:tcPr>
          <w:p w14:paraId="36AB868E">
            <w:pPr>
              <w:rPr>
                <w:rFonts w:ascii="Arial"/>
                <w:sz w:val="21"/>
              </w:rPr>
            </w:pPr>
          </w:p>
        </w:tc>
        <w:tc>
          <w:tcPr>
            <w:tcW w:w="1490" w:type="dxa"/>
            <w:vAlign w:val="top"/>
          </w:tcPr>
          <w:p w14:paraId="1164C7F5">
            <w:pPr>
              <w:rPr>
                <w:rFonts w:ascii="Arial"/>
                <w:sz w:val="21"/>
              </w:rPr>
            </w:pPr>
          </w:p>
        </w:tc>
        <w:tc>
          <w:tcPr>
            <w:tcW w:w="1437" w:type="dxa"/>
            <w:vAlign w:val="top"/>
          </w:tcPr>
          <w:p w14:paraId="6BAEB4FA">
            <w:pPr>
              <w:rPr>
                <w:rFonts w:ascii="Arial"/>
                <w:sz w:val="21"/>
              </w:rPr>
            </w:pPr>
          </w:p>
        </w:tc>
        <w:tc>
          <w:tcPr>
            <w:tcW w:w="1610" w:type="dxa"/>
            <w:vAlign w:val="top"/>
          </w:tcPr>
          <w:p w14:paraId="3EC7B9FA">
            <w:pPr>
              <w:rPr>
                <w:rFonts w:ascii="Arial"/>
                <w:sz w:val="21"/>
              </w:rPr>
            </w:pPr>
          </w:p>
        </w:tc>
      </w:tr>
      <w:tr w14:paraId="6DC63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912" w:type="dxa"/>
            <w:vAlign w:val="top"/>
          </w:tcPr>
          <w:p w14:paraId="0030B497">
            <w:pPr>
              <w:rPr>
                <w:rFonts w:ascii="Arial"/>
                <w:sz w:val="21"/>
              </w:rPr>
            </w:pPr>
          </w:p>
        </w:tc>
        <w:tc>
          <w:tcPr>
            <w:tcW w:w="966" w:type="dxa"/>
            <w:vAlign w:val="top"/>
          </w:tcPr>
          <w:p w14:paraId="0784CAC1">
            <w:pPr>
              <w:rPr>
                <w:rFonts w:ascii="Arial"/>
                <w:sz w:val="21"/>
              </w:rPr>
            </w:pPr>
          </w:p>
        </w:tc>
        <w:tc>
          <w:tcPr>
            <w:tcW w:w="950" w:type="dxa"/>
            <w:vAlign w:val="top"/>
          </w:tcPr>
          <w:p w14:paraId="6D4FD4A0">
            <w:pPr>
              <w:rPr>
                <w:rFonts w:ascii="Arial"/>
                <w:sz w:val="21"/>
              </w:rPr>
            </w:pPr>
          </w:p>
        </w:tc>
        <w:tc>
          <w:tcPr>
            <w:tcW w:w="840" w:type="dxa"/>
            <w:vAlign w:val="top"/>
          </w:tcPr>
          <w:p w14:paraId="0F36A1E9">
            <w:pPr>
              <w:rPr>
                <w:rFonts w:ascii="Arial"/>
                <w:sz w:val="21"/>
              </w:rPr>
            </w:pPr>
          </w:p>
        </w:tc>
        <w:tc>
          <w:tcPr>
            <w:tcW w:w="886" w:type="dxa"/>
            <w:vAlign w:val="top"/>
          </w:tcPr>
          <w:p w14:paraId="070A917A">
            <w:pPr>
              <w:rPr>
                <w:rFonts w:ascii="Arial"/>
                <w:sz w:val="21"/>
              </w:rPr>
            </w:pPr>
          </w:p>
        </w:tc>
        <w:tc>
          <w:tcPr>
            <w:tcW w:w="1490" w:type="dxa"/>
            <w:vAlign w:val="top"/>
          </w:tcPr>
          <w:p w14:paraId="20030A4E">
            <w:pPr>
              <w:rPr>
                <w:rFonts w:ascii="Arial"/>
                <w:sz w:val="21"/>
              </w:rPr>
            </w:pPr>
          </w:p>
        </w:tc>
        <w:tc>
          <w:tcPr>
            <w:tcW w:w="1437" w:type="dxa"/>
            <w:vAlign w:val="top"/>
          </w:tcPr>
          <w:p w14:paraId="2BBE9CD5">
            <w:pPr>
              <w:rPr>
                <w:rFonts w:ascii="Arial"/>
                <w:sz w:val="21"/>
              </w:rPr>
            </w:pPr>
          </w:p>
        </w:tc>
        <w:tc>
          <w:tcPr>
            <w:tcW w:w="1610" w:type="dxa"/>
            <w:vAlign w:val="top"/>
          </w:tcPr>
          <w:p w14:paraId="383A5A58">
            <w:pPr>
              <w:rPr>
                <w:rFonts w:ascii="Arial"/>
                <w:sz w:val="21"/>
              </w:rPr>
            </w:pPr>
          </w:p>
        </w:tc>
      </w:tr>
      <w:tr w14:paraId="64A0C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12" w:type="dxa"/>
            <w:vAlign w:val="top"/>
          </w:tcPr>
          <w:p w14:paraId="0348CBF7">
            <w:pPr>
              <w:rPr>
                <w:rFonts w:ascii="Arial"/>
                <w:sz w:val="21"/>
              </w:rPr>
            </w:pPr>
          </w:p>
        </w:tc>
        <w:tc>
          <w:tcPr>
            <w:tcW w:w="966" w:type="dxa"/>
            <w:vAlign w:val="top"/>
          </w:tcPr>
          <w:p w14:paraId="265C1DC7">
            <w:pPr>
              <w:rPr>
                <w:rFonts w:ascii="Arial"/>
                <w:sz w:val="21"/>
              </w:rPr>
            </w:pPr>
          </w:p>
        </w:tc>
        <w:tc>
          <w:tcPr>
            <w:tcW w:w="950" w:type="dxa"/>
            <w:vAlign w:val="top"/>
          </w:tcPr>
          <w:p w14:paraId="21846701">
            <w:pPr>
              <w:rPr>
                <w:rFonts w:ascii="Arial"/>
                <w:sz w:val="21"/>
              </w:rPr>
            </w:pPr>
          </w:p>
        </w:tc>
        <w:tc>
          <w:tcPr>
            <w:tcW w:w="840" w:type="dxa"/>
            <w:vAlign w:val="top"/>
          </w:tcPr>
          <w:p w14:paraId="56647378">
            <w:pPr>
              <w:rPr>
                <w:rFonts w:ascii="Arial"/>
                <w:sz w:val="21"/>
              </w:rPr>
            </w:pPr>
          </w:p>
        </w:tc>
        <w:tc>
          <w:tcPr>
            <w:tcW w:w="886" w:type="dxa"/>
            <w:vAlign w:val="top"/>
          </w:tcPr>
          <w:p w14:paraId="52283AEA">
            <w:pPr>
              <w:rPr>
                <w:rFonts w:ascii="Arial"/>
                <w:sz w:val="21"/>
              </w:rPr>
            </w:pPr>
          </w:p>
        </w:tc>
        <w:tc>
          <w:tcPr>
            <w:tcW w:w="1490" w:type="dxa"/>
            <w:vAlign w:val="top"/>
          </w:tcPr>
          <w:p w14:paraId="05C9F3DB">
            <w:pPr>
              <w:rPr>
                <w:rFonts w:ascii="Arial"/>
                <w:sz w:val="21"/>
              </w:rPr>
            </w:pPr>
          </w:p>
        </w:tc>
        <w:tc>
          <w:tcPr>
            <w:tcW w:w="1437" w:type="dxa"/>
            <w:vAlign w:val="top"/>
          </w:tcPr>
          <w:p w14:paraId="143C71C0">
            <w:pPr>
              <w:rPr>
                <w:rFonts w:ascii="Arial"/>
                <w:sz w:val="21"/>
              </w:rPr>
            </w:pPr>
          </w:p>
        </w:tc>
        <w:tc>
          <w:tcPr>
            <w:tcW w:w="1610" w:type="dxa"/>
            <w:vAlign w:val="top"/>
          </w:tcPr>
          <w:p w14:paraId="1E8377A4">
            <w:pPr>
              <w:rPr>
                <w:rFonts w:ascii="Arial"/>
                <w:sz w:val="21"/>
              </w:rPr>
            </w:pPr>
          </w:p>
        </w:tc>
      </w:tr>
      <w:tr w14:paraId="4DA73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12" w:type="dxa"/>
            <w:vAlign w:val="top"/>
          </w:tcPr>
          <w:p w14:paraId="35A22650">
            <w:pPr>
              <w:rPr>
                <w:rFonts w:ascii="Arial"/>
                <w:sz w:val="21"/>
              </w:rPr>
            </w:pPr>
          </w:p>
        </w:tc>
        <w:tc>
          <w:tcPr>
            <w:tcW w:w="966" w:type="dxa"/>
            <w:vAlign w:val="top"/>
          </w:tcPr>
          <w:p w14:paraId="38E2F144">
            <w:pPr>
              <w:rPr>
                <w:rFonts w:ascii="Arial"/>
                <w:sz w:val="21"/>
              </w:rPr>
            </w:pPr>
          </w:p>
        </w:tc>
        <w:tc>
          <w:tcPr>
            <w:tcW w:w="950" w:type="dxa"/>
            <w:vAlign w:val="top"/>
          </w:tcPr>
          <w:p w14:paraId="5C434983">
            <w:pPr>
              <w:rPr>
                <w:rFonts w:ascii="Arial"/>
                <w:sz w:val="21"/>
              </w:rPr>
            </w:pPr>
          </w:p>
        </w:tc>
        <w:tc>
          <w:tcPr>
            <w:tcW w:w="840" w:type="dxa"/>
            <w:vAlign w:val="top"/>
          </w:tcPr>
          <w:p w14:paraId="70088486">
            <w:pPr>
              <w:rPr>
                <w:rFonts w:ascii="Arial"/>
                <w:sz w:val="21"/>
              </w:rPr>
            </w:pPr>
          </w:p>
        </w:tc>
        <w:tc>
          <w:tcPr>
            <w:tcW w:w="886" w:type="dxa"/>
            <w:vAlign w:val="top"/>
          </w:tcPr>
          <w:p w14:paraId="14C30E28">
            <w:pPr>
              <w:rPr>
                <w:rFonts w:ascii="Arial"/>
                <w:sz w:val="21"/>
              </w:rPr>
            </w:pPr>
          </w:p>
        </w:tc>
        <w:tc>
          <w:tcPr>
            <w:tcW w:w="1490" w:type="dxa"/>
            <w:vAlign w:val="top"/>
          </w:tcPr>
          <w:p w14:paraId="2B56F055">
            <w:pPr>
              <w:rPr>
                <w:rFonts w:ascii="Arial"/>
                <w:sz w:val="21"/>
              </w:rPr>
            </w:pPr>
          </w:p>
        </w:tc>
        <w:tc>
          <w:tcPr>
            <w:tcW w:w="1437" w:type="dxa"/>
            <w:vAlign w:val="top"/>
          </w:tcPr>
          <w:p w14:paraId="1FDE894E">
            <w:pPr>
              <w:rPr>
                <w:rFonts w:ascii="Arial"/>
                <w:sz w:val="21"/>
              </w:rPr>
            </w:pPr>
          </w:p>
        </w:tc>
        <w:tc>
          <w:tcPr>
            <w:tcW w:w="1610" w:type="dxa"/>
            <w:vAlign w:val="top"/>
          </w:tcPr>
          <w:p w14:paraId="453BF38A">
            <w:pPr>
              <w:rPr>
                <w:rFonts w:ascii="Arial"/>
                <w:sz w:val="21"/>
              </w:rPr>
            </w:pPr>
          </w:p>
        </w:tc>
      </w:tr>
      <w:tr w14:paraId="3A53B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12" w:type="dxa"/>
            <w:vAlign w:val="top"/>
          </w:tcPr>
          <w:p w14:paraId="15D2D0E8">
            <w:pPr>
              <w:rPr>
                <w:rFonts w:ascii="Arial"/>
                <w:sz w:val="21"/>
              </w:rPr>
            </w:pPr>
          </w:p>
        </w:tc>
        <w:tc>
          <w:tcPr>
            <w:tcW w:w="966" w:type="dxa"/>
            <w:vAlign w:val="top"/>
          </w:tcPr>
          <w:p w14:paraId="78DF0256">
            <w:pPr>
              <w:rPr>
                <w:rFonts w:ascii="Arial"/>
                <w:sz w:val="21"/>
              </w:rPr>
            </w:pPr>
          </w:p>
        </w:tc>
        <w:tc>
          <w:tcPr>
            <w:tcW w:w="950" w:type="dxa"/>
            <w:vAlign w:val="top"/>
          </w:tcPr>
          <w:p w14:paraId="67E3D9B5">
            <w:pPr>
              <w:rPr>
                <w:rFonts w:ascii="Arial"/>
                <w:sz w:val="21"/>
              </w:rPr>
            </w:pPr>
          </w:p>
        </w:tc>
        <w:tc>
          <w:tcPr>
            <w:tcW w:w="840" w:type="dxa"/>
            <w:vAlign w:val="top"/>
          </w:tcPr>
          <w:p w14:paraId="64ECE9D1">
            <w:pPr>
              <w:rPr>
                <w:rFonts w:ascii="Arial"/>
                <w:sz w:val="21"/>
              </w:rPr>
            </w:pPr>
          </w:p>
        </w:tc>
        <w:tc>
          <w:tcPr>
            <w:tcW w:w="886" w:type="dxa"/>
            <w:vAlign w:val="top"/>
          </w:tcPr>
          <w:p w14:paraId="2DE5DAB9">
            <w:pPr>
              <w:rPr>
                <w:rFonts w:ascii="Arial"/>
                <w:sz w:val="21"/>
              </w:rPr>
            </w:pPr>
          </w:p>
        </w:tc>
        <w:tc>
          <w:tcPr>
            <w:tcW w:w="1490" w:type="dxa"/>
            <w:vAlign w:val="top"/>
          </w:tcPr>
          <w:p w14:paraId="189FDB05">
            <w:pPr>
              <w:rPr>
                <w:rFonts w:ascii="Arial"/>
                <w:sz w:val="21"/>
              </w:rPr>
            </w:pPr>
          </w:p>
        </w:tc>
        <w:tc>
          <w:tcPr>
            <w:tcW w:w="1437" w:type="dxa"/>
            <w:vAlign w:val="top"/>
          </w:tcPr>
          <w:p w14:paraId="720B8991">
            <w:pPr>
              <w:rPr>
                <w:rFonts w:ascii="Arial"/>
                <w:sz w:val="21"/>
              </w:rPr>
            </w:pPr>
          </w:p>
        </w:tc>
        <w:tc>
          <w:tcPr>
            <w:tcW w:w="1610" w:type="dxa"/>
            <w:vAlign w:val="top"/>
          </w:tcPr>
          <w:p w14:paraId="386100BA">
            <w:pPr>
              <w:rPr>
                <w:rFonts w:ascii="Arial"/>
                <w:sz w:val="21"/>
              </w:rPr>
            </w:pPr>
          </w:p>
        </w:tc>
      </w:tr>
      <w:tr w14:paraId="34BB2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12" w:type="dxa"/>
            <w:vAlign w:val="top"/>
          </w:tcPr>
          <w:p w14:paraId="19A64D49">
            <w:pPr>
              <w:rPr>
                <w:rFonts w:ascii="Arial"/>
                <w:sz w:val="21"/>
              </w:rPr>
            </w:pPr>
          </w:p>
        </w:tc>
        <w:tc>
          <w:tcPr>
            <w:tcW w:w="966" w:type="dxa"/>
            <w:vAlign w:val="top"/>
          </w:tcPr>
          <w:p w14:paraId="6E41CF80">
            <w:pPr>
              <w:rPr>
                <w:rFonts w:ascii="Arial"/>
                <w:sz w:val="21"/>
              </w:rPr>
            </w:pPr>
          </w:p>
        </w:tc>
        <w:tc>
          <w:tcPr>
            <w:tcW w:w="950" w:type="dxa"/>
            <w:vAlign w:val="top"/>
          </w:tcPr>
          <w:p w14:paraId="3C16F9BE">
            <w:pPr>
              <w:rPr>
                <w:rFonts w:ascii="Arial"/>
                <w:sz w:val="21"/>
              </w:rPr>
            </w:pPr>
          </w:p>
        </w:tc>
        <w:tc>
          <w:tcPr>
            <w:tcW w:w="840" w:type="dxa"/>
            <w:vAlign w:val="top"/>
          </w:tcPr>
          <w:p w14:paraId="576C3318">
            <w:pPr>
              <w:rPr>
                <w:rFonts w:ascii="Arial"/>
                <w:sz w:val="21"/>
              </w:rPr>
            </w:pPr>
          </w:p>
        </w:tc>
        <w:tc>
          <w:tcPr>
            <w:tcW w:w="886" w:type="dxa"/>
            <w:vAlign w:val="top"/>
          </w:tcPr>
          <w:p w14:paraId="5E21BE16">
            <w:pPr>
              <w:rPr>
                <w:rFonts w:ascii="Arial"/>
                <w:sz w:val="21"/>
              </w:rPr>
            </w:pPr>
          </w:p>
        </w:tc>
        <w:tc>
          <w:tcPr>
            <w:tcW w:w="1490" w:type="dxa"/>
            <w:vAlign w:val="top"/>
          </w:tcPr>
          <w:p w14:paraId="1B1C1E2B">
            <w:pPr>
              <w:rPr>
                <w:rFonts w:ascii="Arial"/>
                <w:sz w:val="21"/>
              </w:rPr>
            </w:pPr>
          </w:p>
        </w:tc>
        <w:tc>
          <w:tcPr>
            <w:tcW w:w="1437" w:type="dxa"/>
            <w:vAlign w:val="top"/>
          </w:tcPr>
          <w:p w14:paraId="7A6041E6">
            <w:pPr>
              <w:rPr>
                <w:rFonts w:ascii="Arial"/>
                <w:sz w:val="21"/>
              </w:rPr>
            </w:pPr>
          </w:p>
        </w:tc>
        <w:tc>
          <w:tcPr>
            <w:tcW w:w="1610" w:type="dxa"/>
            <w:vAlign w:val="top"/>
          </w:tcPr>
          <w:p w14:paraId="2387922C">
            <w:pPr>
              <w:rPr>
                <w:rFonts w:ascii="Arial"/>
                <w:sz w:val="21"/>
              </w:rPr>
            </w:pPr>
          </w:p>
        </w:tc>
      </w:tr>
      <w:tr w14:paraId="15BFC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912" w:type="dxa"/>
            <w:vAlign w:val="top"/>
          </w:tcPr>
          <w:p w14:paraId="15F17770">
            <w:pPr>
              <w:rPr>
                <w:rFonts w:ascii="Arial"/>
                <w:sz w:val="21"/>
              </w:rPr>
            </w:pPr>
          </w:p>
        </w:tc>
        <w:tc>
          <w:tcPr>
            <w:tcW w:w="966" w:type="dxa"/>
            <w:vAlign w:val="top"/>
          </w:tcPr>
          <w:p w14:paraId="09DB0676">
            <w:pPr>
              <w:rPr>
                <w:rFonts w:ascii="Arial"/>
                <w:sz w:val="21"/>
              </w:rPr>
            </w:pPr>
          </w:p>
        </w:tc>
        <w:tc>
          <w:tcPr>
            <w:tcW w:w="950" w:type="dxa"/>
            <w:vAlign w:val="top"/>
          </w:tcPr>
          <w:p w14:paraId="55C09FEA">
            <w:pPr>
              <w:rPr>
                <w:rFonts w:ascii="Arial"/>
                <w:sz w:val="21"/>
              </w:rPr>
            </w:pPr>
          </w:p>
        </w:tc>
        <w:tc>
          <w:tcPr>
            <w:tcW w:w="840" w:type="dxa"/>
            <w:vAlign w:val="top"/>
          </w:tcPr>
          <w:p w14:paraId="6F3DE76B">
            <w:pPr>
              <w:rPr>
                <w:rFonts w:ascii="Arial"/>
                <w:sz w:val="21"/>
              </w:rPr>
            </w:pPr>
          </w:p>
        </w:tc>
        <w:tc>
          <w:tcPr>
            <w:tcW w:w="886" w:type="dxa"/>
            <w:vAlign w:val="top"/>
          </w:tcPr>
          <w:p w14:paraId="6D92828E">
            <w:pPr>
              <w:rPr>
                <w:rFonts w:ascii="Arial"/>
                <w:sz w:val="21"/>
              </w:rPr>
            </w:pPr>
          </w:p>
        </w:tc>
        <w:tc>
          <w:tcPr>
            <w:tcW w:w="1490" w:type="dxa"/>
            <w:vAlign w:val="top"/>
          </w:tcPr>
          <w:p w14:paraId="4779C27B">
            <w:pPr>
              <w:rPr>
                <w:rFonts w:ascii="Arial"/>
                <w:sz w:val="21"/>
              </w:rPr>
            </w:pPr>
          </w:p>
        </w:tc>
        <w:tc>
          <w:tcPr>
            <w:tcW w:w="1437" w:type="dxa"/>
            <w:vAlign w:val="top"/>
          </w:tcPr>
          <w:p w14:paraId="328495F7">
            <w:pPr>
              <w:rPr>
                <w:rFonts w:ascii="Arial"/>
                <w:sz w:val="21"/>
              </w:rPr>
            </w:pPr>
          </w:p>
        </w:tc>
        <w:tc>
          <w:tcPr>
            <w:tcW w:w="1610" w:type="dxa"/>
            <w:vAlign w:val="top"/>
          </w:tcPr>
          <w:p w14:paraId="480BA826">
            <w:pPr>
              <w:rPr>
                <w:rFonts w:ascii="Arial"/>
                <w:sz w:val="21"/>
              </w:rPr>
            </w:pPr>
          </w:p>
        </w:tc>
      </w:tr>
      <w:tr w14:paraId="0BDC2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12" w:type="dxa"/>
            <w:vAlign w:val="top"/>
          </w:tcPr>
          <w:p w14:paraId="42C88613">
            <w:pPr>
              <w:rPr>
                <w:rFonts w:ascii="Arial"/>
                <w:sz w:val="21"/>
              </w:rPr>
            </w:pPr>
          </w:p>
        </w:tc>
        <w:tc>
          <w:tcPr>
            <w:tcW w:w="966" w:type="dxa"/>
            <w:vAlign w:val="top"/>
          </w:tcPr>
          <w:p w14:paraId="064AD02B">
            <w:pPr>
              <w:rPr>
                <w:rFonts w:ascii="Arial"/>
                <w:sz w:val="21"/>
              </w:rPr>
            </w:pPr>
          </w:p>
        </w:tc>
        <w:tc>
          <w:tcPr>
            <w:tcW w:w="950" w:type="dxa"/>
            <w:vAlign w:val="top"/>
          </w:tcPr>
          <w:p w14:paraId="1EC35665">
            <w:pPr>
              <w:rPr>
                <w:rFonts w:ascii="Arial"/>
                <w:sz w:val="21"/>
              </w:rPr>
            </w:pPr>
          </w:p>
        </w:tc>
        <w:tc>
          <w:tcPr>
            <w:tcW w:w="840" w:type="dxa"/>
            <w:vAlign w:val="top"/>
          </w:tcPr>
          <w:p w14:paraId="13D29964">
            <w:pPr>
              <w:rPr>
                <w:rFonts w:ascii="Arial"/>
                <w:sz w:val="21"/>
              </w:rPr>
            </w:pPr>
          </w:p>
        </w:tc>
        <w:tc>
          <w:tcPr>
            <w:tcW w:w="886" w:type="dxa"/>
            <w:vAlign w:val="top"/>
          </w:tcPr>
          <w:p w14:paraId="4FCC77F2">
            <w:pPr>
              <w:rPr>
                <w:rFonts w:ascii="Arial"/>
                <w:sz w:val="21"/>
              </w:rPr>
            </w:pPr>
          </w:p>
        </w:tc>
        <w:tc>
          <w:tcPr>
            <w:tcW w:w="1490" w:type="dxa"/>
            <w:vAlign w:val="top"/>
          </w:tcPr>
          <w:p w14:paraId="2C2E9545">
            <w:pPr>
              <w:rPr>
                <w:rFonts w:ascii="Arial"/>
                <w:sz w:val="21"/>
              </w:rPr>
            </w:pPr>
          </w:p>
        </w:tc>
        <w:tc>
          <w:tcPr>
            <w:tcW w:w="1437" w:type="dxa"/>
            <w:vAlign w:val="top"/>
          </w:tcPr>
          <w:p w14:paraId="1A1DDACD">
            <w:pPr>
              <w:rPr>
                <w:rFonts w:ascii="Arial"/>
                <w:sz w:val="21"/>
              </w:rPr>
            </w:pPr>
          </w:p>
        </w:tc>
        <w:tc>
          <w:tcPr>
            <w:tcW w:w="1610" w:type="dxa"/>
            <w:vAlign w:val="top"/>
          </w:tcPr>
          <w:p w14:paraId="6D42F9F4">
            <w:pPr>
              <w:rPr>
                <w:rFonts w:ascii="Arial"/>
                <w:sz w:val="21"/>
              </w:rPr>
            </w:pPr>
          </w:p>
        </w:tc>
      </w:tr>
      <w:tr w14:paraId="3A261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912" w:type="dxa"/>
            <w:vAlign w:val="top"/>
          </w:tcPr>
          <w:p w14:paraId="5C17AF13">
            <w:pPr>
              <w:rPr>
                <w:rFonts w:ascii="Arial"/>
                <w:sz w:val="21"/>
              </w:rPr>
            </w:pPr>
          </w:p>
        </w:tc>
        <w:tc>
          <w:tcPr>
            <w:tcW w:w="966" w:type="dxa"/>
            <w:vAlign w:val="top"/>
          </w:tcPr>
          <w:p w14:paraId="75415D84">
            <w:pPr>
              <w:rPr>
                <w:rFonts w:ascii="Arial"/>
                <w:sz w:val="21"/>
              </w:rPr>
            </w:pPr>
          </w:p>
        </w:tc>
        <w:tc>
          <w:tcPr>
            <w:tcW w:w="950" w:type="dxa"/>
            <w:vAlign w:val="top"/>
          </w:tcPr>
          <w:p w14:paraId="03222745">
            <w:pPr>
              <w:rPr>
                <w:rFonts w:ascii="Arial"/>
                <w:sz w:val="21"/>
              </w:rPr>
            </w:pPr>
          </w:p>
        </w:tc>
        <w:tc>
          <w:tcPr>
            <w:tcW w:w="840" w:type="dxa"/>
            <w:vAlign w:val="top"/>
          </w:tcPr>
          <w:p w14:paraId="7A05A5C6">
            <w:pPr>
              <w:rPr>
                <w:rFonts w:ascii="Arial"/>
                <w:sz w:val="21"/>
              </w:rPr>
            </w:pPr>
          </w:p>
        </w:tc>
        <w:tc>
          <w:tcPr>
            <w:tcW w:w="886" w:type="dxa"/>
            <w:vAlign w:val="top"/>
          </w:tcPr>
          <w:p w14:paraId="5F2DDA4B">
            <w:pPr>
              <w:rPr>
                <w:rFonts w:ascii="Arial"/>
                <w:sz w:val="21"/>
              </w:rPr>
            </w:pPr>
          </w:p>
        </w:tc>
        <w:tc>
          <w:tcPr>
            <w:tcW w:w="1490" w:type="dxa"/>
            <w:vAlign w:val="top"/>
          </w:tcPr>
          <w:p w14:paraId="71E83D0B">
            <w:pPr>
              <w:rPr>
                <w:rFonts w:ascii="Arial"/>
                <w:sz w:val="21"/>
              </w:rPr>
            </w:pPr>
          </w:p>
        </w:tc>
        <w:tc>
          <w:tcPr>
            <w:tcW w:w="1437" w:type="dxa"/>
            <w:vAlign w:val="top"/>
          </w:tcPr>
          <w:p w14:paraId="3796C2AF">
            <w:pPr>
              <w:rPr>
                <w:rFonts w:ascii="Arial"/>
                <w:sz w:val="21"/>
              </w:rPr>
            </w:pPr>
          </w:p>
        </w:tc>
        <w:tc>
          <w:tcPr>
            <w:tcW w:w="1610" w:type="dxa"/>
            <w:vAlign w:val="top"/>
          </w:tcPr>
          <w:p w14:paraId="74CCB51F">
            <w:pPr>
              <w:rPr>
                <w:rFonts w:ascii="Arial"/>
                <w:sz w:val="21"/>
              </w:rPr>
            </w:pPr>
          </w:p>
        </w:tc>
      </w:tr>
    </w:tbl>
    <w:p w14:paraId="42444FCC">
      <w:pPr>
        <w:pStyle w:val="3"/>
        <w:spacing w:before="157" w:line="467" w:lineRule="exact"/>
        <w:ind w:left="24"/>
        <w:rPr>
          <w:sz w:val="24"/>
          <w:szCs w:val="24"/>
        </w:rPr>
      </w:pPr>
      <w:r>
        <w:rPr>
          <w:spacing w:val="-2"/>
          <w:position w:val="17"/>
          <w:sz w:val="24"/>
          <w:szCs w:val="24"/>
        </w:rPr>
        <w:t>注：根据实际情况填写，后附相关人员身份证、相关岗位证明材料、依法缴纳社保的证</w:t>
      </w:r>
    </w:p>
    <w:p w14:paraId="374A765A">
      <w:pPr>
        <w:pStyle w:val="3"/>
        <w:spacing w:before="1" w:line="219" w:lineRule="auto"/>
        <w:ind w:left="46"/>
        <w:rPr>
          <w:sz w:val="24"/>
          <w:szCs w:val="24"/>
        </w:rPr>
      </w:pPr>
      <w:r>
        <w:rPr>
          <w:spacing w:val="-2"/>
          <w:sz w:val="24"/>
          <w:szCs w:val="24"/>
        </w:rPr>
        <w:t>明材料等相关证明材料原件扫描件或复印件，表格不够可</w:t>
      </w:r>
      <w:r>
        <w:rPr>
          <w:spacing w:val="-3"/>
          <w:sz w:val="24"/>
          <w:szCs w:val="24"/>
        </w:rPr>
        <w:t>自行添加。</w:t>
      </w:r>
    </w:p>
    <w:p w14:paraId="05E18643">
      <w:pPr>
        <w:rPr>
          <w:rFonts w:ascii="Arial"/>
          <w:sz w:val="21"/>
        </w:rPr>
      </w:pPr>
    </w:p>
    <w:p w14:paraId="4E9C422C">
      <w:pPr>
        <w:rPr>
          <w:rFonts w:ascii="Arial"/>
          <w:sz w:val="21"/>
        </w:rPr>
      </w:pPr>
    </w:p>
    <w:p w14:paraId="02F944F0">
      <w:pPr>
        <w:spacing w:line="241" w:lineRule="auto"/>
        <w:rPr>
          <w:rFonts w:ascii="Arial"/>
          <w:sz w:val="21"/>
        </w:rPr>
      </w:pPr>
    </w:p>
    <w:p w14:paraId="4068F548">
      <w:pPr>
        <w:pStyle w:val="3"/>
        <w:spacing w:before="78" w:line="479" w:lineRule="auto"/>
        <w:ind w:right="39"/>
        <w:jc w:val="right"/>
        <w:rPr>
          <w:sz w:val="24"/>
          <w:szCs w:val="24"/>
        </w:rPr>
      </w:pPr>
      <w:r>
        <w:rPr>
          <w:rFonts w:hint="eastAsia"/>
          <w:spacing w:val="-26"/>
          <w:sz w:val="24"/>
          <w:szCs w:val="24"/>
          <w:lang w:eastAsia="zh-CN"/>
        </w:rPr>
        <w:t>供应商</w:t>
      </w:r>
      <w:r>
        <w:rPr>
          <w:spacing w:val="-26"/>
          <w:sz w:val="24"/>
          <w:szCs w:val="24"/>
        </w:rPr>
        <w:t>名称</w:t>
      </w:r>
      <w:r>
        <w:rPr>
          <w:spacing w:val="-28"/>
          <w:sz w:val="24"/>
          <w:szCs w:val="24"/>
        </w:rPr>
        <w:t>：</w:t>
      </w:r>
      <w:r>
        <w:rPr>
          <w:spacing w:val="56"/>
          <w:sz w:val="24"/>
          <w:szCs w:val="24"/>
        </w:rPr>
        <w:t xml:space="preserve"> </w:t>
      </w:r>
      <w:r>
        <w:rPr>
          <w:sz w:val="24"/>
          <w:szCs w:val="24"/>
          <w:u w:val="single" w:color="auto"/>
        </w:rPr>
        <w:t xml:space="preserve">                   </w:t>
      </w:r>
      <w:r>
        <w:rPr>
          <w:spacing w:val="16"/>
          <w:sz w:val="24"/>
          <w:szCs w:val="24"/>
        </w:rPr>
        <w:t xml:space="preserve"> </w:t>
      </w:r>
      <w:r>
        <w:rPr>
          <w:spacing w:val="-28"/>
          <w:sz w:val="24"/>
          <w:szCs w:val="24"/>
        </w:rPr>
        <w:t>（</w:t>
      </w:r>
      <w:r>
        <w:rPr>
          <w:spacing w:val="-26"/>
          <w:sz w:val="24"/>
          <w:szCs w:val="24"/>
        </w:rPr>
        <w:t>盖单位章）</w:t>
      </w:r>
    </w:p>
    <w:p w14:paraId="6160C52E">
      <w:pPr>
        <w:pStyle w:val="3"/>
        <w:spacing w:before="1" w:line="219" w:lineRule="auto"/>
        <w:ind w:left="3936"/>
        <w:rPr>
          <w:sz w:val="24"/>
          <w:szCs w:val="24"/>
        </w:rPr>
      </w:pPr>
      <w:r>
        <w:rPr>
          <w:spacing w:val="-13"/>
          <w:sz w:val="24"/>
          <w:szCs w:val="24"/>
        </w:rPr>
        <w:t>法定代表人或委托代理人：</w:t>
      </w:r>
      <w:r>
        <w:rPr>
          <w:spacing w:val="64"/>
          <w:sz w:val="24"/>
          <w:szCs w:val="24"/>
        </w:rPr>
        <w:t xml:space="preserve"> </w:t>
      </w:r>
      <w:r>
        <w:rPr>
          <w:sz w:val="24"/>
          <w:szCs w:val="24"/>
          <w:u w:val="single" w:color="auto"/>
        </w:rPr>
        <w:t xml:space="preserve">       </w:t>
      </w:r>
      <w:r>
        <w:rPr>
          <w:spacing w:val="-69"/>
          <w:sz w:val="24"/>
          <w:szCs w:val="24"/>
        </w:rPr>
        <w:t xml:space="preserve"> </w:t>
      </w:r>
      <w:r>
        <w:rPr>
          <w:spacing w:val="-13"/>
          <w:sz w:val="24"/>
          <w:szCs w:val="24"/>
        </w:rPr>
        <w:t>(签字或盖章)</w:t>
      </w:r>
    </w:p>
    <w:p w14:paraId="4AF97E4E">
      <w:pPr>
        <w:spacing w:line="257" w:lineRule="auto"/>
        <w:rPr>
          <w:rFonts w:ascii="Arial"/>
          <w:sz w:val="21"/>
        </w:rPr>
      </w:pPr>
    </w:p>
    <w:p w14:paraId="529302FF">
      <w:pPr>
        <w:pStyle w:val="3"/>
        <w:tabs>
          <w:tab w:val="left" w:pos="7405"/>
        </w:tabs>
        <w:spacing w:before="79" w:line="220" w:lineRule="auto"/>
        <w:ind w:left="6566"/>
        <w:rPr>
          <w:sz w:val="24"/>
          <w:szCs w:val="24"/>
        </w:rPr>
      </w:pPr>
      <w:r>
        <w:rPr>
          <w:sz w:val="24"/>
          <w:szCs w:val="24"/>
          <w:u w:val="single" w:color="auto"/>
        </w:rPr>
        <w:tab/>
      </w:r>
      <w:r>
        <w:rPr>
          <w:spacing w:val="-109"/>
          <w:sz w:val="24"/>
          <w:szCs w:val="24"/>
        </w:rPr>
        <w:t xml:space="preserve"> </w:t>
      </w:r>
      <w:r>
        <w:rPr>
          <w:spacing w:val="-26"/>
          <w:sz w:val="24"/>
          <w:szCs w:val="24"/>
        </w:rPr>
        <w:t>年</w:t>
      </w:r>
      <w:r>
        <w:rPr>
          <w:sz w:val="24"/>
          <w:szCs w:val="24"/>
          <w:u w:val="single" w:color="auto"/>
        </w:rPr>
        <w:t xml:space="preserve">    </w:t>
      </w:r>
      <w:r>
        <w:rPr>
          <w:spacing w:val="-105"/>
          <w:sz w:val="24"/>
          <w:szCs w:val="24"/>
        </w:rPr>
        <w:t xml:space="preserve"> </w:t>
      </w:r>
      <w:r>
        <w:rPr>
          <w:spacing w:val="-26"/>
          <w:sz w:val="24"/>
          <w:szCs w:val="24"/>
        </w:rPr>
        <w:t>月</w:t>
      </w:r>
      <w:r>
        <w:rPr>
          <w:spacing w:val="40"/>
          <w:sz w:val="24"/>
          <w:szCs w:val="24"/>
          <w:u w:val="single" w:color="auto"/>
        </w:rPr>
        <w:t xml:space="preserve">   </w:t>
      </w:r>
      <w:r>
        <w:rPr>
          <w:spacing w:val="-69"/>
          <w:sz w:val="24"/>
          <w:szCs w:val="24"/>
        </w:rPr>
        <w:t xml:space="preserve"> </w:t>
      </w:r>
      <w:r>
        <w:rPr>
          <w:spacing w:val="-26"/>
          <w:sz w:val="24"/>
          <w:szCs w:val="24"/>
        </w:rPr>
        <w:t>日</w:t>
      </w:r>
    </w:p>
    <w:p w14:paraId="3B7A16A0">
      <w:pPr>
        <w:spacing w:line="220" w:lineRule="auto"/>
        <w:rPr>
          <w:sz w:val="24"/>
          <w:szCs w:val="24"/>
        </w:rPr>
        <w:sectPr>
          <w:footerReference r:id="rId28" w:type="default"/>
          <w:pgSz w:w="11905" w:h="16838"/>
          <w:pgMar w:top="841" w:right="1368" w:bottom="799" w:left="1402" w:header="0" w:footer="548" w:gutter="0"/>
          <w:pgNumType w:fmt="decimal"/>
          <w:cols w:space="720" w:num="1"/>
        </w:sectPr>
      </w:pPr>
    </w:p>
    <w:p w14:paraId="75919193">
      <w:pPr>
        <w:pStyle w:val="3"/>
        <w:spacing w:before="78" w:line="220" w:lineRule="auto"/>
        <w:ind w:left="2626"/>
        <w:rPr>
          <w:sz w:val="24"/>
          <w:szCs w:val="24"/>
        </w:rPr>
      </w:pPr>
      <w:r>
        <w:rPr>
          <w:spacing w:val="-1"/>
          <w:sz w:val="24"/>
          <w:szCs w:val="24"/>
          <w14:textOutline w14:w="4354">
            <w14:solidFill>
              <w14:srgbClr w14:val="000000"/>
            </w14:solidFill>
            <w14:prstDash w14:val="solid"/>
            <w14:miter w14:val="0"/>
          </w14:textOutline>
        </w:rPr>
        <w:t>（二）拟投入本项目主要设备配置表</w:t>
      </w:r>
    </w:p>
    <w:p w14:paraId="006993E4">
      <w:pPr>
        <w:spacing w:before="59"/>
      </w:pPr>
    </w:p>
    <w:tbl>
      <w:tblPr>
        <w:tblStyle w:val="24"/>
        <w:tblW w:w="90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2"/>
        <w:gridCol w:w="1378"/>
        <w:gridCol w:w="2476"/>
        <w:gridCol w:w="1158"/>
        <w:gridCol w:w="1961"/>
        <w:gridCol w:w="1271"/>
      </w:tblGrid>
      <w:tr w14:paraId="6AB93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22" w:type="dxa"/>
            <w:vAlign w:val="top"/>
          </w:tcPr>
          <w:p w14:paraId="0B3E2316">
            <w:pPr>
              <w:pStyle w:val="25"/>
              <w:spacing w:before="165" w:line="222" w:lineRule="auto"/>
              <w:ind w:left="172"/>
              <w:rPr>
                <w:sz w:val="24"/>
                <w:szCs w:val="24"/>
              </w:rPr>
            </w:pPr>
            <w:r>
              <w:rPr>
                <w:spacing w:val="-3"/>
                <w:sz w:val="24"/>
                <w:szCs w:val="24"/>
              </w:rPr>
              <w:t>序号</w:t>
            </w:r>
          </w:p>
        </w:tc>
        <w:tc>
          <w:tcPr>
            <w:tcW w:w="1378" w:type="dxa"/>
            <w:vAlign w:val="top"/>
          </w:tcPr>
          <w:p w14:paraId="2C4AEED3">
            <w:pPr>
              <w:pStyle w:val="25"/>
              <w:spacing w:before="166" w:line="222" w:lineRule="auto"/>
              <w:ind w:left="453"/>
              <w:rPr>
                <w:sz w:val="24"/>
                <w:szCs w:val="24"/>
              </w:rPr>
            </w:pPr>
            <w:r>
              <w:rPr>
                <w:spacing w:val="-4"/>
                <w:sz w:val="24"/>
                <w:szCs w:val="24"/>
              </w:rPr>
              <w:t>名称</w:t>
            </w:r>
          </w:p>
        </w:tc>
        <w:tc>
          <w:tcPr>
            <w:tcW w:w="2476" w:type="dxa"/>
            <w:vAlign w:val="top"/>
          </w:tcPr>
          <w:p w14:paraId="4B6F7BF4">
            <w:pPr>
              <w:pStyle w:val="25"/>
              <w:spacing w:before="165" w:line="220" w:lineRule="auto"/>
              <w:ind w:left="721"/>
              <w:rPr>
                <w:sz w:val="24"/>
                <w:szCs w:val="24"/>
              </w:rPr>
            </w:pPr>
            <w:r>
              <w:rPr>
                <w:spacing w:val="-6"/>
                <w:sz w:val="24"/>
                <w:szCs w:val="24"/>
              </w:rPr>
              <w:t>品牌/型号</w:t>
            </w:r>
          </w:p>
        </w:tc>
        <w:tc>
          <w:tcPr>
            <w:tcW w:w="1158" w:type="dxa"/>
            <w:vAlign w:val="top"/>
          </w:tcPr>
          <w:p w14:paraId="3C1E2502">
            <w:pPr>
              <w:pStyle w:val="25"/>
              <w:spacing w:before="165" w:line="220" w:lineRule="auto"/>
              <w:ind w:left="346"/>
              <w:rPr>
                <w:sz w:val="24"/>
                <w:szCs w:val="24"/>
              </w:rPr>
            </w:pPr>
            <w:r>
              <w:rPr>
                <w:spacing w:val="-3"/>
                <w:sz w:val="24"/>
                <w:szCs w:val="24"/>
              </w:rPr>
              <w:t>数量</w:t>
            </w:r>
          </w:p>
        </w:tc>
        <w:tc>
          <w:tcPr>
            <w:tcW w:w="1961" w:type="dxa"/>
            <w:vAlign w:val="top"/>
          </w:tcPr>
          <w:p w14:paraId="1735C14D">
            <w:pPr>
              <w:pStyle w:val="25"/>
              <w:spacing w:before="165" w:line="222" w:lineRule="auto"/>
              <w:ind w:left="749"/>
              <w:rPr>
                <w:sz w:val="24"/>
                <w:szCs w:val="24"/>
              </w:rPr>
            </w:pPr>
            <w:r>
              <w:rPr>
                <w:spacing w:val="-3"/>
                <w:sz w:val="24"/>
                <w:szCs w:val="24"/>
              </w:rPr>
              <w:t>用途</w:t>
            </w:r>
          </w:p>
        </w:tc>
        <w:tc>
          <w:tcPr>
            <w:tcW w:w="1271" w:type="dxa"/>
            <w:vAlign w:val="top"/>
          </w:tcPr>
          <w:p w14:paraId="1EE48714">
            <w:pPr>
              <w:pStyle w:val="25"/>
              <w:spacing w:before="165" w:line="222" w:lineRule="auto"/>
              <w:ind w:left="405"/>
              <w:rPr>
                <w:sz w:val="24"/>
                <w:szCs w:val="24"/>
              </w:rPr>
            </w:pPr>
            <w:r>
              <w:rPr>
                <w:spacing w:val="-4"/>
                <w:sz w:val="24"/>
                <w:szCs w:val="24"/>
              </w:rPr>
              <w:t>备注</w:t>
            </w:r>
          </w:p>
        </w:tc>
      </w:tr>
      <w:tr w14:paraId="58E61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22" w:type="dxa"/>
            <w:vAlign w:val="top"/>
          </w:tcPr>
          <w:p w14:paraId="29A43A4D">
            <w:pPr>
              <w:rPr>
                <w:rFonts w:ascii="Arial"/>
                <w:sz w:val="21"/>
              </w:rPr>
            </w:pPr>
          </w:p>
        </w:tc>
        <w:tc>
          <w:tcPr>
            <w:tcW w:w="1378" w:type="dxa"/>
            <w:vAlign w:val="top"/>
          </w:tcPr>
          <w:p w14:paraId="1E5F225E">
            <w:pPr>
              <w:rPr>
                <w:rFonts w:ascii="Arial"/>
                <w:sz w:val="21"/>
              </w:rPr>
            </w:pPr>
          </w:p>
        </w:tc>
        <w:tc>
          <w:tcPr>
            <w:tcW w:w="2476" w:type="dxa"/>
            <w:vAlign w:val="top"/>
          </w:tcPr>
          <w:p w14:paraId="7DBF6DE5">
            <w:pPr>
              <w:rPr>
                <w:rFonts w:ascii="Arial"/>
                <w:sz w:val="21"/>
              </w:rPr>
            </w:pPr>
          </w:p>
        </w:tc>
        <w:tc>
          <w:tcPr>
            <w:tcW w:w="1158" w:type="dxa"/>
            <w:vAlign w:val="top"/>
          </w:tcPr>
          <w:p w14:paraId="686437CF">
            <w:pPr>
              <w:rPr>
                <w:rFonts w:ascii="Arial"/>
                <w:sz w:val="21"/>
              </w:rPr>
            </w:pPr>
          </w:p>
        </w:tc>
        <w:tc>
          <w:tcPr>
            <w:tcW w:w="1961" w:type="dxa"/>
            <w:vAlign w:val="top"/>
          </w:tcPr>
          <w:p w14:paraId="7A7B338D">
            <w:pPr>
              <w:rPr>
                <w:rFonts w:ascii="Arial"/>
                <w:sz w:val="21"/>
              </w:rPr>
            </w:pPr>
          </w:p>
        </w:tc>
        <w:tc>
          <w:tcPr>
            <w:tcW w:w="1271" w:type="dxa"/>
            <w:vAlign w:val="top"/>
          </w:tcPr>
          <w:p w14:paraId="00C29C7C">
            <w:pPr>
              <w:rPr>
                <w:rFonts w:ascii="Arial"/>
                <w:sz w:val="21"/>
              </w:rPr>
            </w:pPr>
          </w:p>
        </w:tc>
      </w:tr>
      <w:tr w14:paraId="5DBC5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22" w:type="dxa"/>
            <w:vAlign w:val="top"/>
          </w:tcPr>
          <w:p w14:paraId="6DDC8230">
            <w:pPr>
              <w:rPr>
                <w:rFonts w:ascii="Arial"/>
                <w:sz w:val="21"/>
              </w:rPr>
            </w:pPr>
          </w:p>
        </w:tc>
        <w:tc>
          <w:tcPr>
            <w:tcW w:w="1378" w:type="dxa"/>
            <w:vAlign w:val="top"/>
          </w:tcPr>
          <w:p w14:paraId="4023610C">
            <w:pPr>
              <w:rPr>
                <w:rFonts w:ascii="Arial"/>
                <w:sz w:val="21"/>
              </w:rPr>
            </w:pPr>
          </w:p>
        </w:tc>
        <w:tc>
          <w:tcPr>
            <w:tcW w:w="2476" w:type="dxa"/>
            <w:vAlign w:val="top"/>
          </w:tcPr>
          <w:p w14:paraId="7ED3EAA4">
            <w:pPr>
              <w:rPr>
                <w:rFonts w:ascii="Arial"/>
                <w:sz w:val="21"/>
              </w:rPr>
            </w:pPr>
          </w:p>
        </w:tc>
        <w:tc>
          <w:tcPr>
            <w:tcW w:w="1158" w:type="dxa"/>
            <w:vAlign w:val="top"/>
          </w:tcPr>
          <w:p w14:paraId="214601BC">
            <w:pPr>
              <w:rPr>
                <w:rFonts w:ascii="Arial"/>
                <w:sz w:val="21"/>
              </w:rPr>
            </w:pPr>
          </w:p>
        </w:tc>
        <w:tc>
          <w:tcPr>
            <w:tcW w:w="1961" w:type="dxa"/>
            <w:vAlign w:val="top"/>
          </w:tcPr>
          <w:p w14:paraId="4578FB76">
            <w:pPr>
              <w:rPr>
                <w:rFonts w:ascii="Arial"/>
                <w:sz w:val="21"/>
              </w:rPr>
            </w:pPr>
          </w:p>
        </w:tc>
        <w:tc>
          <w:tcPr>
            <w:tcW w:w="1271" w:type="dxa"/>
            <w:vAlign w:val="top"/>
          </w:tcPr>
          <w:p w14:paraId="54FECE91">
            <w:pPr>
              <w:rPr>
                <w:rFonts w:ascii="Arial"/>
                <w:sz w:val="21"/>
              </w:rPr>
            </w:pPr>
          </w:p>
        </w:tc>
      </w:tr>
      <w:tr w14:paraId="2D1E0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22" w:type="dxa"/>
            <w:vAlign w:val="top"/>
          </w:tcPr>
          <w:p w14:paraId="0E6071F9">
            <w:pPr>
              <w:rPr>
                <w:rFonts w:ascii="Arial"/>
                <w:sz w:val="21"/>
              </w:rPr>
            </w:pPr>
          </w:p>
        </w:tc>
        <w:tc>
          <w:tcPr>
            <w:tcW w:w="1378" w:type="dxa"/>
            <w:vAlign w:val="top"/>
          </w:tcPr>
          <w:p w14:paraId="4D5450E7">
            <w:pPr>
              <w:rPr>
                <w:rFonts w:ascii="Arial"/>
                <w:sz w:val="21"/>
              </w:rPr>
            </w:pPr>
          </w:p>
        </w:tc>
        <w:tc>
          <w:tcPr>
            <w:tcW w:w="2476" w:type="dxa"/>
            <w:vAlign w:val="top"/>
          </w:tcPr>
          <w:p w14:paraId="5B78B1B7">
            <w:pPr>
              <w:rPr>
                <w:rFonts w:ascii="Arial"/>
                <w:sz w:val="21"/>
              </w:rPr>
            </w:pPr>
          </w:p>
        </w:tc>
        <w:tc>
          <w:tcPr>
            <w:tcW w:w="1158" w:type="dxa"/>
            <w:vAlign w:val="top"/>
          </w:tcPr>
          <w:p w14:paraId="2E42D9F3">
            <w:pPr>
              <w:rPr>
                <w:rFonts w:ascii="Arial"/>
                <w:sz w:val="21"/>
              </w:rPr>
            </w:pPr>
          </w:p>
        </w:tc>
        <w:tc>
          <w:tcPr>
            <w:tcW w:w="1961" w:type="dxa"/>
            <w:vAlign w:val="top"/>
          </w:tcPr>
          <w:p w14:paraId="4C6AD3A3">
            <w:pPr>
              <w:rPr>
                <w:rFonts w:ascii="Arial"/>
                <w:sz w:val="21"/>
              </w:rPr>
            </w:pPr>
          </w:p>
        </w:tc>
        <w:tc>
          <w:tcPr>
            <w:tcW w:w="1271" w:type="dxa"/>
            <w:vAlign w:val="top"/>
          </w:tcPr>
          <w:p w14:paraId="4720A8D8">
            <w:pPr>
              <w:rPr>
                <w:rFonts w:ascii="Arial"/>
                <w:sz w:val="21"/>
              </w:rPr>
            </w:pPr>
          </w:p>
        </w:tc>
      </w:tr>
      <w:tr w14:paraId="0334B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22" w:type="dxa"/>
            <w:vAlign w:val="top"/>
          </w:tcPr>
          <w:p w14:paraId="2525CFF3">
            <w:pPr>
              <w:rPr>
                <w:rFonts w:ascii="Arial"/>
                <w:sz w:val="21"/>
              </w:rPr>
            </w:pPr>
          </w:p>
        </w:tc>
        <w:tc>
          <w:tcPr>
            <w:tcW w:w="1378" w:type="dxa"/>
            <w:vAlign w:val="top"/>
          </w:tcPr>
          <w:p w14:paraId="43603F7D">
            <w:pPr>
              <w:rPr>
                <w:rFonts w:ascii="Arial"/>
                <w:sz w:val="21"/>
              </w:rPr>
            </w:pPr>
          </w:p>
        </w:tc>
        <w:tc>
          <w:tcPr>
            <w:tcW w:w="2476" w:type="dxa"/>
            <w:vAlign w:val="top"/>
          </w:tcPr>
          <w:p w14:paraId="44A93F58">
            <w:pPr>
              <w:rPr>
                <w:rFonts w:ascii="Arial"/>
                <w:sz w:val="21"/>
              </w:rPr>
            </w:pPr>
          </w:p>
        </w:tc>
        <w:tc>
          <w:tcPr>
            <w:tcW w:w="1158" w:type="dxa"/>
            <w:vAlign w:val="top"/>
          </w:tcPr>
          <w:p w14:paraId="0CF98D99">
            <w:pPr>
              <w:rPr>
                <w:rFonts w:ascii="Arial"/>
                <w:sz w:val="21"/>
              </w:rPr>
            </w:pPr>
          </w:p>
        </w:tc>
        <w:tc>
          <w:tcPr>
            <w:tcW w:w="1961" w:type="dxa"/>
            <w:vAlign w:val="top"/>
          </w:tcPr>
          <w:p w14:paraId="3186A2CE">
            <w:pPr>
              <w:rPr>
                <w:rFonts w:ascii="Arial"/>
                <w:sz w:val="21"/>
              </w:rPr>
            </w:pPr>
          </w:p>
        </w:tc>
        <w:tc>
          <w:tcPr>
            <w:tcW w:w="1271" w:type="dxa"/>
            <w:vAlign w:val="top"/>
          </w:tcPr>
          <w:p w14:paraId="5808C548">
            <w:pPr>
              <w:rPr>
                <w:rFonts w:ascii="Arial"/>
                <w:sz w:val="21"/>
              </w:rPr>
            </w:pPr>
          </w:p>
        </w:tc>
      </w:tr>
      <w:tr w14:paraId="3D830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22" w:type="dxa"/>
            <w:vAlign w:val="top"/>
          </w:tcPr>
          <w:p w14:paraId="3C0DF35A">
            <w:pPr>
              <w:rPr>
                <w:rFonts w:ascii="Arial"/>
                <w:sz w:val="21"/>
              </w:rPr>
            </w:pPr>
          </w:p>
        </w:tc>
        <w:tc>
          <w:tcPr>
            <w:tcW w:w="1378" w:type="dxa"/>
            <w:vAlign w:val="top"/>
          </w:tcPr>
          <w:p w14:paraId="45AD0008">
            <w:pPr>
              <w:rPr>
                <w:rFonts w:ascii="Arial"/>
                <w:sz w:val="21"/>
              </w:rPr>
            </w:pPr>
          </w:p>
        </w:tc>
        <w:tc>
          <w:tcPr>
            <w:tcW w:w="2476" w:type="dxa"/>
            <w:vAlign w:val="top"/>
          </w:tcPr>
          <w:p w14:paraId="4FFF1514">
            <w:pPr>
              <w:rPr>
                <w:rFonts w:ascii="Arial"/>
                <w:sz w:val="21"/>
              </w:rPr>
            </w:pPr>
          </w:p>
        </w:tc>
        <w:tc>
          <w:tcPr>
            <w:tcW w:w="1158" w:type="dxa"/>
            <w:vAlign w:val="top"/>
          </w:tcPr>
          <w:p w14:paraId="2211002E">
            <w:pPr>
              <w:rPr>
                <w:rFonts w:ascii="Arial"/>
                <w:sz w:val="21"/>
              </w:rPr>
            </w:pPr>
          </w:p>
        </w:tc>
        <w:tc>
          <w:tcPr>
            <w:tcW w:w="1961" w:type="dxa"/>
            <w:vAlign w:val="top"/>
          </w:tcPr>
          <w:p w14:paraId="471881C8">
            <w:pPr>
              <w:rPr>
                <w:rFonts w:ascii="Arial"/>
                <w:sz w:val="21"/>
              </w:rPr>
            </w:pPr>
          </w:p>
        </w:tc>
        <w:tc>
          <w:tcPr>
            <w:tcW w:w="1271" w:type="dxa"/>
            <w:vAlign w:val="top"/>
          </w:tcPr>
          <w:p w14:paraId="320218FB">
            <w:pPr>
              <w:rPr>
                <w:rFonts w:ascii="Arial"/>
                <w:sz w:val="21"/>
              </w:rPr>
            </w:pPr>
          </w:p>
        </w:tc>
      </w:tr>
      <w:tr w14:paraId="6A6A0DBC">
        <w:tblPrEx>
          <w:tblCellMar>
            <w:top w:w="0" w:type="dxa"/>
            <w:left w:w="0" w:type="dxa"/>
            <w:bottom w:w="0" w:type="dxa"/>
            <w:right w:w="0" w:type="dxa"/>
          </w:tblCellMar>
        </w:tblPrEx>
        <w:trPr>
          <w:trHeight w:val="567" w:hRule="atLeast"/>
        </w:trPr>
        <w:tc>
          <w:tcPr>
            <w:tcW w:w="822" w:type="dxa"/>
            <w:vAlign w:val="top"/>
          </w:tcPr>
          <w:p w14:paraId="5B307836">
            <w:pPr>
              <w:rPr>
                <w:rFonts w:ascii="Arial"/>
                <w:sz w:val="21"/>
              </w:rPr>
            </w:pPr>
          </w:p>
        </w:tc>
        <w:tc>
          <w:tcPr>
            <w:tcW w:w="1378" w:type="dxa"/>
            <w:vAlign w:val="top"/>
          </w:tcPr>
          <w:p w14:paraId="2634BE0B">
            <w:pPr>
              <w:rPr>
                <w:rFonts w:ascii="Arial"/>
                <w:sz w:val="21"/>
              </w:rPr>
            </w:pPr>
          </w:p>
        </w:tc>
        <w:tc>
          <w:tcPr>
            <w:tcW w:w="2476" w:type="dxa"/>
            <w:vAlign w:val="top"/>
          </w:tcPr>
          <w:p w14:paraId="16942541">
            <w:pPr>
              <w:rPr>
                <w:rFonts w:ascii="Arial"/>
                <w:sz w:val="21"/>
              </w:rPr>
            </w:pPr>
          </w:p>
        </w:tc>
        <w:tc>
          <w:tcPr>
            <w:tcW w:w="1158" w:type="dxa"/>
            <w:vAlign w:val="top"/>
          </w:tcPr>
          <w:p w14:paraId="6010EBDC">
            <w:pPr>
              <w:rPr>
                <w:rFonts w:ascii="Arial"/>
                <w:sz w:val="21"/>
              </w:rPr>
            </w:pPr>
          </w:p>
        </w:tc>
        <w:tc>
          <w:tcPr>
            <w:tcW w:w="1961" w:type="dxa"/>
            <w:vAlign w:val="top"/>
          </w:tcPr>
          <w:p w14:paraId="51DF77B0">
            <w:pPr>
              <w:rPr>
                <w:rFonts w:ascii="Arial"/>
                <w:sz w:val="21"/>
              </w:rPr>
            </w:pPr>
          </w:p>
        </w:tc>
        <w:tc>
          <w:tcPr>
            <w:tcW w:w="1271" w:type="dxa"/>
            <w:vAlign w:val="top"/>
          </w:tcPr>
          <w:p w14:paraId="5FFCF86D">
            <w:pPr>
              <w:rPr>
                <w:rFonts w:ascii="Arial"/>
                <w:sz w:val="21"/>
              </w:rPr>
            </w:pPr>
          </w:p>
        </w:tc>
      </w:tr>
      <w:tr w14:paraId="249B89D0">
        <w:tblPrEx>
          <w:tblCellMar>
            <w:top w:w="0" w:type="dxa"/>
            <w:left w:w="0" w:type="dxa"/>
            <w:bottom w:w="0" w:type="dxa"/>
            <w:right w:w="0" w:type="dxa"/>
          </w:tblCellMar>
        </w:tblPrEx>
        <w:trPr>
          <w:trHeight w:val="567" w:hRule="atLeast"/>
        </w:trPr>
        <w:tc>
          <w:tcPr>
            <w:tcW w:w="822" w:type="dxa"/>
            <w:vAlign w:val="top"/>
          </w:tcPr>
          <w:p w14:paraId="5A497C69">
            <w:pPr>
              <w:rPr>
                <w:rFonts w:ascii="Arial"/>
                <w:sz w:val="21"/>
              </w:rPr>
            </w:pPr>
          </w:p>
        </w:tc>
        <w:tc>
          <w:tcPr>
            <w:tcW w:w="1378" w:type="dxa"/>
            <w:vAlign w:val="top"/>
          </w:tcPr>
          <w:p w14:paraId="337E14D2">
            <w:pPr>
              <w:rPr>
                <w:rFonts w:ascii="Arial"/>
                <w:sz w:val="21"/>
              </w:rPr>
            </w:pPr>
          </w:p>
        </w:tc>
        <w:tc>
          <w:tcPr>
            <w:tcW w:w="2476" w:type="dxa"/>
            <w:vAlign w:val="top"/>
          </w:tcPr>
          <w:p w14:paraId="59E86FC3">
            <w:pPr>
              <w:rPr>
                <w:rFonts w:ascii="Arial"/>
                <w:sz w:val="21"/>
              </w:rPr>
            </w:pPr>
          </w:p>
        </w:tc>
        <w:tc>
          <w:tcPr>
            <w:tcW w:w="1158" w:type="dxa"/>
            <w:vAlign w:val="top"/>
          </w:tcPr>
          <w:p w14:paraId="130865A4">
            <w:pPr>
              <w:rPr>
                <w:rFonts w:ascii="Arial"/>
                <w:sz w:val="21"/>
              </w:rPr>
            </w:pPr>
          </w:p>
        </w:tc>
        <w:tc>
          <w:tcPr>
            <w:tcW w:w="1961" w:type="dxa"/>
            <w:vAlign w:val="top"/>
          </w:tcPr>
          <w:p w14:paraId="08C799F4">
            <w:pPr>
              <w:rPr>
                <w:rFonts w:ascii="Arial"/>
                <w:sz w:val="21"/>
              </w:rPr>
            </w:pPr>
          </w:p>
        </w:tc>
        <w:tc>
          <w:tcPr>
            <w:tcW w:w="1271" w:type="dxa"/>
            <w:vAlign w:val="top"/>
          </w:tcPr>
          <w:p w14:paraId="1B73054B">
            <w:pPr>
              <w:rPr>
                <w:rFonts w:ascii="Arial"/>
                <w:sz w:val="21"/>
              </w:rPr>
            </w:pPr>
          </w:p>
        </w:tc>
      </w:tr>
      <w:tr w14:paraId="5F1B4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22" w:type="dxa"/>
            <w:vAlign w:val="top"/>
          </w:tcPr>
          <w:p w14:paraId="43CB56CA">
            <w:pPr>
              <w:rPr>
                <w:rFonts w:ascii="Arial"/>
                <w:sz w:val="21"/>
              </w:rPr>
            </w:pPr>
          </w:p>
        </w:tc>
        <w:tc>
          <w:tcPr>
            <w:tcW w:w="1378" w:type="dxa"/>
            <w:vAlign w:val="top"/>
          </w:tcPr>
          <w:p w14:paraId="1CBB261A">
            <w:pPr>
              <w:rPr>
                <w:rFonts w:ascii="Arial"/>
                <w:sz w:val="21"/>
              </w:rPr>
            </w:pPr>
          </w:p>
        </w:tc>
        <w:tc>
          <w:tcPr>
            <w:tcW w:w="2476" w:type="dxa"/>
            <w:vAlign w:val="top"/>
          </w:tcPr>
          <w:p w14:paraId="4BF901DC">
            <w:pPr>
              <w:rPr>
                <w:rFonts w:ascii="Arial"/>
                <w:sz w:val="21"/>
              </w:rPr>
            </w:pPr>
          </w:p>
        </w:tc>
        <w:tc>
          <w:tcPr>
            <w:tcW w:w="1158" w:type="dxa"/>
            <w:vAlign w:val="top"/>
          </w:tcPr>
          <w:p w14:paraId="0827E322">
            <w:pPr>
              <w:rPr>
                <w:rFonts w:ascii="Arial"/>
                <w:sz w:val="21"/>
              </w:rPr>
            </w:pPr>
          </w:p>
        </w:tc>
        <w:tc>
          <w:tcPr>
            <w:tcW w:w="1961" w:type="dxa"/>
            <w:vAlign w:val="top"/>
          </w:tcPr>
          <w:p w14:paraId="750ED5F5">
            <w:pPr>
              <w:rPr>
                <w:rFonts w:ascii="Arial"/>
                <w:sz w:val="21"/>
              </w:rPr>
            </w:pPr>
          </w:p>
        </w:tc>
        <w:tc>
          <w:tcPr>
            <w:tcW w:w="1271" w:type="dxa"/>
            <w:vAlign w:val="top"/>
          </w:tcPr>
          <w:p w14:paraId="75812750">
            <w:pPr>
              <w:rPr>
                <w:rFonts w:ascii="Arial"/>
                <w:sz w:val="21"/>
              </w:rPr>
            </w:pPr>
          </w:p>
        </w:tc>
      </w:tr>
      <w:tr w14:paraId="386E9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22" w:type="dxa"/>
            <w:vAlign w:val="top"/>
          </w:tcPr>
          <w:p w14:paraId="23F42628">
            <w:pPr>
              <w:rPr>
                <w:rFonts w:ascii="Arial"/>
                <w:sz w:val="21"/>
              </w:rPr>
            </w:pPr>
          </w:p>
        </w:tc>
        <w:tc>
          <w:tcPr>
            <w:tcW w:w="1378" w:type="dxa"/>
            <w:vAlign w:val="top"/>
          </w:tcPr>
          <w:p w14:paraId="2B83757D">
            <w:pPr>
              <w:rPr>
                <w:rFonts w:ascii="Arial"/>
                <w:sz w:val="21"/>
              </w:rPr>
            </w:pPr>
          </w:p>
        </w:tc>
        <w:tc>
          <w:tcPr>
            <w:tcW w:w="2476" w:type="dxa"/>
            <w:vAlign w:val="top"/>
          </w:tcPr>
          <w:p w14:paraId="47D32C99">
            <w:pPr>
              <w:rPr>
                <w:rFonts w:ascii="Arial"/>
                <w:sz w:val="21"/>
              </w:rPr>
            </w:pPr>
          </w:p>
        </w:tc>
        <w:tc>
          <w:tcPr>
            <w:tcW w:w="1158" w:type="dxa"/>
            <w:vAlign w:val="top"/>
          </w:tcPr>
          <w:p w14:paraId="536038E9">
            <w:pPr>
              <w:rPr>
                <w:rFonts w:ascii="Arial"/>
                <w:sz w:val="21"/>
              </w:rPr>
            </w:pPr>
          </w:p>
        </w:tc>
        <w:tc>
          <w:tcPr>
            <w:tcW w:w="1961" w:type="dxa"/>
            <w:vAlign w:val="top"/>
          </w:tcPr>
          <w:p w14:paraId="00D4F66B">
            <w:pPr>
              <w:rPr>
                <w:rFonts w:ascii="Arial"/>
                <w:sz w:val="21"/>
              </w:rPr>
            </w:pPr>
          </w:p>
        </w:tc>
        <w:tc>
          <w:tcPr>
            <w:tcW w:w="1271" w:type="dxa"/>
            <w:vAlign w:val="top"/>
          </w:tcPr>
          <w:p w14:paraId="147BBFF9">
            <w:pPr>
              <w:rPr>
                <w:rFonts w:ascii="Arial"/>
                <w:sz w:val="21"/>
              </w:rPr>
            </w:pPr>
          </w:p>
        </w:tc>
      </w:tr>
      <w:tr w14:paraId="5A880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22" w:type="dxa"/>
            <w:vAlign w:val="top"/>
          </w:tcPr>
          <w:p w14:paraId="408EDFD9">
            <w:pPr>
              <w:rPr>
                <w:rFonts w:ascii="Arial"/>
                <w:sz w:val="21"/>
              </w:rPr>
            </w:pPr>
          </w:p>
        </w:tc>
        <w:tc>
          <w:tcPr>
            <w:tcW w:w="1378" w:type="dxa"/>
            <w:vAlign w:val="top"/>
          </w:tcPr>
          <w:p w14:paraId="1F4D8C99">
            <w:pPr>
              <w:rPr>
                <w:rFonts w:ascii="Arial"/>
                <w:sz w:val="21"/>
              </w:rPr>
            </w:pPr>
          </w:p>
        </w:tc>
        <w:tc>
          <w:tcPr>
            <w:tcW w:w="2476" w:type="dxa"/>
            <w:vAlign w:val="top"/>
          </w:tcPr>
          <w:p w14:paraId="02B0E764">
            <w:pPr>
              <w:rPr>
                <w:rFonts w:ascii="Arial"/>
                <w:sz w:val="21"/>
              </w:rPr>
            </w:pPr>
          </w:p>
        </w:tc>
        <w:tc>
          <w:tcPr>
            <w:tcW w:w="1158" w:type="dxa"/>
            <w:vAlign w:val="top"/>
          </w:tcPr>
          <w:p w14:paraId="081E6744">
            <w:pPr>
              <w:rPr>
                <w:rFonts w:ascii="Arial"/>
                <w:sz w:val="21"/>
              </w:rPr>
            </w:pPr>
          </w:p>
        </w:tc>
        <w:tc>
          <w:tcPr>
            <w:tcW w:w="1961" w:type="dxa"/>
            <w:vAlign w:val="top"/>
          </w:tcPr>
          <w:p w14:paraId="22AEEF1E">
            <w:pPr>
              <w:rPr>
                <w:rFonts w:ascii="Arial"/>
                <w:sz w:val="21"/>
              </w:rPr>
            </w:pPr>
          </w:p>
        </w:tc>
        <w:tc>
          <w:tcPr>
            <w:tcW w:w="1271" w:type="dxa"/>
            <w:vAlign w:val="top"/>
          </w:tcPr>
          <w:p w14:paraId="14092554">
            <w:pPr>
              <w:rPr>
                <w:rFonts w:ascii="Arial"/>
                <w:sz w:val="21"/>
              </w:rPr>
            </w:pPr>
          </w:p>
        </w:tc>
      </w:tr>
      <w:tr w14:paraId="2E551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22" w:type="dxa"/>
            <w:vAlign w:val="top"/>
          </w:tcPr>
          <w:p w14:paraId="1F880678">
            <w:pPr>
              <w:rPr>
                <w:rFonts w:ascii="Arial"/>
                <w:sz w:val="21"/>
              </w:rPr>
            </w:pPr>
          </w:p>
        </w:tc>
        <w:tc>
          <w:tcPr>
            <w:tcW w:w="1378" w:type="dxa"/>
            <w:vAlign w:val="top"/>
          </w:tcPr>
          <w:p w14:paraId="2385524F">
            <w:pPr>
              <w:rPr>
                <w:rFonts w:ascii="Arial"/>
                <w:sz w:val="21"/>
              </w:rPr>
            </w:pPr>
          </w:p>
        </w:tc>
        <w:tc>
          <w:tcPr>
            <w:tcW w:w="2476" w:type="dxa"/>
            <w:vAlign w:val="top"/>
          </w:tcPr>
          <w:p w14:paraId="08A5F7A5">
            <w:pPr>
              <w:rPr>
                <w:rFonts w:ascii="Arial"/>
                <w:sz w:val="21"/>
              </w:rPr>
            </w:pPr>
          </w:p>
        </w:tc>
        <w:tc>
          <w:tcPr>
            <w:tcW w:w="1158" w:type="dxa"/>
            <w:vAlign w:val="top"/>
          </w:tcPr>
          <w:p w14:paraId="18B760F7">
            <w:pPr>
              <w:rPr>
                <w:rFonts w:ascii="Arial"/>
                <w:sz w:val="21"/>
              </w:rPr>
            </w:pPr>
          </w:p>
        </w:tc>
        <w:tc>
          <w:tcPr>
            <w:tcW w:w="1961" w:type="dxa"/>
            <w:vAlign w:val="top"/>
          </w:tcPr>
          <w:p w14:paraId="1E20C132">
            <w:pPr>
              <w:rPr>
                <w:rFonts w:ascii="Arial"/>
                <w:sz w:val="21"/>
              </w:rPr>
            </w:pPr>
          </w:p>
        </w:tc>
        <w:tc>
          <w:tcPr>
            <w:tcW w:w="1271" w:type="dxa"/>
            <w:vAlign w:val="top"/>
          </w:tcPr>
          <w:p w14:paraId="0CE1EAEA">
            <w:pPr>
              <w:rPr>
                <w:rFonts w:ascii="Arial"/>
                <w:sz w:val="21"/>
              </w:rPr>
            </w:pPr>
          </w:p>
        </w:tc>
      </w:tr>
      <w:tr w14:paraId="318C1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22" w:type="dxa"/>
            <w:vAlign w:val="top"/>
          </w:tcPr>
          <w:p w14:paraId="72590F92">
            <w:pPr>
              <w:rPr>
                <w:rFonts w:ascii="Arial"/>
                <w:sz w:val="21"/>
              </w:rPr>
            </w:pPr>
          </w:p>
        </w:tc>
        <w:tc>
          <w:tcPr>
            <w:tcW w:w="1378" w:type="dxa"/>
            <w:vAlign w:val="top"/>
          </w:tcPr>
          <w:p w14:paraId="51F51F41">
            <w:pPr>
              <w:rPr>
                <w:rFonts w:ascii="Arial"/>
                <w:sz w:val="21"/>
              </w:rPr>
            </w:pPr>
          </w:p>
        </w:tc>
        <w:tc>
          <w:tcPr>
            <w:tcW w:w="2476" w:type="dxa"/>
            <w:vAlign w:val="top"/>
          </w:tcPr>
          <w:p w14:paraId="6102CB5F">
            <w:pPr>
              <w:rPr>
                <w:rFonts w:ascii="Arial"/>
                <w:sz w:val="21"/>
              </w:rPr>
            </w:pPr>
          </w:p>
        </w:tc>
        <w:tc>
          <w:tcPr>
            <w:tcW w:w="1158" w:type="dxa"/>
            <w:vAlign w:val="top"/>
          </w:tcPr>
          <w:p w14:paraId="304C20EF">
            <w:pPr>
              <w:rPr>
                <w:rFonts w:ascii="Arial"/>
                <w:sz w:val="21"/>
              </w:rPr>
            </w:pPr>
          </w:p>
        </w:tc>
        <w:tc>
          <w:tcPr>
            <w:tcW w:w="1961" w:type="dxa"/>
            <w:vAlign w:val="top"/>
          </w:tcPr>
          <w:p w14:paraId="74628CF8">
            <w:pPr>
              <w:rPr>
                <w:rFonts w:ascii="Arial"/>
                <w:sz w:val="21"/>
              </w:rPr>
            </w:pPr>
          </w:p>
        </w:tc>
        <w:tc>
          <w:tcPr>
            <w:tcW w:w="1271" w:type="dxa"/>
            <w:vAlign w:val="top"/>
          </w:tcPr>
          <w:p w14:paraId="43C0EF8E">
            <w:pPr>
              <w:rPr>
                <w:rFonts w:ascii="Arial"/>
                <w:sz w:val="21"/>
              </w:rPr>
            </w:pPr>
          </w:p>
        </w:tc>
      </w:tr>
      <w:tr w14:paraId="0FAAA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22" w:type="dxa"/>
            <w:vAlign w:val="top"/>
          </w:tcPr>
          <w:p w14:paraId="3185AFBA">
            <w:pPr>
              <w:rPr>
                <w:rFonts w:ascii="Arial"/>
                <w:sz w:val="21"/>
              </w:rPr>
            </w:pPr>
          </w:p>
        </w:tc>
        <w:tc>
          <w:tcPr>
            <w:tcW w:w="1378" w:type="dxa"/>
            <w:vAlign w:val="top"/>
          </w:tcPr>
          <w:p w14:paraId="2C75531E">
            <w:pPr>
              <w:rPr>
                <w:rFonts w:ascii="Arial"/>
                <w:sz w:val="21"/>
              </w:rPr>
            </w:pPr>
          </w:p>
        </w:tc>
        <w:tc>
          <w:tcPr>
            <w:tcW w:w="2476" w:type="dxa"/>
            <w:vAlign w:val="top"/>
          </w:tcPr>
          <w:p w14:paraId="1FA5E248">
            <w:pPr>
              <w:rPr>
                <w:rFonts w:ascii="Arial"/>
                <w:sz w:val="21"/>
              </w:rPr>
            </w:pPr>
          </w:p>
        </w:tc>
        <w:tc>
          <w:tcPr>
            <w:tcW w:w="1158" w:type="dxa"/>
            <w:vAlign w:val="top"/>
          </w:tcPr>
          <w:p w14:paraId="057D7A35">
            <w:pPr>
              <w:rPr>
                <w:rFonts w:ascii="Arial"/>
                <w:sz w:val="21"/>
              </w:rPr>
            </w:pPr>
          </w:p>
        </w:tc>
        <w:tc>
          <w:tcPr>
            <w:tcW w:w="1961" w:type="dxa"/>
            <w:vAlign w:val="top"/>
          </w:tcPr>
          <w:p w14:paraId="5EBF83E9">
            <w:pPr>
              <w:rPr>
                <w:rFonts w:ascii="Arial"/>
                <w:sz w:val="21"/>
              </w:rPr>
            </w:pPr>
          </w:p>
        </w:tc>
        <w:tc>
          <w:tcPr>
            <w:tcW w:w="1271" w:type="dxa"/>
            <w:vAlign w:val="top"/>
          </w:tcPr>
          <w:p w14:paraId="13C3A011">
            <w:pPr>
              <w:rPr>
                <w:rFonts w:ascii="Arial"/>
                <w:sz w:val="21"/>
              </w:rPr>
            </w:pPr>
          </w:p>
        </w:tc>
      </w:tr>
      <w:tr w14:paraId="46DF3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22" w:type="dxa"/>
            <w:vAlign w:val="top"/>
          </w:tcPr>
          <w:p w14:paraId="6FB4ECE6">
            <w:pPr>
              <w:rPr>
                <w:rFonts w:ascii="Arial"/>
                <w:sz w:val="21"/>
              </w:rPr>
            </w:pPr>
          </w:p>
        </w:tc>
        <w:tc>
          <w:tcPr>
            <w:tcW w:w="1378" w:type="dxa"/>
            <w:vAlign w:val="top"/>
          </w:tcPr>
          <w:p w14:paraId="048EE461">
            <w:pPr>
              <w:rPr>
                <w:rFonts w:ascii="Arial"/>
                <w:sz w:val="21"/>
              </w:rPr>
            </w:pPr>
          </w:p>
        </w:tc>
        <w:tc>
          <w:tcPr>
            <w:tcW w:w="2476" w:type="dxa"/>
            <w:vAlign w:val="top"/>
          </w:tcPr>
          <w:p w14:paraId="50E8A65E">
            <w:pPr>
              <w:rPr>
                <w:rFonts w:ascii="Arial"/>
                <w:sz w:val="21"/>
              </w:rPr>
            </w:pPr>
          </w:p>
        </w:tc>
        <w:tc>
          <w:tcPr>
            <w:tcW w:w="1158" w:type="dxa"/>
            <w:vAlign w:val="top"/>
          </w:tcPr>
          <w:p w14:paraId="2C82B69C">
            <w:pPr>
              <w:rPr>
                <w:rFonts w:ascii="Arial"/>
                <w:sz w:val="21"/>
              </w:rPr>
            </w:pPr>
          </w:p>
        </w:tc>
        <w:tc>
          <w:tcPr>
            <w:tcW w:w="1961" w:type="dxa"/>
            <w:vAlign w:val="top"/>
          </w:tcPr>
          <w:p w14:paraId="4695E15F">
            <w:pPr>
              <w:rPr>
                <w:rFonts w:ascii="Arial"/>
                <w:sz w:val="21"/>
              </w:rPr>
            </w:pPr>
          </w:p>
        </w:tc>
        <w:tc>
          <w:tcPr>
            <w:tcW w:w="1271" w:type="dxa"/>
            <w:vAlign w:val="top"/>
          </w:tcPr>
          <w:p w14:paraId="2EE21503">
            <w:pPr>
              <w:rPr>
                <w:rFonts w:ascii="Arial"/>
                <w:sz w:val="21"/>
              </w:rPr>
            </w:pPr>
          </w:p>
        </w:tc>
      </w:tr>
      <w:tr w14:paraId="24EF6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22" w:type="dxa"/>
            <w:vAlign w:val="top"/>
          </w:tcPr>
          <w:p w14:paraId="7B5F74BB">
            <w:pPr>
              <w:rPr>
                <w:rFonts w:ascii="Arial"/>
                <w:sz w:val="21"/>
              </w:rPr>
            </w:pPr>
          </w:p>
        </w:tc>
        <w:tc>
          <w:tcPr>
            <w:tcW w:w="1378" w:type="dxa"/>
            <w:vAlign w:val="top"/>
          </w:tcPr>
          <w:p w14:paraId="575D6A4C">
            <w:pPr>
              <w:rPr>
                <w:rFonts w:ascii="Arial"/>
                <w:sz w:val="21"/>
              </w:rPr>
            </w:pPr>
          </w:p>
        </w:tc>
        <w:tc>
          <w:tcPr>
            <w:tcW w:w="2476" w:type="dxa"/>
            <w:vAlign w:val="top"/>
          </w:tcPr>
          <w:p w14:paraId="2D940C03">
            <w:pPr>
              <w:rPr>
                <w:rFonts w:ascii="Arial"/>
                <w:sz w:val="21"/>
              </w:rPr>
            </w:pPr>
          </w:p>
        </w:tc>
        <w:tc>
          <w:tcPr>
            <w:tcW w:w="1158" w:type="dxa"/>
            <w:vAlign w:val="top"/>
          </w:tcPr>
          <w:p w14:paraId="33E964EF">
            <w:pPr>
              <w:rPr>
                <w:rFonts w:ascii="Arial"/>
                <w:sz w:val="21"/>
              </w:rPr>
            </w:pPr>
          </w:p>
        </w:tc>
        <w:tc>
          <w:tcPr>
            <w:tcW w:w="1961" w:type="dxa"/>
            <w:vAlign w:val="top"/>
          </w:tcPr>
          <w:p w14:paraId="5F8D9B54">
            <w:pPr>
              <w:rPr>
                <w:rFonts w:ascii="Arial"/>
                <w:sz w:val="21"/>
              </w:rPr>
            </w:pPr>
          </w:p>
        </w:tc>
        <w:tc>
          <w:tcPr>
            <w:tcW w:w="1271" w:type="dxa"/>
            <w:vAlign w:val="top"/>
          </w:tcPr>
          <w:p w14:paraId="758AC465">
            <w:pPr>
              <w:rPr>
                <w:rFonts w:ascii="Arial"/>
                <w:sz w:val="21"/>
              </w:rPr>
            </w:pPr>
          </w:p>
        </w:tc>
      </w:tr>
      <w:tr w14:paraId="04983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22" w:type="dxa"/>
            <w:vAlign w:val="top"/>
          </w:tcPr>
          <w:p w14:paraId="11A45A88">
            <w:pPr>
              <w:rPr>
                <w:rFonts w:ascii="Arial"/>
                <w:sz w:val="21"/>
              </w:rPr>
            </w:pPr>
          </w:p>
        </w:tc>
        <w:tc>
          <w:tcPr>
            <w:tcW w:w="1378" w:type="dxa"/>
            <w:vAlign w:val="top"/>
          </w:tcPr>
          <w:p w14:paraId="4EA0115C">
            <w:pPr>
              <w:rPr>
                <w:rFonts w:ascii="Arial"/>
                <w:sz w:val="21"/>
              </w:rPr>
            </w:pPr>
          </w:p>
        </w:tc>
        <w:tc>
          <w:tcPr>
            <w:tcW w:w="2476" w:type="dxa"/>
            <w:vAlign w:val="top"/>
          </w:tcPr>
          <w:p w14:paraId="630F962A">
            <w:pPr>
              <w:rPr>
                <w:rFonts w:ascii="Arial"/>
                <w:sz w:val="21"/>
              </w:rPr>
            </w:pPr>
          </w:p>
        </w:tc>
        <w:tc>
          <w:tcPr>
            <w:tcW w:w="1158" w:type="dxa"/>
            <w:vAlign w:val="top"/>
          </w:tcPr>
          <w:p w14:paraId="279082C2">
            <w:pPr>
              <w:rPr>
                <w:rFonts w:ascii="Arial"/>
                <w:sz w:val="21"/>
              </w:rPr>
            </w:pPr>
          </w:p>
        </w:tc>
        <w:tc>
          <w:tcPr>
            <w:tcW w:w="1961" w:type="dxa"/>
            <w:vAlign w:val="top"/>
          </w:tcPr>
          <w:p w14:paraId="3E5DA7C3">
            <w:pPr>
              <w:rPr>
                <w:rFonts w:ascii="Arial"/>
                <w:sz w:val="21"/>
              </w:rPr>
            </w:pPr>
          </w:p>
        </w:tc>
        <w:tc>
          <w:tcPr>
            <w:tcW w:w="1271" w:type="dxa"/>
            <w:vAlign w:val="top"/>
          </w:tcPr>
          <w:p w14:paraId="00F6F591">
            <w:pPr>
              <w:rPr>
                <w:rFonts w:ascii="Arial"/>
                <w:sz w:val="21"/>
              </w:rPr>
            </w:pPr>
          </w:p>
        </w:tc>
      </w:tr>
    </w:tbl>
    <w:p w14:paraId="0FCAFC64">
      <w:pPr>
        <w:pStyle w:val="3"/>
        <w:spacing w:before="157" w:line="467" w:lineRule="exact"/>
        <w:ind w:left="12"/>
        <w:rPr>
          <w:sz w:val="24"/>
          <w:szCs w:val="24"/>
        </w:rPr>
      </w:pPr>
      <w:r>
        <w:rPr>
          <w:spacing w:val="-2"/>
          <w:position w:val="17"/>
          <w:sz w:val="24"/>
          <w:szCs w:val="24"/>
        </w:rPr>
        <w:t>注：根据实际情况填写，后附相关设备证明材料原件扫描件或复印件，表格不够可自行</w:t>
      </w:r>
    </w:p>
    <w:p w14:paraId="53C2CF6B">
      <w:pPr>
        <w:pStyle w:val="3"/>
        <w:spacing w:line="222" w:lineRule="auto"/>
        <w:ind w:left="14"/>
        <w:rPr>
          <w:sz w:val="24"/>
          <w:szCs w:val="24"/>
        </w:rPr>
      </w:pPr>
      <w:r>
        <w:rPr>
          <w:spacing w:val="-11"/>
          <w:sz w:val="24"/>
          <w:szCs w:val="24"/>
        </w:rPr>
        <w:t>添加。</w:t>
      </w:r>
    </w:p>
    <w:p w14:paraId="18528916">
      <w:pPr>
        <w:spacing w:line="281" w:lineRule="auto"/>
        <w:rPr>
          <w:rFonts w:ascii="Arial"/>
          <w:sz w:val="21"/>
        </w:rPr>
      </w:pPr>
    </w:p>
    <w:p w14:paraId="64B96069">
      <w:pPr>
        <w:spacing w:line="281" w:lineRule="auto"/>
        <w:rPr>
          <w:rFonts w:ascii="Arial"/>
          <w:sz w:val="21"/>
        </w:rPr>
      </w:pPr>
    </w:p>
    <w:p w14:paraId="53C35A5F">
      <w:pPr>
        <w:pStyle w:val="3"/>
        <w:spacing w:before="78" w:line="479" w:lineRule="auto"/>
        <w:ind w:right="39"/>
        <w:jc w:val="right"/>
        <w:rPr>
          <w:sz w:val="24"/>
          <w:szCs w:val="24"/>
        </w:rPr>
      </w:pPr>
      <w:r>
        <w:rPr>
          <w:rFonts w:hint="eastAsia"/>
          <w:spacing w:val="-26"/>
          <w:sz w:val="24"/>
          <w:szCs w:val="24"/>
          <w:lang w:eastAsia="zh-CN"/>
        </w:rPr>
        <w:t>供应商</w:t>
      </w:r>
      <w:r>
        <w:rPr>
          <w:spacing w:val="-26"/>
          <w:sz w:val="24"/>
          <w:szCs w:val="24"/>
        </w:rPr>
        <w:t>名称</w:t>
      </w:r>
      <w:r>
        <w:rPr>
          <w:spacing w:val="-28"/>
          <w:sz w:val="24"/>
          <w:szCs w:val="24"/>
        </w:rPr>
        <w:t>：</w:t>
      </w:r>
      <w:r>
        <w:rPr>
          <w:spacing w:val="56"/>
          <w:sz w:val="24"/>
          <w:szCs w:val="24"/>
        </w:rPr>
        <w:t xml:space="preserve"> </w:t>
      </w:r>
      <w:r>
        <w:rPr>
          <w:sz w:val="24"/>
          <w:szCs w:val="24"/>
          <w:u w:val="single" w:color="auto"/>
        </w:rPr>
        <w:t xml:space="preserve">                   </w:t>
      </w:r>
      <w:r>
        <w:rPr>
          <w:spacing w:val="16"/>
          <w:sz w:val="24"/>
          <w:szCs w:val="24"/>
        </w:rPr>
        <w:t xml:space="preserve"> </w:t>
      </w:r>
      <w:r>
        <w:rPr>
          <w:spacing w:val="-28"/>
          <w:sz w:val="24"/>
          <w:szCs w:val="24"/>
        </w:rPr>
        <w:t>（</w:t>
      </w:r>
      <w:r>
        <w:rPr>
          <w:spacing w:val="-26"/>
          <w:sz w:val="24"/>
          <w:szCs w:val="24"/>
        </w:rPr>
        <w:t>盖单位章）</w:t>
      </w:r>
    </w:p>
    <w:p w14:paraId="28FCAE9F">
      <w:pPr>
        <w:pStyle w:val="3"/>
        <w:spacing w:before="1" w:line="219" w:lineRule="auto"/>
        <w:ind w:left="3924"/>
        <w:rPr>
          <w:sz w:val="24"/>
          <w:szCs w:val="24"/>
        </w:rPr>
      </w:pPr>
      <w:r>
        <w:rPr>
          <w:spacing w:val="-13"/>
          <w:sz w:val="24"/>
          <w:szCs w:val="24"/>
        </w:rPr>
        <w:t>法定代表人或委托代理人：</w:t>
      </w:r>
      <w:r>
        <w:rPr>
          <w:spacing w:val="64"/>
          <w:sz w:val="24"/>
          <w:szCs w:val="24"/>
        </w:rPr>
        <w:t xml:space="preserve"> </w:t>
      </w:r>
      <w:r>
        <w:rPr>
          <w:sz w:val="24"/>
          <w:szCs w:val="24"/>
          <w:u w:val="single" w:color="auto"/>
        </w:rPr>
        <w:t xml:space="preserve">       </w:t>
      </w:r>
      <w:r>
        <w:rPr>
          <w:spacing w:val="-69"/>
          <w:sz w:val="24"/>
          <w:szCs w:val="24"/>
        </w:rPr>
        <w:t xml:space="preserve"> </w:t>
      </w:r>
      <w:r>
        <w:rPr>
          <w:spacing w:val="-13"/>
          <w:sz w:val="24"/>
          <w:szCs w:val="24"/>
        </w:rPr>
        <w:t>(签字或盖章)</w:t>
      </w:r>
    </w:p>
    <w:p w14:paraId="76B4DED0">
      <w:pPr>
        <w:spacing w:line="257" w:lineRule="auto"/>
        <w:rPr>
          <w:rFonts w:ascii="Arial"/>
          <w:sz w:val="21"/>
        </w:rPr>
      </w:pPr>
    </w:p>
    <w:p w14:paraId="313D60F7">
      <w:pPr>
        <w:pStyle w:val="3"/>
        <w:tabs>
          <w:tab w:val="left" w:pos="7394"/>
        </w:tabs>
        <w:spacing w:before="79" w:line="220" w:lineRule="auto"/>
        <w:ind w:left="6554"/>
        <w:rPr>
          <w:sz w:val="24"/>
          <w:szCs w:val="24"/>
        </w:rPr>
      </w:pPr>
      <w:r>
        <w:rPr>
          <w:sz w:val="24"/>
          <w:szCs w:val="24"/>
          <w:u w:val="single" w:color="auto"/>
        </w:rPr>
        <w:tab/>
      </w:r>
      <w:r>
        <w:rPr>
          <w:spacing w:val="-109"/>
          <w:sz w:val="24"/>
          <w:szCs w:val="24"/>
        </w:rPr>
        <w:t xml:space="preserve"> </w:t>
      </w:r>
      <w:r>
        <w:rPr>
          <w:spacing w:val="-26"/>
          <w:sz w:val="24"/>
          <w:szCs w:val="24"/>
        </w:rPr>
        <w:t>年</w:t>
      </w:r>
      <w:r>
        <w:rPr>
          <w:sz w:val="24"/>
          <w:szCs w:val="24"/>
          <w:u w:val="single" w:color="auto"/>
        </w:rPr>
        <w:t xml:space="preserve">    </w:t>
      </w:r>
      <w:r>
        <w:rPr>
          <w:spacing w:val="-105"/>
          <w:sz w:val="24"/>
          <w:szCs w:val="24"/>
        </w:rPr>
        <w:t xml:space="preserve"> </w:t>
      </w:r>
      <w:r>
        <w:rPr>
          <w:spacing w:val="-26"/>
          <w:sz w:val="24"/>
          <w:szCs w:val="24"/>
        </w:rPr>
        <w:t>月</w:t>
      </w:r>
      <w:r>
        <w:rPr>
          <w:spacing w:val="40"/>
          <w:sz w:val="24"/>
          <w:szCs w:val="24"/>
          <w:u w:val="single" w:color="auto"/>
        </w:rPr>
        <w:t xml:space="preserve">   </w:t>
      </w:r>
      <w:r>
        <w:rPr>
          <w:spacing w:val="-69"/>
          <w:sz w:val="24"/>
          <w:szCs w:val="24"/>
        </w:rPr>
        <w:t xml:space="preserve"> </w:t>
      </w:r>
      <w:r>
        <w:rPr>
          <w:spacing w:val="-26"/>
          <w:sz w:val="24"/>
          <w:szCs w:val="24"/>
        </w:rPr>
        <w:t>日</w:t>
      </w:r>
    </w:p>
    <w:p w14:paraId="3257BE43">
      <w:pPr>
        <w:spacing w:line="220" w:lineRule="auto"/>
        <w:rPr>
          <w:sz w:val="24"/>
          <w:szCs w:val="24"/>
        </w:rPr>
        <w:sectPr>
          <w:footerReference r:id="rId29" w:type="default"/>
          <w:pgSz w:w="11905" w:h="16838"/>
          <w:pgMar w:top="841" w:right="1368" w:bottom="799" w:left="1414" w:header="0" w:footer="548" w:gutter="0"/>
          <w:pgNumType w:fmt="decimal"/>
          <w:cols w:space="720" w:num="1"/>
        </w:sectPr>
      </w:pPr>
    </w:p>
    <w:p w14:paraId="1AC8D7B7">
      <w:pPr>
        <w:pStyle w:val="3"/>
        <w:spacing w:before="91" w:line="220" w:lineRule="auto"/>
        <w:ind w:left="3288"/>
        <w:outlineLvl w:val="6"/>
        <w:rPr>
          <w:sz w:val="28"/>
          <w:szCs w:val="28"/>
        </w:rPr>
      </w:pPr>
      <w:r>
        <w:rPr>
          <w:spacing w:val="-1"/>
          <w:sz w:val="28"/>
          <w:szCs w:val="28"/>
          <w14:textOutline w14:w="5080">
            <w14:solidFill>
              <w14:srgbClr w14:val="000000"/>
            </w14:solidFill>
            <w14:prstDash w14:val="solid"/>
            <w14:miter w14:val="0"/>
          </w14:textOutline>
        </w:rPr>
        <w:t>九、</w:t>
      </w:r>
      <w:r>
        <w:rPr>
          <w:rFonts w:hint="eastAsia"/>
          <w:spacing w:val="-1"/>
          <w:sz w:val="28"/>
          <w:szCs w:val="28"/>
          <w14:textOutline w14:w="5080">
            <w14:solidFill>
              <w14:srgbClr w14:val="000000"/>
            </w14:solidFill>
            <w14:prstDash w14:val="solid"/>
            <w14:miter w14:val="0"/>
          </w14:textOutline>
        </w:rPr>
        <w:t>维保</w:t>
      </w:r>
      <w:r>
        <w:rPr>
          <w:spacing w:val="-1"/>
          <w:sz w:val="28"/>
          <w:szCs w:val="28"/>
          <w14:textOutline w14:w="5080">
            <w14:solidFill>
              <w14:srgbClr w14:val="000000"/>
            </w14:solidFill>
            <w14:prstDash w14:val="solid"/>
            <w14:miter w14:val="0"/>
          </w14:textOutline>
        </w:rPr>
        <w:t>服务方案</w:t>
      </w:r>
    </w:p>
    <w:p w14:paraId="42A470B4">
      <w:pPr>
        <w:spacing w:line="220" w:lineRule="auto"/>
        <w:rPr>
          <w:sz w:val="28"/>
          <w:szCs w:val="28"/>
        </w:rPr>
        <w:sectPr>
          <w:footerReference r:id="rId30" w:type="default"/>
          <w:pgSz w:w="11905" w:h="16838"/>
          <w:pgMar w:top="841" w:right="1368" w:bottom="799" w:left="1417" w:header="0" w:footer="548" w:gutter="0"/>
          <w:pgNumType w:fmt="decimal"/>
          <w:cols w:space="720" w:num="1"/>
        </w:sectPr>
      </w:pPr>
    </w:p>
    <w:p w14:paraId="11750AE4">
      <w:pPr>
        <w:pStyle w:val="3"/>
        <w:spacing w:before="91" w:line="220" w:lineRule="auto"/>
        <w:ind w:left="3141"/>
        <w:rPr>
          <w:sz w:val="28"/>
          <w:szCs w:val="28"/>
        </w:rPr>
      </w:pPr>
      <w:r>
        <w:rPr>
          <w:spacing w:val="-1"/>
          <w:sz w:val="28"/>
          <w:szCs w:val="28"/>
          <w14:textOutline w14:w="5080">
            <w14:solidFill>
              <w14:srgbClr w14:val="000000"/>
            </w14:solidFill>
            <w14:prstDash w14:val="solid"/>
            <w14:miter w14:val="0"/>
          </w14:textOutline>
        </w:rPr>
        <w:t>十、综合实力评审资料</w:t>
      </w:r>
    </w:p>
    <w:p w14:paraId="714965F9">
      <w:pPr>
        <w:spacing w:line="220" w:lineRule="auto"/>
        <w:rPr>
          <w:sz w:val="28"/>
          <w:szCs w:val="28"/>
        </w:rPr>
        <w:sectPr>
          <w:footerReference r:id="rId31" w:type="default"/>
          <w:pgSz w:w="11905" w:h="16838"/>
          <w:pgMar w:top="841" w:right="1368" w:bottom="799" w:left="1417" w:header="0" w:footer="548" w:gutter="0"/>
          <w:pgNumType w:fmt="decimal"/>
          <w:cols w:space="720" w:num="1"/>
        </w:sectPr>
      </w:pPr>
    </w:p>
    <w:p w14:paraId="44A6C05F">
      <w:pPr>
        <w:pStyle w:val="3"/>
        <w:spacing w:before="91" w:line="220" w:lineRule="auto"/>
        <w:ind w:left="3563"/>
        <w:rPr>
          <w:sz w:val="28"/>
          <w:szCs w:val="28"/>
        </w:rPr>
      </w:pPr>
      <w:r>
        <w:rPr>
          <w:spacing w:val="-1"/>
          <w:sz w:val="28"/>
          <w:szCs w:val="28"/>
          <w14:textOutline w14:w="5080">
            <w14:solidFill>
              <w14:srgbClr w14:val="000000"/>
            </w14:solidFill>
            <w14:prstDash w14:val="solid"/>
            <w14:miter w14:val="0"/>
          </w14:textOutline>
        </w:rPr>
        <w:t>十一、其他材料</w:t>
      </w:r>
    </w:p>
    <w:p w14:paraId="0586C5EA">
      <w:pPr>
        <w:spacing w:line="247" w:lineRule="auto"/>
        <w:rPr>
          <w:rFonts w:ascii="Arial"/>
          <w:sz w:val="21"/>
        </w:rPr>
      </w:pPr>
    </w:p>
    <w:p w14:paraId="194D1610">
      <w:pPr>
        <w:spacing w:line="248" w:lineRule="auto"/>
        <w:rPr>
          <w:rFonts w:ascii="Arial"/>
          <w:sz w:val="21"/>
        </w:rPr>
      </w:pPr>
    </w:p>
    <w:p w14:paraId="47D8D470">
      <w:pPr>
        <w:pStyle w:val="3"/>
        <w:spacing w:before="78" w:line="220" w:lineRule="auto"/>
        <w:ind w:left="2031"/>
        <w:rPr>
          <w:sz w:val="24"/>
          <w:szCs w:val="24"/>
        </w:rPr>
      </w:pPr>
      <w:r>
        <w:rPr>
          <w:spacing w:val="-2"/>
          <w:sz w:val="24"/>
          <w:szCs w:val="24"/>
        </w:rPr>
        <w:t>（招标文件要求或</w:t>
      </w:r>
      <w:r>
        <w:rPr>
          <w:rFonts w:hint="eastAsia"/>
          <w:spacing w:val="-2"/>
          <w:sz w:val="24"/>
          <w:szCs w:val="24"/>
          <w:lang w:eastAsia="zh-CN"/>
        </w:rPr>
        <w:t>供应商</w:t>
      </w:r>
      <w:r>
        <w:rPr>
          <w:spacing w:val="-2"/>
          <w:sz w:val="24"/>
          <w:szCs w:val="24"/>
        </w:rPr>
        <w:t>认为必要的其他材料）</w:t>
      </w:r>
    </w:p>
    <w:p w14:paraId="7E8A2636">
      <w:pPr>
        <w:spacing w:line="220" w:lineRule="auto"/>
        <w:rPr>
          <w:sz w:val="24"/>
          <w:szCs w:val="24"/>
        </w:rPr>
        <w:sectPr>
          <w:footerReference r:id="rId32" w:type="default"/>
          <w:pgSz w:w="11905" w:h="16838"/>
          <w:pgMar w:top="841" w:right="1368" w:bottom="799" w:left="1417" w:header="0" w:footer="548" w:gutter="0"/>
          <w:pgNumType w:fmt="decimal"/>
          <w:cols w:space="720" w:num="1"/>
        </w:sectPr>
      </w:pPr>
    </w:p>
    <w:p w14:paraId="7610C00E">
      <w:pPr>
        <w:spacing w:line="241" w:lineRule="auto"/>
        <w:rPr>
          <w:rFonts w:ascii="Arial"/>
          <w:sz w:val="21"/>
        </w:rPr>
      </w:pPr>
    </w:p>
    <w:p w14:paraId="4AF081A9">
      <w:pPr>
        <w:spacing w:line="241" w:lineRule="auto"/>
        <w:rPr>
          <w:rFonts w:ascii="Arial"/>
          <w:sz w:val="21"/>
        </w:rPr>
      </w:pPr>
    </w:p>
    <w:p w14:paraId="484C9C31">
      <w:pPr>
        <w:spacing w:line="241" w:lineRule="auto"/>
        <w:rPr>
          <w:rFonts w:ascii="Arial"/>
          <w:sz w:val="21"/>
        </w:rPr>
      </w:pPr>
    </w:p>
    <w:p w14:paraId="43C924F5">
      <w:pPr>
        <w:spacing w:line="241" w:lineRule="auto"/>
        <w:rPr>
          <w:rFonts w:ascii="Arial"/>
          <w:sz w:val="21"/>
        </w:rPr>
      </w:pPr>
    </w:p>
    <w:p w14:paraId="096C3A3F">
      <w:pPr>
        <w:spacing w:line="241" w:lineRule="auto"/>
        <w:rPr>
          <w:rFonts w:ascii="Arial"/>
          <w:sz w:val="21"/>
        </w:rPr>
      </w:pPr>
    </w:p>
    <w:p w14:paraId="1FC9CB3B">
      <w:pPr>
        <w:spacing w:line="241" w:lineRule="auto"/>
        <w:rPr>
          <w:rFonts w:ascii="Arial"/>
          <w:sz w:val="21"/>
        </w:rPr>
      </w:pPr>
    </w:p>
    <w:p w14:paraId="0280BFD9">
      <w:pPr>
        <w:spacing w:line="241" w:lineRule="auto"/>
        <w:rPr>
          <w:rFonts w:ascii="Arial"/>
          <w:sz w:val="21"/>
        </w:rPr>
      </w:pPr>
    </w:p>
    <w:p w14:paraId="06480874">
      <w:pPr>
        <w:spacing w:line="241" w:lineRule="auto"/>
        <w:rPr>
          <w:rFonts w:ascii="Arial"/>
          <w:sz w:val="21"/>
        </w:rPr>
      </w:pPr>
    </w:p>
    <w:p w14:paraId="0E3866C0">
      <w:pPr>
        <w:spacing w:line="241" w:lineRule="auto"/>
        <w:rPr>
          <w:rFonts w:ascii="Arial"/>
          <w:sz w:val="21"/>
        </w:rPr>
      </w:pPr>
    </w:p>
    <w:p w14:paraId="5217FD25">
      <w:pPr>
        <w:spacing w:line="241" w:lineRule="auto"/>
        <w:rPr>
          <w:rFonts w:ascii="Arial"/>
          <w:sz w:val="21"/>
        </w:rPr>
      </w:pPr>
    </w:p>
    <w:p w14:paraId="5B913F0A">
      <w:pPr>
        <w:spacing w:line="241" w:lineRule="auto"/>
        <w:rPr>
          <w:rFonts w:ascii="Arial"/>
          <w:sz w:val="21"/>
        </w:rPr>
      </w:pPr>
    </w:p>
    <w:p w14:paraId="17FB2256">
      <w:pPr>
        <w:spacing w:line="241" w:lineRule="auto"/>
        <w:rPr>
          <w:rFonts w:ascii="Arial"/>
          <w:sz w:val="21"/>
        </w:rPr>
      </w:pPr>
    </w:p>
    <w:p w14:paraId="62142A78">
      <w:pPr>
        <w:spacing w:line="241" w:lineRule="auto"/>
        <w:rPr>
          <w:rFonts w:ascii="Arial"/>
          <w:sz w:val="21"/>
        </w:rPr>
      </w:pPr>
    </w:p>
    <w:p w14:paraId="24F7D3B8">
      <w:pPr>
        <w:spacing w:line="241" w:lineRule="auto"/>
        <w:rPr>
          <w:rFonts w:ascii="Arial"/>
          <w:sz w:val="21"/>
        </w:rPr>
      </w:pPr>
    </w:p>
    <w:p w14:paraId="48D546EE">
      <w:pPr>
        <w:spacing w:line="241" w:lineRule="auto"/>
        <w:rPr>
          <w:rFonts w:ascii="Arial"/>
          <w:sz w:val="21"/>
        </w:rPr>
      </w:pPr>
    </w:p>
    <w:p w14:paraId="091CDE15">
      <w:pPr>
        <w:pStyle w:val="3"/>
        <w:spacing w:before="104" w:line="220" w:lineRule="auto"/>
        <w:ind w:left="3504"/>
        <w:rPr>
          <w:sz w:val="32"/>
          <w:szCs w:val="32"/>
        </w:rPr>
      </w:pPr>
      <w:r>
        <w:rPr>
          <w:spacing w:val="-10"/>
          <w:sz w:val="32"/>
          <w:szCs w:val="32"/>
          <w14:textOutline w14:w="5805">
            <w14:solidFill>
              <w14:srgbClr w14:val="000000"/>
            </w14:solidFill>
            <w14:prstDash w14:val="solid"/>
            <w14:miter w14:val="0"/>
          </w14:textOutline>
        </w:rPr>
        <w:t>第</w:t>
      </w:r>
      <w:r>
        <w:rPr>
          <w:rFonts w:hint="eastAsia"/>
          <w:spacing w:val="-10"/>
          <w:sz w:val="32"/>
          <w:szCs w:val="32"/>
          <w:lang w:val="en-US" w:eastAsia="zh-CN"/>
          <w14:textOutline w14:w="5805">
            <w14:solidFill>
              <w14:srgbClr w14:val="000000"/>
            </w14:solidFill>
            <w14:prstDash w14:val="solid"/>
            <w14:miter w14:val="0"/>
          </w14:textOutline>
        </w:rPr>
        <w:t>八</w:t>
      </w:r>
      <w:r>
        <w:rPr>
          <w:spacing w:val="-10"/>
          <w:sz w:val="32"/>
          <w:szCs w:val="32"/>
          <w14:textOutline w14:w="5805">
            <w14:solidFill>
              <w14:srgbClr w14:val="000000"/>
            </w14:solidFill>
            <w14:prstDash w14:val="solid"/>
            <w14:miter w14:val="0"/>
          </w14:textOutline>
        </w:rPr>
        <w:t>章</w:t>
      </w:r>
      <w:r>
        <w:rPr>
          <w:spacing w:val="20"/>
          <w:sz w:val="32"/>
          <w:szCs w:val="32"/>
        </w:rPr>
        <w:t xml:space="preserve">  </w:t>
      </w:r>
      <w:r>
        <w:rPr>
          <w:spacing w:val="-10"/>
          <w:sz w:val="32"/>
          <w:szCs w:val="32"/>
          <w14:textOutline w14:w="5805">
            <w14:solidFill>
              <w14:srgbClr w14:val="000000"/>
            </w14:solidFill>
            <w14:prstDash w14:val="solid"/>
            <w14:miter w14:val="0"/>
          </w14:textOutline>
        </w:rPr>
        <w:t>附</w:t>
      </w:r>
      <w:r>
        <w:rPr>
          <w:spacing w:val="12"/>
          <w:sz w:val="32"/>
          <w:szCs w:val="32"/>
        </w:rPr>
        <w:t xml:space="preserve"> </w:t>
      </w:r>
      <w:r>
        <w:rPr>
          <w:spacing w:val="-10"/>
          <w:sz w:val="32"/>
          <w:szCs w:val="32"/>
          <w14:textOutline w14:w="5805">
            <w14:solidFill>
              <w14:srgbClr w14:val="000000"/>
            </w14:solidFill>
            <w14:prstDash w14:val="solid"/>
            <w14:miter w14:val="0"/>
          </w14:textOutline>
        </w:rPr>
        <w:t>件</w:t>
      </w:r>
    </w:p>
    <w:p w14:paraId="680A6436">
      <w:pPr>
        <w:spacing w:line="220" w:lineRule="auto"/>
        <w:rPr>
          <w:sz w:val="32"/>
          <w:szCs w:val="32"/>
        </w:rPr>
        <w:sectPr>
          <w:footerReference r:id="rId33" w:type="default"/>
          <w:pgSz w:w="11905" w:h="16838"/>
          <w:pgMar w:top="841" w:right="1368" w:bottom="799" w:left="1417" w:header="0" w:footer="548" w:gutter="0"/>
          <w:pgNumType w:fmt="decimal"/>
          <w:cols w:space="720" w:num="1"/>
        </w:sectPr>
      </w:pPr>
    </w:p>
    <w:p w14:paraId="403A4FAD">
      <w:pPr>
        <w:pStyle w:val="3"/>
        <w:spacing w:before="78" w:line="220" w:lineRule="auto"/>
        <w:ind w:left="28"/>
        <w:rPr>
          <w:sz w:val="24"/>
          <w:szCs w:val="24"/>
        </w:rPr>
      </w:pPr>
      <w:r>
        <w:rPr>
          <w:spacing w:val="-10"/>
          <w:sz w:val="24"/>
          <w:szCs w:val="24"/>
          <w14:textOutline w14:w="4354">
            <w14:solidFill>
              <w14:srgbClr w14:val="000000"/>
            </w14:solidFill>
            <w14:prstDash w14:val="solid"/>
            <w14:miter w14:val="0"/>
          </w14:textOutline>
        </w:rPr>
        <w:t>附件</w:t>
      </w:r>
      <w:r>
        <w:rPr>
          <w:spacing w:val="-31"/>
          <w:sz w:val="24"/>
          <w:szCs w:val="24"/>
        </w:rPr>
        <w:t xml:space="preserve"> </w:t>
      </w:r>
      <w:r>
        <w:rPr>
          <w:spacing w:val="-10"/>
          <w:sz w:val="24"/>
          <w:szCs w:val="24"/>
          <w14:textOutline w14:w="4354">
            <w14:solidFill>
              <w14:srgbClr w14:val="000000"/>
            </w14:solidFill>
            <w14:prstDash w14:val="solid"/>
            <w14:miter w14:val="0"/>
          </w14:textOutline>
        </w:rPr>
        <w:t>1</w:t>
      </w:r>
    </w:p>
    <w:p w14:paraId="5D28123F">
      <w:pPr>
        <w:spacing w:line="287" w:lineRule="auto"/>
        <w:rPr>
          <w:rFonts w:ascii="Arial"/>
          <w:sz w:val="21"/>
        </w:rPr>
      </w:pPr>
    </w:p>
    <w:p w14:paraId="3AF32B39">
      <w:pPr>
        <w:pStyle w:val="3"/>
        <w:spacing w:before="91" w:line="220" w:lineRule="auto"/>
        <w:ind w:left="3588"/>
        <w:rPr>
          <w:sz w:val="28"/>
          <w:szCs w:val="28"/>
        </w:rPr>
      </w:pPr>
      <w:r>
        <w:rPr>
          <w:spacing w:val="-5"/>
          <w:sz w:val="28"/>
          <w:szCs w:val="28"/>
          <w14:textOutline w14:w="5080">
            <w14:solidFill>
              <w14:srgbClr w14:val="000000"/>
            </w14:solidFill>
            <w14:prstDash w14:val="solid"/>
            <w14:miter w14:val="0"/>
          </w14:textOutline>
        </w:rPr>
        <w:t>中小企业声明函</w:t>
      </w:r>
    </w:p>
    <w:p w14:paraId="371898A6">
      <w:pPr>
        <w:pStyle w:val="3"/>
        <w:spacing w:before="284" w:line="480" w:lineRule="exact"/>
        <w:ind w:left="490"/>
        <w:rPr>
          <w:sz w:val="24"/>
          <w:szCs w:val="24"/>
        </w:rPr>
      </w:pPr>
      <w:r>
        <w:rPr>
          <w:spacing w:val="-14"/>
          <w:position w:val="18"/>
          <w:sz w:val="24"/>
          <w:szCs w:val="24"/>
        </w:rPr>
        <w:t>本公司（联合体）</w:t>
      </w:r>
      <w:r>
        <w:rPr>
          <w:spacing w:val="-69"/>
          <w:position w:val="18"/>
          <w:sz w:val="24"/>
          <w:szCs w:val="24"/>
        </w:rPr>
        <w:t xml:space="preserve"> </w:t>
      </w:r>
      <w:r>
        <w:rPr>
          <w:spacing w:val="-14"/>
          <w:position w:val="18"/>
          <w:sz w:val="24"/>
          <w:szCs w:val="24"/>
        </w:rPr>
        <w:t>郑重声明，</w:t>
      </w:r>
      <w:r>
        <w:rPr>
          <w:spacing w:val="-32"/>
          <w:position w:val="18"/>
          <w:sz w:val="24"/>
          <w:szCs w:val="24"/>
        </w:rPr>
        <w:t xml:space="preserve"> </w:t>
      </w:r>
      <w:r>
        <w:rPr>
          <w:spacing w:val="-14"/>
          <w:position w:val="18"/>
          <w:sz w:val="24"/>
          <w:szCs w:val="24"/>
        </w:rPr>
        <w:t>根据《政府采购</w:t>
      </w:r>
      <w:r>
        <w:rPr>
          <w:spacing w:val="-15"/>
          <w:position w:val="18"/>
          <w:sz w:val="24"/>
          <w:szCs w:val="24"/>
        </w:rPr>
        <w:t>促进中小企业发展管理办法》（财库﹝</w:t>
      </w:r>
    </w:p>
    <w:p w14:paraId="7232E5E4">
      <w:pPr>
        <w:pStyle w:val="3"/>
        <w:spacing w:line="219" w:lineRule="auto"/>
        <w:ind w:left="12"/>
        <w:rPr>
          <w:sz w:val="24"/>
          <w:szCs w:val="24"/>
        </w:rPr>
      </w:pPr>
      <w:r>
        <w:rPr>
          <w:spacing w:val="-4"/>
          <w:sz w:val="24"/>
          <w:szCs w:val="24"/>
        </w:rPr>
        <w:t>2020﹞46</w:t>
      </w:r>
      <w:r>
        <w:rPr>
          <w:spacing w:val="-36"/>
          <w:sz w:val="24"/>
          <w:szCs w:val="24"/>
        </w:rPr>
        <w:t xml:space="preserve"> </w:t>
      </w:r>
      <w:r>
        <w:rPr>
          <w:spacing w:val="-4"/>
          <w:sz w:val="24"/>
          <w:szCs w:val="24"/>
        </w:rPr>
        <w:t>号）的规定，本公司（联合体）参加</w:t>
      </w:r>
      <w:r>
        <w:rPr>
          <w:spacing w:val="-4"/>
          <w:sz w:val="24"/>
          <w:szCs w:val="24"/>
          <w:u w:val="single" w:color="auto"/>
        </w:rPr>
        <w:t xml:space="preserve">             </w:t>
      </w:r>
      <w:r>
        <w:rPr>
          <w:spacing w:val="-4"/>
          <w:sz w:val="24"/>
          <w:szCs w:val="24"/>
        </w:rPr>
        <w:t xml:space="preserve"> （单位名称）的</w:t>
      </w:r>
      <w:r>
        <w:rPr>
          <w:spacing w:val="-102"/>
          <w:sz w:val="24"/>
          <w:szCs w:val="24"/>
        </w:rPr>
        <w:t xml:space="preserve"> </w:t>
      </w:r>
      <w:r>
        <w:rPr>
          <w:sz w:val="24"/>
          <w:szCs w:val="24"/>
          <w:u w:val="single" w:color="auto"/>
        </w:rPr>
        <w:t xml:space="preserve">    </w:t>
      </w:r>
    </w:p>
    <w:p w14:paraId="4AFD3B48">
      <w:pPr>
        <w:pStyle w:val="3"/>
        <w:tabs>
          <w:tab w:val="left" w:pos="1560"/>
        </w:tabs>
        <w:spacing w:before="195" w:line="369" w:lineRule="auto"/>
        <w:rPr>
          <w:sz w:val="24"/>
          <w:szCs w:val="24"/>
        </w:rPr>
      </w:pPr>
      <w:r>
        <w:rPr>
          <w:sz w:val="24"/>
          <w:szCs w:val="24"/>
          <w:u w:val="single" w:color="auto"/>
        </w:rPr>
        <w:tab/>
      </w:r>
      <w:r>
        <w:rPr>
          <w:spacing w:val="19"/>
          <w:sz w:val="24"/>
          <w:szCs w:val="24"/>
        </w:rPr>
        <w:t xml:space="preserve"> </w:t>
      </w:r>
      <w:r>
        <w:rPr>
          <w:spacing w:val="-5"/>
          <w:sz w:val="24"/>
          <w:szCs w:val="24"/>
        </w:rPr>
        <w:t>（项目名称）采购活动，服务全部由符合政策要求的中小企业承接。相</w:t>
      </w:r>
    </w:p>
    <w:p w14:paraId="72C01680">
      <w:pPr>
        <w:pStyle w:val="3"/>
        <w:spacing w:line="220" w:lineRule="auto"/>
        <w:ind w:left="13"/>
        <w:rPr>
          <w:sz w:val="24"/>
          <w:szCs w:val="24"/>
        </w:rPr>
      </w:pPr>
      <w:r>
        <w:rPr>
          <w:spacing w:val="-1"/>
          <w:sz w:val="24"/>
          <w:szCs w:val="24"/>
        </w:rPr>
        <w:t>关企业（含联合体中的中小企业、签订分包意向协议</w:t>
      </w:r>
      <w:r>
        <w:rPr>
          <w:spacing w:val="-2"/>
          <w:sz w:val="24"/>
          <w:szCs w:val="24"/>
        </w:rPr>
        <w:t>的中小企业）的具体情 况如下：</w:t>
      </w:r>
    </w:p>
    <w:p w14:paraId="085A0AD9">
      <w:pPr>
        <w:pStyle w:val="3"/>
        <w:spacing w:before="195" w:line="369" w:lineRule="auto"/>
        <w:ind w:left="13" w:firstLine="493"/>
        <w:rPr>
          <w:sz w:val="24"/>
          <w:szCs w:val="24"/>
        </w:rPr>
      </w:pPr>
      <w:r>
        <w:rPr>
          <w:spacing w:val="-10"/>
          <w:sz w:val="24"/>
          <w:szCs w:val="24"/>
        </w:rPr>
        <w:t>1.</w:t>
      </w:r>
      <w:r>
        <w:rPr>
          <w:sz w:val="24"/>
          <w:szCs w:val="24"/>
          <w:u w:val="single" w:color="auto"/>
        </w:rPr>
        <w:t xml:space="preserve">             </w:t>
      </w:r>
      <w:r>
        <w:rPr>
          <w:spacing w:val="-10"/>
          <w:sz w:val="24"/>
          <w:szCs w:val="24"/>
        </w:rPr>
        <w:t xml:space="preserve"> （标的名称</w:t>
      </w:r>
      <w:r>
        <w:rPr>
          <w:spacing w:val="-8"/>
          <w:sz w:val="24"/>
          <w:szCs w:val="24"/>
        </w:rPr>
        <w:t>），</w:t>
      </w:r>
      <w:r>
        <w:rPr>
          <w:spacing w:val="-10"/>
          <w:sz w:val="24"/>
          <w:szCs w:val="24"/>
        </w:rPr>
        <w:t>属于</w:t>
      </w:r>
      <w:r>
        <w:rPr>
          <w:spacing w:val="-106"/>
          <w:sz w:val="24"/>
          <w:szCs w:val="24"/>
        </w:rPr>
        <w:t xml:space="preserve"> </w:t>
      </w:r>
      <w:r>
        <w:rPr>
          <w:sz w:val="24"/>
          <w:szCs w:val="24"/>
          <w:u w:val="single" w:color="auto"/>
        </w:rPr>
        <w:t xml:space="preserve">     </w:t>
      </w:r>
      <w:r>
        <w:rPr>
          <w:spacing w:val="-10"/>
          <w:sz w:val="24"/>
          <w:szCs w:val="24"/>
        </w:rPr>
        <w:t xml:space="preserve"> （</w:t>
      </w:r>
      <w:r>
        <w:rPr>
          <w:rFonts w:hint="eastAsia"/>
          <w:spacing w:val="-10"/>
          <w:sz w:val="24"/>
          <w:szCs w:val="24"/>
          <w:lang w:eastAsia="zh-CN"/>
        </w:rPr>
        <w:t>招标文件</w:t>
      </w:r>
      <w:r>
        <w:rPr>
          <w:spacing w:val="-10"/>
          <w:sz w:val="24"/>
          <w:szCs w:val="24"/>
        </w:rPr>
        <w:t>中明确的所属行业</w:t>
      </w:r>
      <w:r>
        <w:rPr>
          <w:spacing w:val="-8"/>
          <w:sz w:val="24"/>
          <w:szCs w:val="24"/>
        </w:rPr>
        <w:t>）；</w:t>
      </w:r>
      <w:r>
        <w:rPr>
          <w:spacing w:val="-10"/>
          <w:sz w:val="24"/>
          <w:szCs w:val="24"/>
        </w:rPr>
        <w:t>承接</w:t>
      </w:r>
      <w:r>
        <w:rPr>
          <w:sz w:val="24"/>
          <w:szCs w:val="24"/>
        </w:rPr>
        <w:t xml:space="preserve"> </w:t>
      </w:r>
      <w:r>
        <w:rPr>
          <w:spacing w:val="-5"/>
          <w:sz w:val="24"/>
          <w:szCs w:val="24"/>
        </w:rPr>
        <w:t>企业为</w:t>
      </w:r>
      <w:r>
        <w:rPr>
          <w:spacing w:val="-5"/>
          <w:sz w:val="24"/>
          <w:szCs w:val="24"/>
          <w:u w:val="single" w:color="auto"/>
        </w:rPr>
        <w:t xml:space="preserve">               </w:t>
      </w:r>
      <w:r>
        <w:rPr>
          <w:spacing w:val="17"/>
          <w:sz w:val="24"/>
          <w:szCs w:val="24"/>
        </w:rPr>
        <w:t xml:space="preserve"> </w:t>
      </w:r>
      <w:r>
        <w:rPr>
          <w:spacing w:val="-5"/>
          <w:sz w:val="24"/>
          <w:szCs w:val="24"/>
        </w:rPr>
        <w:t>（企业名称</w:t>
      </w:r>
      <w:r>
        <w:rPr>
          <w:spacing w:val="-16"/>
          <w:sz w:val="24"/>
          <w:szCs w:val="24"/>
        </w:rPr>
        <w:t>），</w:t>
      </w:r>
      <w:r>
        <w:rPr>
          <w:spacing w:val="-5"/>
          <w:sz w:val="24"/>
          <w:szCs w:val="24"/>
        </w:rPr>
        <w:t>从业人员</w:t>
      </w:r>
      <w:r>
        <w:rPr>
          <w:spacing w:val="-87"/>
          <w:sz w:val="24"/>
          <w:szCs w:val="24"/>
        </w:rPr>
        <w:t xml:space="preserve"> </w:t>
      </w:r>
      <w:r>
        <w:rPr>
          <w:sz w:val="24"/>
          <w:szCs w:val="24"/>
          <w:u w:val="single" w:color="auto"/>
        </w:rPr>
        <w:t xml:space="preserve">   </w:t>
      </w:r>
      <w:r>
        <w:rPr>
          <w:spacing w:val="-109"/>
          <w:sz w:val="24"/>
          <w:szCs w:val="24"/>
        </w:rPr>
        <w:t xml:space="preserve"> </w:t>
      </w:r>
      <w:r>
        <w:rPr>
          <w:spacing w:val="-5"/>
          <w:sz w:val="24"/>
          <w:szCs w:val="24"/>
        </w:rPr>
        <w:t>人</w:t>
      </w:r>
      <w:r>
        <w:rPr>
          <w:spacing w:val="-6"/>
          <w:sz w:val="24"/>
          <w:szCs w:val="24"/>
        </w:rPr>
        <w:t>，营业收入为</w:t>
      </w:r>
      <w:r>
        <w:rPr>
          <w:sz w:val="24"/>
          <w:szCs w:val="24"/>
          <w:u w:val="single" w:color="auto"/>
        </w:rPr>
        <w:t xml:space="preserve">   </w:t>
      </w:r>
      <w:r>
        <w:rPr>
          <w:spacing w:val="-104"/>
          <w:sz w:val="24"/>
          <w:szCs w:val="24"/>
        </w:rPr>
        <w:t xml:space="preserve"> </w:t>
      </w:r>
      <w:r>
        <w:rPr>
          <w:spacing w:val="-6"/>
          <w:sz w:val="24"/>
          <w:szCs w:val="24"/>
        </w:rPr>
        <w:t>万元</w:t>
      </w:r>
      <w:r>
        <w:rPr>
          <w:spacing w:val="-42"/>
          <w:sz w:val="24"/>
          <w:szCs w:val="24"/>
        </w:rPr>
        <w:t xml:space="preserve"> </w:t>
      </w:r>
      <w:r>
        <w:rPr>
          <w:spacing w:val="-6"/>
          <w:position w:val="7"/>
          <w:sz w:val="16"/>
          <w:szCs w:val="16"/>
        </w:rPr>
        <w:t>1</w:t>
      </w:r>
      <w:r>
        <w:rPr>
          <w:spacing w:val="-6"/>
          <w:sz w:val="24"/>
          <w:szCs w:val="24"/>
        </w:rPr>
        <w:t>，资产总</w:t>
      </w:r>
    </w:p>
    <w:p w14:paraId="01E1E882">
      <w:pPr>
        <w:pStyle w:val="3"/>
        <w:spacing w:line="220" w:lineRule="auto"/>
        <w:ind w:left="9"/>
        <w:rPr>
          <w:sz w:val="24"/>
          <w:szCs w:val="24"/>
        </w:rPr>
      </w:pPr>
      <w:r>
        <w:rPr>
          <w:spacing w:val="-9"/>
          <w:sz w:val="24"/>
          <w:szCs w:val="24"/>
        </w:rPr>
        <w:t>额为</w:t>
      </w:r>
      <w:r>
        <w:rPr>
          <w:spacing w:val="-9"/>
          <w:sz w:val="24"/>
          <w:szCs w:val="24"/>
          <w:u w:val="single" w:color="auto"/>
        </w:rPr>
        <w:t xml:space="preserve">   </w:t>
      </w:r>
      <w:r>
        <w:rPr>
          <w:spacing w:val="-105"/>
          <w:sz w:val="24"/>
          <w:szCs w:val="24"/>
        </w:rPr>
        <w:t xml:space="preserve"> </w:t>
      </w:r>
      <w:r>
        <w:rPr>
          <w:spacing w:val="-9"/>
          <w:sz w:val="24"/>
          <w:szCs w:val="24"/>
        </w:rPr>
        <w:t>万元，属于</w:t>
      </w:r>
      <w:r>
        <w:rPr>
          <w:spacing w:val="-9"/>
          <w:sz w:val="24"/>
          <w:szCs w:val="24"/>
          <w:u w:val="single" w:color="auto"/>
        </w:rPr>
        <w:t xml:space="preserve">     </w:t>
      </w:r>
      <w:r>
        <w:rPr>
          <w:spacing w:val="-33"/>
          <w:sz w:val="24"/>
          <w:szCs w:val="24"/>
        </w:rPr>
        <w:t xml:space="preserve"> </w:t>
      </w:r>
      <w:r>
        <w:rPr>
          <w:spacing w:val="-9"/>
          <w:sz w:val="24"/>
          <w:szCs w:val="24"/>
        </w:rPr>
        <w:t>（中型企业、</w:t>
      </w:r>
      <w:r>
        <w:rPr>
          <w:spacing w:val="1"/>
          <w:sz w:val="24"/>
          <w:szCs w:val="24"/>
        </w:rPr>
        <w:t xml:space="preserve">  </w:t>
      </w:r>
      <w:r>
        <w:rPr>
          <w:spacing w:val="-9"/>
          <w:sz w:val="24"/>
          <w:szCs w:val="24"/>
        </w:rPr>
        <w:t>小</w:t>
      </w:r>
      <w:r>
        <w:rPr>
          <w:spacing w:val="-10"/>
          <w:sz w:val="24"/>
          <w:szCs w:val="24"/>
        </w:rPr>
        <w:t>型企业、微型企业</w:t>
      </w:r>
      <w:r>
        <w:rPr>
          <w:spacing w:val="-3"/>
          <w:sz w:val="24"/>
          <w:szCs w:val="24"/>
        </w:rPr>
        <w:t>）；</w:t>
      </w:r>
    </w:p>
    <w:p w14:paraId="034A769D">
      <w:pPr>
        <w:pStyle w:val="3"/>
        <w:spacing w:before="194" w:line="369" w:lineRule="auto"/>
        <w:ind w:left="13" w:right="9" w:firstLine="479"/>
        <w:rPr>
          <w:sz w:val="24"/>
          <w:szCs w:val="24"/>
        </w:rPr>
      </w:pPr>
      <w:r>
        <w:rPr>
          <w:spacing w:val="-9"/>
          <w:sz w:val="24"/>
          <w:szCs w:val="24"/>
        </w:rPr>
        <w:t>2.</w:t>
      </w:r>
      <w:r>
        <w:rPr>
          <w:sz w:val="24"/>
          <w:szCs w:val="24"/>
          <w:u w:val="single" w:color="auto"/>
        </w:rPr>
        <w:t xml:space="preserve">             </w:t>
      </w:r>
      <w:r>
        <w:rPr>
          <w:spacing w:val="-9"/>
          <w:sz w:val="24"/>
          <w:szCs w:val="24"/>
        </w:rPr>
        <w:t xml:space="preserve"> （标的名称</w:t>
      </w:r>
      <w:r>
        <w:rPr>
          <w:spacing w:val="-11"/>
          <w:sz w:val="24"/>
          <w:szCs w:val="24"/>
        </w:rPr>
        <w:t>），</w:t>
      </w:r>
      <w:r>
        <w:rPr>
          <w:spacing w:val="-9"/>
          <w:sz w:val="24"/>
          <w:szCs w:val="24"/>
        </w:rPr>
        <w:t>属于</w:t>
      </w:r>
      <w:r>
        <w:rPr>
          <w:spacing w:val="-105"/>
          <w:sz w:val="24"/>
          <w:szCs w:val="24"/>
        </w:rPr>
        <w:t xml:space="preserve"> </w:t>
      </w:r>
      <w:r>
        <w:rPr>
          <w:sz w:val="24"/>
          <w:szCs w:val="24"/>
          <w:u w:val="single" w:color="auto"/>
        </w:rPr>
        <w:t xml:space="preserve">     </w:t>
      </w:r>
      <w:r>
        <w:rPr>
          <w:spacing w:val="-9"/>
          <w:sz w:val="24"/>
          <w:szCs w:val="24"/>
        </w:rPr>
        <w:t xml:space="preserve"> （</w:t>
      </w:r>
      <w:r>
        <w:rPr>
          <w:rFonts w:hint="eastAsia"/>
          <w:spacing w:val="-9"/>
          <w:sz w:val="24"/>
          <w:szCs w:val="24"/>
          <w:lang w:eastAsia="zh-CN"/>
        </w:rPr>
        <w:t>招标文件</w:t>
      </w:r>
      <w:r>
        <w:rPr>
          <w:spacing w:val="-9"/>
          <w:sz w:val="24"/>
          <w:szCs w:val="24"/>
        </w:rPr>
        <w:t>中明确的所属行业</w:t>
      </w:r>
      <w:r>
        <w:rPr>
          <w:spacing w:val="-11"/>
          <w:sz w:val="24"/>
          <w:szCs w:val="24"/>
        </w:rPr>
        <w:t>）；</w:t>
      </w:r>
      <w:r>
        <w:rPr>
          <w:spacing w:val="-9"/>
          <w:sz w:val="24"/>
          <w:szCs w:val="24"/>
        </w:rPr>
        <w:t>承接</w:t>
      </w:r>
      <w:r>
        <w:rPr>
          <w:sz w:val="24"/>
          <w:szCs w:val="24"/>
        </w:rPr>
        <w:t xml:space="preserve"> </w:t>
      </w:r>
      <w:r>
        <w:rPr>
          <w:spacing w:val="-4"/>
          <w:sz w:val="24"/>
          <w:szCs w:val="24"/>
        </w:rPr>
        <w:t>企业为</w:t>
      </w:r>
      <w:r>
        <w:rPr>
          <w:spacing w:val="-4"/>
          <w:sz w:val="24"/>
          <w:szCs w:val="24"/>
          <w:u w:val="single" w:color="auto"/>
        </w:rPr>
        <w:t xml:space="preserve">               </w:t>
      </w:r>
      <w:r>
        <w:rPr>
          <w:spacing w:val="16"/>
          <w:sz w:val="24"/>
          <w:szCs w:val="24"/>
        </w:rPr>
        <w:t xml:space="preserve"> </w:t>
      </w:r>
      <w:r>
        <w:rPr>
          <w:spacing w:val="-4"/>
          <w:sz w:val="24"/>
          <w:szCs w:val="24"/>
        </w:rPr>
        <w:t>（企业名称</w:t>
      </w:r>
      <w:r>
        <w:rPr>
          <w:spacing w:val="-15"/>
          <w:sz w:val="24"/>
          <w:szCs w:val="24"/>
        </w:rPr>
        <w:t>），</w:t>
      </w:r>
      <w:r>
        <w:rPr>
          <w:spacing w:val="-4"/>
          <w:sz w:val="24"/>
          <w:szCs w:val="24"/>
        </w:rPr>
        <w:t>从业人员</w:t>
      </w:r>
      <w:r>
        <w:rPr>
          <w:spacing w:val="-88"/>
          <w:sz w:val="24"/>
          <w:szCs w:val="24"/>
        </w:rPr>
        <w:t xml:space="preserve"> </w:t>
      </w:r>
      <w:r>
        <w:rPr>
          <w:sz w:val="24"/>
          <w:szCs w:val="24"/>
          <w:u w:val="single" w:color="auto"/>
        </w:rPr>
        <w:t xml:space="preserve">   </w:t>
      </w:r>
      <w:r>
        <w:rPr>
          <w:spacing w:val="-108"/>
          <w:sz w:val="24"/>
          <w:szCs w:val="24"/>
        </w:rPr>
        <w:t xml:space="preserve"> </w:t>
      </w:r>
      <w:r>
        <w:rPr>
          <w:spacing w:val="-4"/>
          <w:sz w:val="24"/>
          <w:szCs w:val="24"/>
        </w:rPr>
        <w:t>人，营业收入为</w:t>
      </w:r>
      <w:r>
        <w:rPr>
          <w:spacing w:val="-4"/>
          <w:sz w:val="24"/>
          <w:szCs w:val="24"/>
          <w:u w:val="single" w:color="auto"/>
        </w:rPr>
        <w:t xml:space="preserve">   </w:t>
      </w:r>
      <w:r>
        <w:rPr>
          <w:spacing w:val="-105"/>
          <w:sz w:val="24"/>
          <w:szCs w:val="24"/>
        </w:rPr>
        <w:t xml:space="preserve"> </w:t>
      </w:r>
      <w:r>
        <w:rPr>
          <w:spacing w:val="-4"/>
          <w:sz w:val="24"/>
          <w:szCs w:val="24"/>
        </w:rPr>
        <w:t>万</w:t>
      </w:r>
      <w:r>
        <w:rPr>
          <w:spacing w:val="-5"/>
          <w:sz w:val="24"/>
          <w:szCs w:val="24"/>
        </w:rPr>
        <w:t>元，资产总</w:t>
      </w:r>
    </w:p>
    <w:p w14:paraId="24E21EB9">
      <w:pPr>
        <w:pStyle w:val="3"/>
        <w:spacing w:before="1" w:line="220" w:lineRule="auto"/>
        <w:ind w:left="9"/>
        <w:rPr>
          <w:sz w:val="24"/>
          <w:szCs w:val="24"/>
        </w:rPr>
      </w:pPr>
      <w:r>
        <w:rPr>
          <w:spacing w:val="-6"/>
          <w:sz w:val="24"/>
          <w:szCs w:val="24"/>
        </w:rPr>
        <w:t>额为</w:t>
      </w:r>
      <w:r>
        <w:rPr>
          <w:spacing w:val="-6"/>
          <w:sz w:val="24"/>
          <w:szCs w:val="24"/>
          <w:u w:val="single" w:color="auto"/>
        </w:rPr>
        <w:t xml:space="preserve">   </w:t>
      </w:r>
      <w:r>
        <w:rPr>
          <w:spacing w:val="-105"/>
          <w:sz w:val="24"/>
          <w:szCs w:val="24"/>
        </w:rPr>
        <w:t xml:space="preserve"> </w:t>
      </w:r>
      <w:r>
        <w:rPr>
          <w:spacing w:val="-6"/>
          <w:sz w:val="24"/>
          <w:szCs w:val="24"/>
        </w:rPr>
        <w:t>万元，属于</w:t>
      </w:r>
      <w:r>
        <w:rPr>
          <w:spacing w:val="-6"/>
          <w:sz w:val="24"/>
          <w:szCs w:val="24"/>
          <w:u w:val="single" w:color="auto"/>
        </w:rPr>
        <w:t xml:space="preserve">     </w:t>
      </w:r>
      <w:r>
        <w:rPr>
          <w:spacing w:val="-6"/>
          <w:sz w:val="24"/>
          <w:szCs w:val="24"/>
        </w:rPr>
        <w:t xml:space="preserve"> （中型企业、小型企业、微型企业</w:t>
      </w:r>
      <w:r>
        <w:rPr>
          <w:spacing w:val="-2"/>
          <w:sz w:val="24"/>
          <w:szCs w:val="24"/>
        </w:rPr>
        <w:t>）；</w:t>
      </w:r>
    </w:p>
    <w:p w14:paraId="2468DA11">
      <w:pPr>
        <w:pStyle w:val="3"/>
        <w:spacing w:before="193" w:line="379" w:lineRule="exact"/>
        <w:ind w:left="504"/>
        <w:rPr>
          <w:sz w:val="24"/>
          <w:szCs w:val="24"/>
        </w:rPr>
      </w:pPr>
      <w:r>
        <w:rPr>
          <w:spacing w:val="-7"/>
          <w:position w:val="3"/>
          <w:sz w:val="24"/>
          <w:szCs w:val="24"/>
        </w:rPr>
        <w:t>……</w:t>
      </w:r>
    </w:p>
    <w:p w14:paraId="453C63CD">
      <w:pPr>
        <w:pStyle w:val="3"/>
        <w:spacing w:before="101" w:line="480" w:lineRule="exact"/>
        <w:ind w:right="45"/>
        <w:jc w:val="right"/>
        <w:rPr>
          <w:sz w:val="24"/>
          <w:szCs w:val="24"/>
        </w:rPr>
      </w:pPr>
      <w:r>
        <w:rPr>
          <w:spacing w:val="-15"/>
          <w:position w:val="18"/>
          <w:sz w:val="24"/>
          <w:szCs w:val="24"/>
        </w:rPr>
        <w:t>以上企业， 不属于大企业的分支机构，</w:t>
      </w:r>
      <w:r>
        <w:rPr>
          <w:spacing w:val="62"/>
          <w:position w:val="18"/>
          <w:sz w:val="24"/>
          <w:szCs w:val="24"/>
        </w:rPr>
        <w:t xml:space="preserve"> </w:t>
      </w:r>
      <w:r>
        <w:rPr>
          <w:spacing w:val="-15"/>
          <w:position w:val="18"/>
          <w:sz w:val="24"/>
          <w:szCs w:val="24"/>
        </w:rPr>
        <w:t>不存在控股股东为大企业的情形，</w:t>
      </w:r>
      <w:r>
        <w:rPr>
          <w:spacing w:val="50"/>
          <w:position w:val="18"/>
          <w:sz w:val="24"/>
          <w:szCs w:val="24"/>
        </w:rPr>
        <w:t xml:space="preserve"> </w:t>
      </w:r>
      <w:r>
        <w:rPr>
          <w:spacing w:val="-15"/>
          <w:position w:val="18"/>
          <w:sz w:val="24"/>
          <w:szCs w:val="24"/>
        </w:rPr>
        <w:t>也不存在</w:t>
      </w:r>
    </w:p>
    <w:p w14:paraId="0D10B301">
      <w:pPr>
        <w:pStyle w:val="3"/>
        <w:spacing w:before="1" w:line="220" w:lineRule="auto"/>
        <w:ind w:left="14"/>
        <w:rPr>
          <w:sz w:val="24"/>
          <w:szCs w:val="24"/>
        </w:rPr>
      </w:pPr>
      <w:r>
        <w:rPr>
          <w:spacing w:val="-3"/>
          <w:sz w:val="24"/>
          <w:szCs w:val="24"/>
        </w:rPr>
        <w:t>与大企业的负责人为同一人的情形。</w:t>
      </w:r>
    </w:p>
    <w:p w14:paraId="157092EA">
      <w:pPr>
        <w:pStyle w:val="3"/>
        <w:spacing w:before="193" w:line="220" w:lineRule="auto"/>
        <w:ind w:left="490"/>
        <w:rPr>
          <w:sz w:val="24"/>
          <w:szCs w:val="24"/>
        </w:rPr>
      </w:pPr>
      <w:r>
        <w:rPr>
          <w:spacing w:val="-1"/>
          <w:sz w:val="24"/>
          <w:szCs w:val="24"/>
        </w:rPr>
        <w:t>本企业对上述声明内容的真实性负责。如有虚</w:t>
      </w:r>
      <w:r>
        <w:rPr>
          <w:spacing w:val="-2"/>
          <w:sz w:val="24"/>
          <w:szCs w:val="24"/>
        </w:rPr>
        <w:t>假，将依法承担相应责任。</w:t>
      </w:r>
    </w:p>
    <w:p w14:paraId="2B5FB090">
      <w:pPr>
        <w:spacing w:line="296" w:lineRule="auto"/>
        <w:rPr>
          <w:rFonts w:ascii="Arial"/>
          <w:sz w:val="21"/>
        </w:rPr>
      </w:pPr>
    </w:p>
    <w:p w14:paraId="329EBEA4">
      <w:pPr>
        <w:spacing w:line="296" w:lineRule="auto"/>
        <w:rPr>
          <w:rFonts w:ascii="Arial"/>
          <w:sz w:val="21"/>
        </w:rPr>
      </w:pPr>
    </w:p>
    <w:p w14:paraId="12850373">
      <w:pPr>
        <w:pStyle w:val="3"/>
        <w:spacing w:before="79" w:line="480" w:lineRule="exact"/>
        <w:ind w:left="4933"/>
        <w:rPr>
          <w:sz w:val="24"/>
          <w:szCs w:val="24"/>
        </w:rPr>
      </w:pPr>
      <w:r>
        <w:rPr>
          <w:spacing w:val="-8"/>
          <w:position w:val="18"/>
          <w:sz w:val="24"/>
          <w:szCs w:val="24"/>
        </w:rPr>
        <w:t>企业名称（盖章</w:t>
      </w:r>
      <w:r>
        <w:rPr>
          <w:spacing w:val="-3"/>
          <w:position w:val="18"/>
          <w:sz w:val="24"/>
          <w:szCs w:val="24"/>
        </w:rPr>
        <w:t>）：</w:t>
      </w:r>
    </w:p>
    <w:p w14:paraId="62546CF1">
      <w:pPr>
        <w:pStyle w:val="3"/>
        <w:spacing w:before="1" w:line="220" w:lineRule="auto"/>
        <w:ind w:left="6170"/>
        <w:rPr>
          <w:sz w:val="24"/>
          <w:szCs w:val="24"/>
        </w:rPr>
      </w:pPr>
      <w:r>
        <w:rPr>
          <w:spacing w:val="-29"/>
          <w:sz w:val="24"/>
          <w:szCs w:val="24"/>
        </w:rPr>
        <w:t>日</w:t>
      </w:r>
      <w:r>
        <w:rPr>
          <w:spacing w:val="6"/>
          <w:sz w:val="24"/>
          <w:szCs w:val="24"/>
        </w:rPr>
        <w:t xml:space="preserve">  </w:t>
      </w:r>
      <w:r>
        <w:rPr>
          <w:spacing w:val="-29"/>
          <w:sz w:val="24"/>
          <w:szCs w:val="24"/>
        </w:rPr>
        <w:t>期：</w:t>
      </w:r>
    </w:p>
    <w:p w14:paraId="486D4EAB">
      <w:pPr>
        <w:spacing w:line="246" w:lineRule="auto"/>
        <w:rPr>
          <w:rFonts w:ascii="Arial"/>
          <w:sz w:val="21"/>
        </w:rPr>
      </w:pPr>
    </w:p>
    <w:p w14:paraId="6D245976">
      <w:pPr>
        <w:pStyle w:val="3"/>
        <w:spacing w:before="79" w:line="264" w:lineRule="auto"/>
        <w:ind w:left="11" w:right="49" w:firstLine="478"/>
        <w:rPr>
          <w:sz w:val="24"/>
          <w:szCs w:val="24"/>
        </w:rPr>
      </w:pPr>
      <w:r>
        <w:rPr>
          <w:spacing w:val="1"/>
          <w:sz w:val="24"/>
          <w:szCs w:val="24"/>
        </w:rPr>
        <w:t>注：1.</w:t>
      </w:r>
      <w:r>
        <w:rPr>
          <w:spacing w:val="1"/>
          <w:position w:val="7"/>
          <w:sz w:val="16"/>
          <w:szCs w:val="16"/>
        </w:rPr>
        <w:t>1</w:t>
      </w:r>
      <w:r>
        <w:rPr>
          <w:spacing w:val="-17"/>
          <w:position w:val="7"/>
          <w:sz w:val="16"/>
          <w:szCs w:val="16"/>
        </w:rPr>
        <w:t xml:space="preserve"> </w:t>
      </w:r>
      <w:r>
        <w:rPr>
          <w:spacing w:val="1"/>
          <w:sz w:val="24"/>
          <w:szCs w:val="24"/>
        </w:rPr>
        <w:t>从业人员、营业收入、资产总额填报上一年度数据，无上一年度数据的新</w:t>
      </w:r>
      <w:r>
        <w:rPr>
          <w:sz w:val="24"/>
          <w:szCs w:val="24"/>
        </w:rPr>
        <w:t xml:space="preserve"> </w:t>
      </w:r>
      <w:r>
        <w:rPr>
          <w:spacing w:val="-5"/>
          <w:sz w:val="24"/>
          <w:szCs w:val="24"/>
        </w:rPr>
        <w:t>成立企业可不填报。</w:t>
      </w:r>
    </w:p>
    <w:p w14:paraId="3697F08F">
      <w:pPr>
        <w:pStyle w:val="3"/>
        <w:spacing w:before="113" w:line="220" w:lineRule="auto"/>
        <w:ind w:left="492"/>
        <w:rPr>
          <w:sz w:val="24"/>
          <w:szCs w:val="24"/>
        </w:rPr>
      </w:pPr>
      <w:r>
        <w:rPr>
          <w:spacing w:val="-5"/>
          <w:sz w:val="24"/>
          <w:szCs w:val="24"/>
        </w:rPr>
        <w:t>2. “专门面向中小企业采购”项目必须提供《中小</w:t>
      </w:r>
      <w:r>
        <w:rPr>
          <w:spacing w:val="-6"/>
          <w:sz w:val="24"/>
          <w:szCs w:val="24"/>
        </w:rPr>
        <w:t>企业声明函》。</w:t>
      </w:r>
    </w:p>
    <w:p w14:paraId="7426D7EA">
      <w:pPr>
        <w:spacing w:line="220" w:lineRule="auto"/>
        <w:rPr>
          <w:sz w:val="24"/>
          <w:szCs w:val="24"/>
        </w:rPr>
        <w:sectPr>
          <w:footerReference r:id="rId34" w:type="default"/>
          <w:pgSz w:w="11905" w:h="16838"/>
          <w:pgMar w:top="841" w:right="1368" w:bottom="799" w:left="1417" w:header="0" w:footer="548" w:gutter="0"/>
          <w:pgNumType w:fmt="decimal"/>
          <w:cols w:space="720" w:num="1"/>
        </w:sectPr>
      </w:pPr>
    </w:p>
    <w:p w14:paraId="45FFFF14">
      <w:pPr>
        <w:pStyle w:val="3"/>
        <w:spacing w:before="78" w:line="220" w:lineRule="auto"/>
        <w:ind w:left="28"/>
        <w:rPr>
          <w:sz w:val="24"/>
          <w:szCs w:val="24"/>
        </w:rPr>
      </w:pPr>
      <w:r>
        <w:rPr>
          <w:spacing w:val="-10"/>
          <w:sz w:val="24"/>
          <w:szCs w:val="24"/>
          <w14:textOutline w14:w="4354">
            <w14:solidFill>
              <w14:srgbClr w14:val="000000"/>
            </w14:solidFill>
            <w14:prstDash w14:val="solid"/>
            <w14:miter w14:val="0"/>
          </w14:textOutline>
        </w:rPr>
        <w:t>附件</w:t>
      </w:r>
      <w:r>
        <w:rPr>
          <w:spacing w:val="-45"/>
          <w:sz w:val="24"/>
          <w:szCs w:val="24"/>
        </w:rPr>
        <w:t xml:space="preserve"> </w:t>
      </w:r>
      <w:r>
        <w:rPr>
          <w:spacing w:val="-10"/>
          <w:sz w:val="24"/>
          <w:szCs w:val="24"/>
          <w14:textOutline w14:w="4354">
            <w14:solidFill>
              <w14:srgbClr w14:val="000000"/>
            </w14:solidFill>
            <w14:prstDash w14:val="solid"/>
            <w14:miter w14:val="0"/>
          </w14:textOutline>
        </w:rPr>
        <w:t>2</w:t>
      </w:r>
    </w:p>
    <w:p w14:paraId="6159C4DA">
      <w:pPr>
        <w:pStyle w:val="3"/>
        <w:spacing w:before="104" w:line="220" w:lineRule="auto"/>
        <w:ind w:left="1760"/>
        <w:rPr>
          <w:sz w:val="24"/>
          <w:szCs w:val="24"/>
        </w:rPr>
      </w:pPr>
      <w:r>
        <w:rPr>
          <w:sz w:val="28"/>
          <w:szCs w:val="28"/>
          <w14:textOutline w14:w="5080">
            <w14:solidFill>
              <w14:srgbClr w14:val="000000"/>
            </w14:solidFill>
            <w14:prstDash w14:val="solid"/>
            <w14:miter w14:val="0"/>
          </w14:textOutline>
        </w:rPr>
        <w:t>残疾人福利性单位声明函</w:t>
      </w:r>
      <w:r>
        <w:rPr>
          <w:sz w:val="24"/>
          <w:szCs w:val="24"/>
        </w:rPr>
        <w:t>（如符合条件时填写</w:t>
      </w:r>
      <w:r>
        <w:rPr>
          <w:position w:val="7"/>
          <w:sz w:val="16"/>
          <w:szCs w:val="16"/>
        </w:rPr>
        <w:t>*</w:t>
      </w:r>
      <w:r>
        <w:rPr>
          <w:sz w:val="24"/>
          <w:szCs w:val="24"/>
        </w:rPr>
        <w:t>）</w:t>
      </w:r>
    </w:p>
    <w:p w14:paraId="09E723E0">
      <w:pPr>
        <w:spacing w:line="294" w:lineRule="auto"/>
        <w:rPr>
          <w:rFonts w:ascii="Arial"/>
          <w:sz w:val="21"/>
        </w:rPr>
      </w:pPr>
    </w:p>
    <w:p w14:paraId="47C6EBE1">
      <w:pPr>
        <w:spacing w:line="295" w:lineRule="auto"/>
        <w:rPr>
          <w:rFonts w:ascii="Arial"/>
          <w:sz w:val="21"/>
        </w:rPr>
      </w:pPr>
    </w:p>
    <w:p w14:paraId="7534587F">
      <w:pPr>
        <w:pStyle w:val="3"/>
        <w:spacing w:before="78" w:line="359" w:lineRule="auto"/>
        <w:ind w:left="8" w:firstLine="481"/>
        <w:jc w:val="both"/>
        <w:rPr>
          <w:sz w:val="24"/>
          <w:szCs w:val="24"/>
        </w:rPr>
      </w:pPr>
      <w:r>
        <w:rPr>
          <w:spacing w:val="-2"/>
          <w:sz w:val="24"/>
          <w:szCs w:val="24"/>
        </w:rPr>
        <w:t>本单位郑重声明，根据《财政部</w:t>
      </w:r>
      <w:r>
        <w:rPr>
          <w:spacing w:val="33"/>
          <w:sz w:val="24"/>
          <w:szCs w:val="24"/>
        </w:rPr>
        <w:t xml:space="preserve"> </w:t>
      </w:r>
      <w:r>
        <w:rPr>
          <w:spacing w:val="-2"/>
          <w:sz w:val="24"/>
          <w:szCs w:val="24"/>
        </w:rPr>
        <w:t>民政部</w:t>
      </w:r>
      <w:r>
        <w:rPr>
          <w:spacing w:val="32"/>
          <w:sz w:val="24"/>
          <w:szCs w:val="24"/>
        </w:rPr>
        <w:t xml:space="preserve"> </w:t>
      </w:r>
      <w:r>
        <w:rPr>
          <w:spacing w:val="-2"/>
          <w:sz w:val="24"/>
          <w:szCs w:val="24"/>
        </w:rPr>
        <w:t>中国残疾人联合会关于促</w:t>
      </w:r>
      <w:r>
        <w:rPr>
          <w:spacing w:val="-3"/>
          <w:sz w:val="24"/>
          <w:szCs w:val="24"/>
        </w:rPr>
        <w:t>进残疾人就业政</w:t>
      </w:r>
      <w:r>
        <w:rPr>
          <w:sz w:val="24"/>
          <w:szCs w:val="24"/>
        </w:rPr>
        <w:t xml:space="preserve"> </w:t>
      </w:r>
      <w:r>
        <w:rPr>
          <w:spacing w:val="2"/>
          <w:sz w:val="24"/>
          <w:szCs w:val="24"/>
        </w:rPr>
        <w:t>府采购政策的通知》（财库〔2017〕14</w:t>
      </w:r>
      <w:r>
        <w:rPr>
          <w:spacing w:val="1"/>
          <w:sz w:val="24"/>
          <w:szCs w:val="24"/>
        </w:rPr>
        <w:t>1号）的规定，本单位为符合条件的残疾人福利</w:t>
      </w:r>
    </w:p>
    <w:p w14:paraId="1C586C43">
      <w:pPr>
        <w:pStyle w:val="3"/>
        <w:spacing w:before="1" w:line="219" w:lineRule="auto"/>
        <w:ind w:left="9"/>
        <w:rPr>
          <w:sz w:val="24"/>
          <w:szCs w:val="24"/>
        </w:rPr>
      </w:pPr>
      <w:r>
        <w:rPr>
          <w:spacing w:val="-2"/>
          <w:sz w:val="24"/>
          <w:szCs w:val="24"/>
        </w:rPr>
        <w:t>性单位，且本单位参加</w:t>
      </w:r>
      <w:r>
        <w:rPr>
          <w:spacing w:val="-2"/>
          <w:sz w:val="24"/>
          <w:szCs w:val="24"/>
          <w:u w:val="single" w:color="auto"/>
        </w:rPr>
        <w:t xml:space="preserve">      </w:t>
      </w:r>
      <w:r>
        <w:rPr>
          <w:spacing w:val="-102"/>
          <w:sz w:val="24"/>
          <w:szCs w:val="24"/>
        </w:rPr>
        <w:t xml:space="preserve"> </w:t>
      </w:r>
      <w:r>
        <w:rPr>
          <w:spacing w:val="-2"/>
          <w:sz w:val="24"/>
          <w:szCs w:val="24"/>
        </w:rPr>
        <w:t>单位的</w:t>
      </w:r>
      <w:r>
        <w:rPr>
          <w:spacing w:val="-2"/>
          <w:sz w:val="24"/>
          <w:szCs w:val="24"/>
          <w:u w:val="single" w:color="auto"/>
        </w:rPr>
        <w:t xml:space="preserve">      </w:t>
      </w:r>
      <w:r>
        <w:rPr>
          <w:spacing w:val="-106"/>
          <w:sz w:val="24"/>
          <w:szCs w:val="24"/>
        </w:rPr>
        <w:t xml:space="preserve"> </w:t>
      </w:r>
      <w:r>
        <w:rPr>
          <w:spacing w:val="-2"/>
          <w:sz w:val="24"/>
          <w:szCs w:val="24"/>
        </w:rPr>
        <w:t>项目采购活动提供服务。</w:t>
      </w:r>
    </w:p>
    <w:p w14:paraId="7C84AF2F">
      <w:pPr>
        <w:pStyle w:val="3"/>
        <w:spacing w:before="181" w:line="220" w:lineRule="auto"/>
        <w:ind w:left="490"/>
        <w:rPr>
          <w:sz w:val="24"/>
          <w:szCs w:val="24"/>
        </w:rPr>
      </w:pPr>
      <w:r>
        <w:rPr>
          <w:spacing w:val="-2"/>
          <w:sz w:val="24"/>
          <w:szCs w:val="24"/>
        </w:rPr>
        <w:t>本单位对上述声明的真实性负责。如有虚假，将依法承担相应责任。</w:t>
      </w:r>
    </w:p>
    <w:p w14:paraId="520CDCAD">
      <w:pPr>
        <w:spacing w:line="283" w:lineRule="auto"/>
        <w:rPr>
          <w:rFonts w:ascii="Arial"/>
          <w:sz w:val="21"/>
        </w:rPr>
      </w:pPr>
    </w:p>
    <w:p w14:paraId="4F372817">
      <w:pPr>
        <w:spacing w:line="283" w:lineRule="auto"/>
        <w:rPr>
          <w:rFonts w:ascii="Arial"/>
          <w:sz w:val="21"/>
        </w:rPr>
      </w:pPr>
    </w:p>
    <w:p w14:paraId="3A105C72">
      <w:pPr>
        <w:pStyle w:val="3"/>
        <w:spacing w:before="78" w:line="220" w:lineRule="auto"/>
        <w:ind w:left="4331"/>
        <w:rPr>
          <w:sz w:val="24"/>
          <w:szCs w:val="24"/>
        </w:rPr>
      </w:pPr>
      <w:r>
        <w:rPr>
          <w:spacing w:val="-8"/>
          <w:sz w:val="24"/>
          <w:szCs w:val="24"/>
        </w:rPr>
        <w:t>单位名称（盖章</w:t>
      </w:r>
      <w:r>
        <w:rPr>
          <w:spacing w:val="-3"/>
          <w:sz w:val="24"/>
          <w:szCs w:val="24"/>
        </w:rPr>
        <w:t>）：</w:t>
      </w:r>
    </w:p>
    <w:p w14:paraId="14B6E6FA">
      <w:pPr>
        <w:spacing w:line="257" w:lineRule="auto"/>
        <w:rPr>
          <w:rFonts w:ascii="Arial"/>
          <w:sz w:val="21"/>
        </w:rPr>
      </w:pPr>
    </w:p>
    <w:p w14:paraId="041B55FE">
      <w:pPr>
        <w:spacing w:line="258" w:lineRule="auto"/>
        <w:rPr>
          <w:rFonts w:ascii="Arial"/>
          <w:sz w:val="21"/>
        </w:rPr>
      </w:pPr>
    </w:p>
    <w:p w14:paraId="3D82EC12">
      <w:pPr>
        <w:pStyle w:val="3"/>
        <w:spacing w:before="78" w:line="221" w:lineRule="auto"/>
        <w:ind w:left="5546"/>
        <w:rPr>
          <w:sz w:val="24"/>
          <w:szCs w:val="24"/>
        </w:rPr>
      </w:pPr>
      <w:r>
        <w:rPr>
          <w:spacing w:val="-29"/>
          <w:sz w:val="24"/>
          <w:szCs w:val="24"/>
        </w:rPr>
        <w:t>日</w:t>
      </w:r>
      <w:r>
        <w:rPr>
          <w:spacing w:val="6"/>
          <w:sz w:val="24"/>
          <w:szCs w:val="24"/>
        </w:rPr>
        <w:t xml:space="preserve">  </w:t>
      </w:r>
      <w:r>
        <w:rPr>
          <w:spacing w:val="-29"/>
          <w:sz w:val="24"/>
          <w:szCs w:val="24"/>
        </w:rPr>
        <w:t>期：</w:t>
      </w:r>
    </w:p>
    <w:p w14:paraId="7C74994D">
      <w:pPr>
        <w:spacing w:line="247" w:lineRule="auto"/>
        <w:rPr>
          <w:rFonts w:ascii="Arial"/>
          <w:sz w:val="21"/>
        </w:rPr>
      </w:pPr>
    </w:p>
    <w:p w14:paraId="0CCB6A10">
      <w:pPr>
        <w:spacing w:line="247" w:lineRule="auto"/>
        <w:rPr>
          <w:rFonts w:ascii="Arial"/>
          <w:sz w:val="21"/>
        </w:rPr>
      </w:pPr>
    </w:p>
    <w:p w14:paraId="7B0AD4D8">
      <w:pPr>
        <w:spacing w:line="248" w:lineRule="auto"/>
        <w:rPr>
          <w:rFonts w:ascii="Arial"/>
          <w:sz w:val="21"/>
        </w:rPr>
      </w:pPr>
    </w:p>
    <w:p w14:paraId="71E34440">
      <w:pPr>
        <w:spacing w:line="248" w:lineRule="auto"/>
        <w:rPr>
          <w:rFonts w:ascii="Arial"/>
          <w:sz w:val="21"/>
        </w:rPr>
      </w:pPr>
    </w:p>
    <w:p w14:paraId="5FBD28E3">
      <w:pPr>
        <w:spacing w:line="248" w:lineRule="auto"/>
        <w:rPr>
          <w:rFonts w:ascii="Arial"/>
          <w:sz w:val="21"/>
        </w:rPr>
      </w:pPr>
    </w:p>
    <w:p w14:paraId="35D8F442">
      <w:pPr>
        <w:spacing w:line="248" w:lineRule="auto"/>
        <w:rPr>
          <w:rFonts w:ascii="Arial"/>
          <w:sz w:val="21"/>
        </w:rPr>
      </w:pPr>
    </w:p>
    <w:p w14:paraId="38E3C9B7">
      <w:pPr>
        <w:spacing w:line="248" w:lineRule="auto"/>
        <w:rPr>
          <w:rFonts w:ascii="Arial"/>
          <w:sz w:val="21"/>
        </w:rPr>
      </w:pPr>
    </w:p>
    <w:p w14:paraId="55487E81">
      <w:pPr>
        <w:spacing w:line="248" w:lineRule="auto"/>
        <w:rPr>
          <w:rFonts w:ascii="Arial"/>
          <w:sz w:val="21"/>
        </w:rPr>
      </w:pPr>
    </w:p>
    <w:p w14:paraId="376634D6">
      <w:pPr>
        <w:spacing w:line="248" w:lineRule="auto"/>
        <w:rPr>
          <w:rFonts w:ascii="Arial"/>
          <w:sz w:val="21"/>
        </w:rPr>
      </w:pPr>
    </w:p>
    <w:p w14:paraId="07DDB208">
      <w:pPr>
        <w:spacing w:line="248" w:lineRule="auto"/>
        <w:rPr>
          <w:rFonts w:ascii="Arial"/>
          <w:sz w:val="21"/>
        </w:rPr>
      </w:pPr>
    </w:p>
    <w:p w14:paraId="15F16B5B">
      <w:pPr>
        <w:spacing w:line="248" w:lineRule="auto"/>
        <w:rPr>
          <w:rFonts w:ascii="Arial"/>
          <w:sz w:val="21"/>
        </w:rPr>
      </w:pPr>
    </w:p>
    <w:p w14:paraId="20DDEB99">
      <w:pPr>
        <w:spacing w:line="248" w:lineRule="auto"/>
        <w:rPr>
          <w:rFonts w:ascii="Arial"/>
          <w:sz w:val="21"/>
        </w:rPr>
      </w:pPr>
    </w:p>
    <w:p w14:paraId="0132376C">
      <w:pPr>
        <w:spacing w:line="248" w:lineRule="auto"/>
        <w:rPr>
          <w:rFonts w:ascii="Arial"/>
          <w:sz w:val="21"/>
        </w:rPr>
      </w:pPr>
    </w:p>
    <w:p w14:paraId="33530597">
      <w:pPr>
        <w:spacing w:line="248" w:lineRule="auto"/>
        <w:rPr>
          <w:rFonts w:ascii="Arial"/>
          <w:sz w:val="21"/>
        </w:rPr>
      </w:pPr>
    </w:p>
    <w:p w14:paraId="523AC097">
      <w:pPr>
        <w:spacing w:line="248" w:lineRule="auto"/>
        <w:rPr>
          <w:rFonts w:ascii="Arial"/>
          <w:sz w:val="21"/>
        </w:rPr>
      </w:pPr>
    </w:p>
    <w:p w14:paraId="0C7BB076">
      <w:pPr>
        <w:spacing w:line="248" w:lineRule="auto"/>
        <w:rPr>
          <w:rFonts w:ascii="Arial"/>
          <w:sz w:val="21"/>
        </w:rPr>
      </w:pPr>
    </w:p>
    <w:p w14:paraId="7FEE847D">
      <w:pPr>
        <w:spacing w:line="248" w:lineRule="auto"/>
        <w:rPr>
          <w:rFonts w:ascii="Arial"/>
          <w:sz w:val="21"/>
        </w:rPr>
      </w:pPr>
    </w:p>
    <w:p w14:paraId="3CFE5F9D">
      <w:pPr>
        <w:pStyle w:val="3"/>
        <w:spacing w:before="79" w:line="460" w:lineRule="exact"/>
        <w:ind w:right="48"/>
        <w:jc w:val="right"/>
        <w:rPr>
          <w:sz w:val="24"/>
          <w:szCs w:val="24"/>
        </w:rPr>
      </w:pPr>
      <w:r>
        <w:rPr>
          <w:spacing w:val="-2"/>
          <w:position w:val="16"/>
          <w:sz w:val="24"/>
          <w:szCs w:val="24"/>
        </w:rPr>
        <w:t>注：1.按政策规定：符合条件的残疾人福利性单位视同小型、微型企业。残疾人福</w:t>
      </w:r>
    </w:p>
    <w:p w14:paraId="7655818E">
      <w:pPr>
        <w:pStyle w:val="3"/>
        <w:spacing w:before="1" w:line="220" w:lineRule="auto"/>
        <w:ind w:left="10"/>
        <w:rPr>
          <w:sz w:val="24"/>
          <w:szCs w:val="24"/>
        </w:rPr>
      </w:pPr>
      <w:r>
        <w:rPr>
          <w:spacing w:val="-2"/>
          <w:sz w:val="24"/>
          <w:szCs w:val="24"/>
        </w:rPr>
        <w:t>利性单位属于小型、微型企业的，不重复享受政策。</w:t>
      </w:r>
    </w:p>
    <w:p w14:paraId="250B7ECF">
      <w:pPr>
        <w:pStyle w:val="3"/>
        <w:spacing w:before="169" w:line="355" w:lineRule="auto"/>
        <w:ind w:left="9" w:right="48" w:firstLine="482"/>
        <w:rPr>
          <w:sz w:val="24"/>
          <w:szCs w:val="24"/>
        </w:rPr>
      </w:pPr>
      <w:r>
        <w:rPr>
          <w:sz w:val="24"/>
          <w:szCs w:val="24"/>
        </w:rPr>
        <w:t>2.</w:t>
      </w:r>
      <w:r>
        <w:rPr>
          <w:position w:val="7"/>
          <w:sz w:val="16"/>
          <w:szCs w:val="16"/>
          <w14:textOutline w14:w="2902">
            <w14:solidFill>
              <w14:srgbClr w14:val="000000"/>
            </w14:solidFill>
            <w14:prstDash w14:val="solid"/>
            <w14:miter w14:val="0"/>
          </w14:textOutline>
        </w:rPr>
        <w:t>*</w:t>
      </w:r>
      <w:r>
        <w:rPr>
          <w:sz w:val="24"/>
          <w:szCs w:val="24"/>
        </w:rPr>
        <w:t>本格式由符合促进残疾人就业政府采购政策条件</w:t>
      </w:r>
      <w:r>
        <w:rPr>
          <w:spacing w:val="-1"/>
          <w:sz w:val="24"/>
          <w:szCs w:val="24"/>
        </w:rPr>
        <w:t>的残疾人福利性单位填写，非</w:t>
      </w:r>
      <w:r>
        <w:rPr>
          <w:sz w:val="24"/>
          <w:szCs w:val="24"/>
        </w:rPr>
        <w:t xml:space="preserve">  </w:t>
      </w:r>
      <w:r>
        <w:rPr>
          <w:spacing w:val="-5"/>
          <w:sz w:val="24"/>
          <w:szCs w:val="24"/>
        </w:rPr>
        <w:t>残疾人福利性单位无需填写。本项目（专门面向中小企业采购） 中，残疾人福利性单位</w:t>
      </w:r>
      <w:r>
        <w:rPr>
          <w:spacing w:val="15"/>
          <w:sz w:val="24"/>
          <w:szCs w:val="24"/>
        </w:rPr>
        <w:t xml:space="preserve"> </w:t>
      </w:r>
      <w:r>
        <w:rPr>
          <w:spacing w:val="-2"/>
          <w:sz w:val="24"/>
          <w:szCs w:val="24"/>
        </w:rPr>
        <w:t>属于中型企业、小型、微型企业的，可只填</w:t>
      </w:r>
      <w:r>
        <w:rPr>
          <w:spacing w:val="-3"/>
          <w:sz w:val="24"/>
          <w:szCs w:val="24"/>
        </w:rPr>
        <w:t>写“中小企业声明函</w:t>
      </w:r>
      <w:r>
        <w:rPr>
          <w:spacing w:val="-89"/>
          <w:sz w:val="24"/>
          <w:szCs w:val="24"/>
        </w:rPr>
        <w:t xml:space="preserve"> </w:t>
      </w:r>
      <w:r>
        <w:rPr>
          <w:spacing w:val="-3"/>
          <w:sz w:val="24"/>
          <w:szCs w:val="24"/>
        </w:rPr>
        <w:t>”，不再填写“残疾人</w:t>
      </w:r>
    </w:p>
    <w:p w14:paraId="4ECB8A66">
      <w:pPr>
        <w:pStyle w:val="3"/>
        <w:spacing w:line="220" w:lineRule="auto"/>
        <w:ind w:left="8"/>
        <w:rPr>
          <w:sz w:val="24"/>
          <w:szCs w:val="24"/>
        </w:rPr>
      </w:pPr>
      <w:r>
        <w:rPr>
          <w:spacing w:val="-4"/>
          <w:sz w:val="24"/>
          <w:szCs w:val="24"/>
        </w:rPr>
        <w:t>福利性单位声明函”。</w:t>
      </w:r>
    </w:p>
    <w:p w14:paraId="6251E8B2">
      <w:pPr>
        <w:pStyle w:val="3"/>
        <w:spacing w:before="173" w:line="354" w:lineRule="auto"/>
        <w:ind w:left="8" w:right="48" w:firstLine="485"/>
        <w:rPr>
          <w:sz w:val="24"/>
          <w:szCs w:val="24"/>
        </w:rPr>
      </w:pPr>
      <w:r>
        <w:rPr>
          <w:spacing w:val="-3"/>
          <w:sz w:val="24"/>
          <w:szCs w:val="24"/>
        </w:rPr>
        <w:t>3.残疾人福利性单位填写“残疾人福利性单位声明函</w:t>
      </w:r>
      <w:r>
        <w:rPr>
          <w:spacing w:val="-74"/>
          <w:sz w:val="24"/>
          <w:szCs w:val="24"/>
        </w:rPr>
        <w:t xml:space="preserve"> </w:t>
      </w:r>
      <w:r>
        <w:rPr>
          <w:spacing w:val="-3"/>
          <w:sz w:val="24"/>
          <w:szCs w:val="24"/>
        </w:rPr>
        <w:t>”后，仍需同时填写“中小企</w:t>
      </w:r>
      <w:r>
        <w:rPr>
          <w:sz w:val="24"/>
          <w:szCs w:val="24"/>
        </w:rPr>
        <w:t xml:space="preserve"> </w:t>
      </w:r>
      <w:r>
        <w:rPr>
          <w:spacing w:val="-4"/>
          <w:sz w:val="24"/>
          <w:szCs w:val="24"/>
        </w:rPr>
        <w:t>业声明函</w:t>
      </w:r>
      <w:r>
        <w:rPr>
          <w:spacing w:val="-84"/>
          <w:sz w:val="24"/>
          <w:szCs w:val="24"/>
        </w:rPr>
        <w:t xml:space="preserve"> </w:t>
      </w:r>
      <w:r>
        <w:rPr>
          <w:spacing w:val="-4"/>
          <w:sz w:val="24"/>
          <w:szCs w:val="24"/>
        </w:rPr>
        <w:t>”、可在“中小企业声明函</w:t>
      </w:r>
      <w:r>
        <w:rPr>
          <w:spacing w:val="-63"/>
          <w:sz w:val="24"/>
          <w:szCs w:val="24"/>
        </w:rPr>
        <w:t xml:space="preserve"> </w:t>
      </w:r>
      <w:r>
        <w:rPr>
          <w:spacing w:val="-4"/>
          <w:sz w:val="24"/>
          <w:szCs w:val="24"/>
        </w:rPr>
        <w:t>”注明“属于符合条件的残疾人福利性单位、视同</w:t>
      </w:r>
    </w:p>
    <w:p w14:paraId="1C108573">
      <w:pPr>
        <w:pStyle w:val="3"/>
        <w:spacing w:before="1" w:line="220" w:lineRule="auto"/>
        <w:ind w:left="15"/>
        <w:rPr>
          <w:sz w:val="24"/>
          <w:szCs w:val="24"/>
        </w:rPr>
      </w:pPr>
      <w:r>
        <w:rPr>
          <w:spacing w:val="-5"/>
          <w:sz w:val="24"/>
          <w:szCs w:val="24"/>
        </w:rPr>
        <w:t>小型、微型企业”。</w:t>
      </w:r>
    </w:p>
    <w:p w14:paraId="7336CCFB">
      <w:pPr>
        <w:spacing w:line="220" w:lineRule="auto"/>
        <w:rPr>
          <w:sz w:val="24"/>
          <w:szCs w:val="24"/>
        </w:rPr>
        <w:sectPr>
          <w:footerReference r:id="rId35" w:type="default"/>
          <w:pgSz w:w="11905" w:h="16838"/>
          <w:pgMar w:top="841" w:right="1368" w:bottom="799" w:left="1417" w:header="0" w:footer="548" w:gutter="0"/>
          <w:pgNumType w:fmt="decimal"/>
          <w:cols w:space="720" w:num="1"/>
        </w:sectPr>
      </w:pPr>
    </w:p>
    <w:p w14:paraId="6E62D7CB">
      <w:pPr>
        <w:pStyle w:val="3"/>
        <w:spacing w:before="78" w:line="219" w:lineRule="auto"/>
        <w:ind w:left="28"/>
        <w:rPr>
          <w:sz w:val="24"/>
          <w:szCs w:val="24"/>
        </w:rPr>
      </w:pPr>
      <w:r>
        <w:rPr>
          <w:spacing w:val="-2"/>
          <w:sz w:val="24"/>
          <w:szCs w:val="24"/>
          <w14:textOutline w14:w="4354">
            <w14:solidFill>
              <w14:srgbClr w14:val="000000"/>
            </w14:solidFill>
            <w14:prstDash w14:val="solid"/>
            <w14:miter w14:val="0"/>
          </w14:textOutline>
        </w:rPr>
        <w:t>附件</w:t>
      </w:r>
      <w:r>
        <w:rPr>
          <w:spacing w:val="-27"/>
          <w:sz w:val="24"/>
          <w:szCs w:val="24"/>
        </w:rPr>
        <w:t xml:space="preserve"> </w:t>
      </w:r>
      <w:r>
        <w:rPr>
          <w:spacing w:val="-2"/>
          <w:sz w:val="24"/>
          <w:szCs w:val="24"/>
          <w14:textOutline w14:w="4354">
            <w14:solidFill>
              <w14:srgbClr w14:val="000000"/>
            </w14:solidFill>
            <w14:prstDash w14:val="solid"/>
            <w14:miter w14:val="0"/>
          </w14:textOutline>
        </w:rPr>
        <w:t>3</w:t>
      </w:r>
      <w:r>
        <w:rPr>
          <w:spacing w:val="-2"/>
          <w:sz w:val="24"/>
          <w:szCs w:val="24"/>
        </w:rPr>
        <w:t xml:space="preserve">    </w:t>
      </w:r>
      <w:r>
        <w:rPr>
          <w:spacing w:val="-2"/>
          <w:sz w:val="24"/>
          <w:szCs w:val="24"/>
          <w14:textOutline w14:w="4354">
            <w14:solidFill>
              <w14:srgbClr w14:val="000000"/>
            </w14:solidFill>
            <w14:prstDash w14:val="solid"/>
            <w14:miter w14:val="0"/>
          </w14:textOutline>
        </w:rPr>
        <w:t>河南省政府采购合同融资政策告知函</w:t>
      </w:r>
    </w:p>
    <w:p w14:paraId="26F933AA">
      <w:pPr>
        <w:spacing w:line="280" w:lineRule="auto"/>
        <w:rPr>
          <w:rFonts w:ascii="Arial"/>
          <w:sz w:val="21"/>
        </w:rPr>
      </w:pPr>
    </w:p>
    <w:p w14:paraId="539F58AA">
      <w:pPr>
        <w:spacing w:line="281" w:lineRule="auto"/>
        <w:rPr>
          <w:rFonts w:ascii="Arial"/>
          <w:sz w:val="21"/>
        </w:rPr>
      </w:pPr>
    </w:p>
    <w:p w14:paraId="42D23DD6">
      <w:pPr>
        <w:pStyle w:val="3"/>
        <w:spacing w:before="78" w:line="359" w:lineRule="auto"/>
        <w:ind w:left="14" w:firstLine="475"/>
        <w:jc w:val="both"/>
        <w:rPr>
          <w:sz w:val="24"/>
          <w:szCs w:val="24"/>
        </w:rPr>
      </w:pPr>
      <w:r>
        <w:rPr>
          <w:spacing w:val="-3"/>
          <w:sz w:val="24"/>
          <w:szCs w:val="24"/>
        </w:rPr>
        <w:t xml:space="preserve">根据河南省财政厅关于印发深入推进政府采购合同融资工作实施方案的通知（豫财  </w:t>
      </w:r>
      <w:r>
        <w:rPr>
          <w:spacing w:val="-10"/>
          <w:sz w:val="24"/>
          <w:szCs w:val="24"/>
        </w:rPr>
        <w:t>办﹝2020﹞33</w:t>
      </w:r>
      <w:r>
        <w:rPr>
          <w:spacing w:val="-40"/>
          <w:sz w:val="24"/>
          <w:szCs w:val="24"/>
        </w:rPr>
        <w:t xml:space="preserve"> </w:t>
      </w:r>
      <w:r>
        <w:rPr>
          <w:spacing w:val="-10"/>
          <w:sz w:val="24"/>
          <w:szCs w:val="24"/>
        </w:rPr>
        <w:t>号）文件， 参与政府采购活动的供应商，</w:t>
      </w:r>
      <w:r>
        <w:rPr>
          <w:spacing w:val="35"/>
          <w:sz w:val="24"/>
          <w:szCs w:val="24"/>
        </w:rPr>
        <w:t xml:space="preserve"> </w:t>
      </w:r>
      <w:r>
        <w:rPr>
          <w:spacing w:val="-10"/>
          <w:sz w:val="24"/>
          <w:szCs w:val="24"/>
        </w:rPr>
        <w:t>在中标成交后可以持政府采购合</w:t>
      </w:r>
      <w:r>
        <w:rPr>
          <w:sz w:val="24"/>
          <w:szCs w:val="24"/>
        </w:rPr>
        <w:t xml:space="preserve">  </w:t>
      </w:r>
      <w:r>
        <w:rPr>
          <w:spacing w:val="2"/>
          <w:sz w:val="24"/>
          <w:szCs w:val="24"/>
        </w:rPr>
        <w:t>同向融资机构申请贷款，供应商在河南省政府采购网“河南省政府采购合同融</w:t>
      </w:r>
      <w:r>
        <w:rPr>
          <w:spacing w:val="1"/>
          <w:sz w:val="24"/>
          <w:szCs w:val="24"/>
        </w:rPr>
        <w:t>资平台</w:t>
      </w:r>
      <w:r>
        <w:rPr>
          <w:spacing w:val="-88"/>
          <w:sz w:val="24"/>
          <w:szCs w:val="24"/>
        </w:rPr>
        <w:t xml:space="preserve"> </w:t>
      </w:r>
      <w:r>
        <w:rPr>
          <w:spacing w:val="1"/>
          <w:sz w:val="24"/>
          <w:szCs w:val="24"/>
        </w:rPr>
        <w:t>”</w:t>
      </w:r>
    </w:p>
    <w:p w14:paraId="7D02D0A0">
      <w:pPr>
        <w:pStyle w:val="3"/>
        <w:spacing w:line="220" w:lineRule="auto"/>
        <w:ind w:left="13"/>
        <w:rPr>
          <w:sz w:val="24"/>
          <w:szCs w:val="24"/>
        </w:rPr>
      </w:pPr>
      <w:r>
        <w:rPr>
          <w:spacing w:val="-5"/>
          <w:sz w:val="24"/>
          <w:szCs w:val="24"/>
        </w:rPr>
        <w:t>获取融资渠道和方式。</w:t>
      </w:r>
    </w:p>
    <w:p w14:paraId="5878F2FB">
      <w:pPr>
        <w:spacing w:line="247" w:lineRule="auto"/>
        <w:rPr>
          <w:rFonts w:ascii="Arial"/>
          <w:sz w:val="21"/>
        </w:rPr>
      </w:pPr>
    </w:p>
    <w:p w14:paraId="7085A531">
      <w:pPr>
        <w:spacing w:line="247" w:lineRule="auto"/>
        <w:rPr>
          <w:rFonts w:ascii="Arial"/>
          <w:sz w:val="21"/>
        </w:rPr>
      </w:pPr>
    </w:p>
    <w:p w14:paraId="64A49556">
      <w:pPr>
        <w:spacing w:line="247" w:lineRule="auto"/>
        <w:rPr>
          <w:rFonts w:ascii="Arial"/>
          <w:sz w:val="21"/>
        </w:rPr>
      </w:pPr>
    </w:p>
    <w:p w14:paraId="0619E717">
      <w:pPr>
        <w:spacing w:line="247" w:lineRule="auto"/>
        <w:rPr>
          <w:rFonts w:ascii="Arial"/>
          <w:sz w:val="21"/>
        </w:rPr>
      </w:pPr>
    </w:p>
    <w:p w14:paraId="450474E9">
      <w:pPr>
        <w:spacing w:line="247" w:lineRule="auto"/>
        <w:rPr>
          <w:rFonts w:ascii="Arial"/>
          <w:sz w:val="21"/>
        </w:rPr>
      </w:pPr>
    </w:p>
    <w:p w14:paraId="75BFE687">
      <w:pPr>
        <w:spacing w:line="248" w:lineRule="auto"/>
        <w:rPr>
          <w:rFonts w:ascii="Arial"/>
          <w:sz w:val="21"/>
        </w:rPr>
      </w:pPr>
    </w:p>
    <w:p w14:paraId="291B981E">
      <w:pPr>
        <w:pStyle w:val="3"/>
        <w:spacing w:before="98" w:line="219" w:lineRule="auto"/>
        <w:ind w:left="2136"/>
        <w:rPr>
          <w:sz w:val="30"/>
          <w:szCs w:val="30"/>
        </w:rPr>
      </w:pPr>
      <w:r>
        <w:rPr>
          <w:sz w:val="30"/>
          <w:szCs w:val="30"/>
          <w14:textOutline w14:w="5442">
            <w14:solidFill>
              <w14:srgbClr w14:val="000000"/>
            </w14:solidFill>
            <w14:prstDash w14:val="solid"/>
            <w14:miter w14:val="0"/>
          </w14:textOutline>
        </w:rPr>
        <w:t>河南省政府采购合同融资政策告知函</w:t>
      </w:r>
    </w:p>
    <w:p w14:paraId="5711AACB">
      <w:pPr>
        <w:spacing w:line="301" w:lineRule="auto"/>
        <w:rPr>
          <w:rFonts w:ascii="Arial"/>
          <w:sz w:val="21"/>
        </w:rPr>
      </w:pPr>
    </w:p>
    <w:p w14:paraId="55331486">
      <w:pPr>
        <w:spacing w:line="302" w:lineRule="auto"/>
        <w:rPr>
          <w:rFonts w:ascii="Arial"/>
          <w:sz w:val="21"/>
        </w:rPr>
      </w:pPr>
    </w:p>
    <w:p w14:paraId="7B36F49E">
      <w:pPr>
        <w:pStyle w:val="3"/>
        <w:spacing w:before="78" w:line="220" w:lineRule="auto"/>
        <w:ind w:left="12"/>
        <w:rPr>
          <w:sz w:val="24"/>
          <w:szCs w:val="24"/>
        </w:rPr>
      </w:pPr>
      <w:r>
        <w:rPr>
          <w:spacing w:val="-2"/>
          <w:sz w:val="24"/>
          <w:szCs w:val="24"/>
          <w14:textOutline w14:w="4354">
            <w14:solidFill>
              <w14:srgbClr w14:val="000000"/>
            </w14:solidFill>
            <w14:prstDash w14:val="solid"/>
            <w14:miter w14:val="0"/>
          </w14:textOutline>
        </w:rPr>
        <w:t>各供应商：</w:t>
      </w:r>
    </w:p>
    <w:p w14:paraId="70386AF8">
      <w:pPr>
        <w:pStyle w:val="3"/>
        <w:spacing w:before="180" w:line="220" w:lineRule="auto"/>
        <w:ind w:left="489"/>
        <w:rPr>
          <w:sz w:val="24"/>
          <w:szCs w:val="24"/>
        </w:rPr>
      </w:pPr>
      <w:r>
        <w:rPr>
          <w:spacing w:val="-3"/>
          <w:sz w:val="24"/>
          <w:szCs w:val="24"/>
        </w:rPr>
        <w:t>欢迎贵公司参与河南省政府采购活动！</w:t>
      </w:r>
    </w:p>
    <w:p w14:paraId="7D67A756">
      <w:pPr>
        <w:pStyle w:val="3"/>
        <w:spacing w:before="182" w:line="359" w:lineRule="auto"/>
        <w:ind w:left="9" w:right="168" w:firstLine="479"/>
        <w:rPr>
          <w:sz w:val="24"/>
          <w:szCs w:val="24"/>
        </w:rPr>
      </w:pPr>
      <w:r>
        <w:rPr>
          <w:spacing w:val="-5"/>
          <w:sz w:val="24"/>
          <w:szCs w:val="24"/>
        </w:rPr>
        <w:t>政府采购合同融资是河南省财政厅支持中小微企业发展， 针对参与政府采购活动的</w:t>
      </w:r>
      <w:r>
        <w:rPr>
          <w:spacing w:val="6"/>
          <w:sz w:val="24"/>
          <w:szCs w:val="24"/>
        </w:rPr>
        <w:t xml:space="preserve"> </w:t>
      </w:r>
      <w:r>
        <w:rPr>
          <w:spacing w:val="-2"/>
          <w:sz w:val="24"/>
          <w:szCs w:val="24"/>
        </w:rPr>
        <w:t>供应商融资难、融资贵问题推出的一项融资政策。贵公司若成为本次政府采购项目的中</w:t>
      </w:r>
      <w:r>
        <w:rPr>
          <w:spacing w:val="16"/>
          <w:sz w:val="24"/>
          <w:szCs w:val="24"/>
        </w:rPr>
        <w:t xml:space="preserve"> </w:t>
      </w:r>
      <w:r>
        <w:rPr>
          <w:spacing w:val="-15"/>
          <w:sz w:val="24"/>
          <w:szCs w:val="24"/>
        </w:rPr>
        <w:t>标成交供应商，</w:t>
      </w:r>
      <w:r>
        <w:rPr>
          <w:spacing w:val="51"/>
          <w:sz w:val="24"/>
          <w:szCs w:val="24"/>
        </w:rPr>
        <w:t xml:space="preserve"> </w:t>
      </w:r>
      <w:r>
        <w:rPr>
          <w:spacing w:val="-15"/>
          <w:sz w:val="24"/>
          <w:szCs w:val="24"/>
        </w:rPr>
        <w:t>可持政府采购合同向金融机构申请贷款，</w:t>
      </w:r>
      <w:r>
        <w:rPr>
          <w:spacing w:val="51"/>
          <w:sz w:val="24"/>
          <w:szCs w:val="24"/>
        </w:rPr>
        <w:t xml:space="preserve"> </w:t>
      </w:r>
      <w:r>
        <w:rPr>
          <w:spacing w:val="-15"/>
          <w:sz w:val="24"/>
          <w:szCs w:val="24"/>
        </w:rPr>
        <w:t>无需抵押、担保</w:t>
      </w:r>
      <w:r>
        <w:rPr>
          <w:spacing w:val="-16"/>
          <w:sz w:val="24"/>
          <w:szCs w:val="24"/>
        </w:rPr>
        <w:t>，</w:t>
      </w:r>
      <w:r>
        <w:rPr>
          <w:spacing w:val="54"/>
          <w:sz w:val="24"/>
          <w:szCs w:val="24"/>
        </w:rPr>
        <w:t xml:space="preserve"> </w:t>
      </w:r>
      <w:r>
        <w:rPr>
          <w:spacing w:val="-16"/>
          <w:sz w:val="24"/>
          <w:szCs w:val="24"/>
        </w:rPr>
        <w:t>融资机构将</w:t>
      </w:r>
      <w:r>
        <w:rPr>
          <w:sz w:val="24"/>
          <w:szCs w:val="24"/>
        </w:rPr>
        <w:t xml:space="preserve"> </w:t>
      </w:r>
      <w:r>
        <w:rPr>
          <w:spacing w:val="-5"/>
          <w:sz w:val="24"/>
          <w:szCs w:val="24"/>
        </w:rPr>
        <w:t>根据《河南省政府采购合同融资工作实施方案》（豫财购〔2017〕</w:t>
      </w:r>
      <w:r>
        <w:rPr>
          <w:spacing w:val="-6"/>
          <w:sz w:val="24"/>
          <w:szCs w:val="24"/>
        </w:rPr>
        <w:t>10</w:t>
      </w:r>
      <w:r>
        <w:rPr>
          <w:spacing w:val="-44"/>
          <w:sz w:val="24"/>
          <w:szCs w:val="24"/>
        </w:rPr>
        <w:t xml:space="preserve"> </w:t>
      </w:r>
      <w:r>
        <w:rPr>
          <w:spacing w:val="-6"/>
          <w:sz w:val="24"/>
          <w:szCs w:val="24"/>
        </w:rPr>
        <w:t>号）</w:t>
      </w:r>
      <w:r>
        <w:rPr>
          <w:spacing w:val="-70"/>
          <w:sz w:val="24"/>
          <w:szCs w:val="24"/>
        </w:rPr>
        <w:t xml:space="preserve"> </w:t>
      </w:r>
      <w:r>
        <w:rPr>
          <w:spacing w:val="-6"/>
          <w:sz w:val="24"/>
          <w:szCs w:val="24"/>
        </w:rPr>
        <w:t>，按照双方自</w:t>
      </w:r>
    </w:p>
    <w:p w14:paraId="679BAC10">
      <w:pPr>
        <w:pStyle w:val="3"/>
        <w:spacing w:before="1" w:line="219" w:lineRule="auto"/>
        <w:ind w:left="11"/>
        <w:rPr>
          <w:sz w:val="24"/>
          <w:szCs w:val="24"/>
        </w:rPr>
      </w:pPr>
      <w:r>
        <w:rPr>
          <w:spacing w:val="-3"/>
          <w:sz w:val="24"/>
          <w:szCs w:val="24"/>
        </w:rPr>
        <w:t>愿的原则提供便捷、优惠的贷款服务。</w:t>
      </w:r>
    </w:p>
    <w:p w14:paraId="747F0538">
      <w:pPr>
        <w:pStyle w:val="3"/>
        <w:spacing w:before="181" w:line="467" w:lineRule="exact"/>
        <w:ind w:left="486"/>
        <w:rPr>
          <w:sz w:val="24"/>
          <w:szCs w:val="24"/>
        </w:rPr>
      </w:pPr>
      <w:r>
        <w:rPr>
          <w:spacing w:val="-6"/>
          <w:position w:val="17"/>
          <w:sz w:val="24"/>
          <w:szCs w:val="24"/>
        </w:rPr>
        <w:t>贷款渠道和提供贷款的金融机构，</w:t>
      </w:r>
      <w:r>
        <w:rPr>
          <w:spacing w:val="41"/>
          <w:position w:val="17"/>
          <w:sz w:val="24"/>
          <w:szCs w:val="24"/>
        </w:rPr>
        <w:t xml:space="preserve"> </w:t>
      </w:r>
      <w:r>
        <w:rPr>
          <w:spacing w:val="-6"/>
          <w:position w:val="17"/>
          <w:sz w:val="24"/>
          <w:szCs w:val="24"/>
        </w:rPr>
        <w:t>可在河南省政府采购网“河南省政府采购合同融</w:t>
      </w:r>
    </w:p>
    <w:p w14:paraId="7C4961AC">
      <w:pPr>
        <w:pStyle w:val="3"/>
        <w:spacing w:before="1" w:line="221" w:lineRule="auto"/>
        <w:ind w:left="19"/>
        <w:rPr>
          <w:sz w:val="24"/>
          <w:szCs w:val="24"/>
        </w:rPr>
      </w:pPr>
      <w:r>
        <w:rPr>
          <w:spacing w:val="-6"/>
          <w:sz w:val="24"/>
          <w:szCs w:val="24"/>
        </w:rPr>
        <w:t>资平台”查询联系。</w:t>
      </w:r>
    </w:p>
    <w:p w14:paraId="2AFCB0B3">
      <w:pPr>
        <w:pStyle w:val="25"/>
        <w:spacing w:before="133" w:line="360" w:lineRule="auto"/>
        <w:ind w:right="7"/>
        <w:jc w:val="left"/>
        <w:rPr>
          <w:spacing w:val="7"/>
          <w:sz w:val="24"/>
          <w:szCs w:val="24"/>
        </w:rPr>
      </w:pPr>
    </w:p>
    <w:p w14:paraId="372033BE">
      <w:pPr>
        <w:pStyle w:val="3"/>
        <w:spacing w:before="1" w:line="221" w:lineRule="auto"/>
        <w:ind w:left="19"/>
        <w:rPr>
          <w:sz w:val="24"/>
          <w:szCs w:val="24"/>
        </w:rPr>
      </w:pPr>
    </w:p>
    <w:sectPr>
      <w:footerReference r:id="rId36" w:type="default"/>
      <w:pgSz w:w="11905" w:h="16838"/>
      <w:pgMar w:top="841" w:right="1248" w:bottom="799" w:left="1417" w:header="0" w:footer="54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5FA52">
    <w:pPr>
      <w:pStyle w:val="3"/>
      <w:spacing w:line="211" w:lineRule="auto"/>
      <w:ind w:right="24"/>
      <w:jc w:val="right"/>
      <w:rPr>
        <w:sz w:val="21"/>
        <w:szCs w:val="21"/>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BCE02">
    <w:pPr>
      <w:pStyle w:val="3"/>
      <w:spacing w:line="211" w:lineRule="auto"/>
      <w:ind w:right="24"/>
      <w:jc w:val="right"/>
      <w:rPr>
        <w:sz w:val="21"/>
        <w:szCs w:val="2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8531F">
    <w:pPr>
      <w:pStyle w:val="3"/>
      <w:spacing w:line="211" w:lineRule="auto"/>
      <w:ind w:right="24"/>
      <w:jc w:val="right"/>
      <w:rPr>
        <w:sz w:val="21"/>
        <w:szCs w:val="2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25BEF">
    <w:pPr>
      <w:pStyle w:val="3"/>
      <w:spacing w:line="211" w:lineRule="auto"/>
      <w:ind w:right="24"/>
      <w:jc w:val="right"/>
      <w:rPr>
        <w:sz w:val="21"/>
        <w:szCs w:val="21"/>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4D926">
    <w:pPr>
      <w:pStyle w:val="3"/>
      <w:spacing w:line="211" w:lineRule="auto"/>
      <w:ind w:right="24"/>
      <w:jc w:val="right"/>
      <w:rPr>
        <w:sz w:val="21"/>
        <w:szCs w:val="21"/>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5C19E">
    <w:pPr>
      <w:pStyle w:val="3"/>
      <w:spacing w:line="211" w:lineRule="auto"/>
      <w:ind w:right="24"/>
      <w:jc w:val="right"/>
      <w:rPr>
        <w:sz w:val="21"/>
        <w:szCs w:val="21"/>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22928">
    <w:pPr>
      <w:pStyle w:val="13"/>
      <w:jc w:val="center"/>
    </w:pPr>
  </w:p>
  <w:p w14:paraId="1CEF7861">
    <w:pPr>
      <w:pStyle w:val="13"/>
      <w:ind w:right="360"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9D1E5">
    <w:pPr>
      <w:pStyle w:val="13"/>
      <w:jc w:val="center"/>
    </w:pPr>
  </w:p>
  <w:p w14:paraId="5C90AF83">
    <w:pPr>
      <w:pStyle w:val="13"/>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4A187">
    <w:pPr>
      <w:pStyle w:val="3"/>
      <w:spacing w:line="211" w:lineRule="auto"/>
      <w:ind w:right="24"/>
      <w:jc w:val="right"/>
      <w:rPr>
        <w:sz w:val="21"/>
        <w:szCs w:val="21"/>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FF30D">
    <w:pPr>
      <w:pStyle w:val="3"/>
      <w:spacing w:line="211" w:lineRule="auto"/>
      <w:ind w:right="24"/>
      <w:jc w:val="right"/>
      <w:rPr>
        <w:sz w:val="21"/>
        <w:szCs w:val="21"/>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1A6F1">
    <w:pPr>
      <w:pStyle w:val="3"/>
      <w:spacing w:line="211" w:lineRule="auto"/>
      <w:ind w:right="24"/>
      <w:jc w:val="right"/>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57B72">
    <w:pPr>
      <w:pStyle w:val="3"/>
      <w:spacing w:line="211" w:lineRule="auto"/>
      <w:ind w:right="24"/>
      <w:jc w:val="right"/>
      <w:rPr>
        <w:sz w:val="21"/>
        <w:szCs w:val="21"/>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26566">
    <w:pPr>
      <w:pStyle w:val="3"/>
      <w:spacing w:line="211" w:lineRule="auto"/>
      <w:ind w:left="7515"/>
      <w:rPr>
        <w:sz w:val="21"/>
        <w:szCs w:val="21"/>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8AB7A">
    <w:pPr>
      <w:pStyle w:val="3"/>
      <w:spacing w:line="211" w:lineRule="auto"/>
      <w:ind w:left="7515"/>
      <w:rPr>
        <w:sz w:val="21"/>
        <w:szCs w:val="21"/>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599C3">
    <w:pPr>
      <w:pStyle w:val="3"/>
      <w:spacing w:line="211" w:lineRule="auto"/>
      <w:ind w:left="7515"/>
      <w:rPr>
        <w:sz w:val="21"/>
        <w:szCs w:val="21"/>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D02A4">
    <w:pPr>
      <w:pStyle w:val="3"/>
      <w:spacing w:line="211" w:lineRule="auto"/>
      <w:ind w:right="24"/>
      <w:jc w:val="right"/>
      <w:rPr>
        <w:sz w:val="21"/>
        <w:szCs w:val="21"/>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87F80">
    <w:pPr>
      <w:pStyle w:val="3"/>
      <w:spacing w:line="211" w:lineRule="auto"/>
      <w:ind w:right="24"/>
      <w:jc w:val="right"/>
      <w:rPr>
        <w:sz w:val="21"/>
        <w:szCs w:val="21"/>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E5929">
    <w:pPr>
      <w:pStyle w:val="3"/>
      <w:spacing w:line="211" w:lineRule="auto"/>
      <w:ind w:right="24"/>
      <w:jc w:val="right"/>
      <w:rPr>
        <w:sz w:val="21"/>
        <w:szCs w:val="21"/>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65178">
    <w:pPr>
      <w:pStyle w:val="3"/>
      <w:spacing w:line="211" w:lineRule="auto"/>
      <w:ind w:right="24"/>
      <w:jc w:val="right"/>
      <w:rPr>
        <w:sz w:val="21"/>
        <w:szCs w:val="21"/>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F6812">
    <w:pPr>
      <w:pStyle w:val="3"/>
      <w:spacing w:line="211" w:lineRule="auto"/>
      <w:ind w:right="24"/>
      <w:jc w:val="right"/>
      <w:rPr>
        <w:sz w:val="21"/>
        <w:szCs w:val="21"/>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FC9E">
    <w:pPr>
      <w:pStyle w:val="3"/>
      <w:spacing w:line="211" w:lineRule="auto"/>
      <w:ind w:right="24"/>
      <w:jc w:val="right"/>
      <w:rPr>
        <w:sz w:val="21"/>
        <w:szCs w:val="21"/>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47E6B">
    <w:pPr>
      <w:pStyle w:val="3"/>
      <w:spacing w:line="211" w:lineRule="auto"/>
      <w:ind w:right="24"/>
      <w:jc w:val="right"/>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9A85E">
    <w:pPr>
      <w:pStyle w:val="3"/>
      <w:spacing w:line="211" w:lineRule="auto"/>
      <w:ind w:right="24"/>
      <w:jc w:val="right"/>
      <w:rPr>
        <w:sz w:val="21"/>
        <w:szCs w:val="21"/>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BAE79">
    <w:pPr>
      <w:pStyle w:val="3"/>
      <w:spacing w:line="211" w:lineRule="auto"/>
      <w:ind w:right="24"/>
      <w:jc w:val="right"/>
      <w:rPr>
        <w:sz w:val="21"/>
        <w:szCs w:val="21"/>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F73F2">
    <w:pPr>
      <w:pStyle w:val="3"/>
      <w:spacing w:line="211" w:lineRule="auto"/>
      <w:ind w:left="7515"/>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7DD17">
    <w:pPr>
      <w:pStyle w:val="3"/>
      <w:spacing w:line="211" w:lineRule="auto"/>
      <w:ind w:right="24"/>
      <w:jc w:val="right"/>
      <w:rPr>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6A1EF">
    <w:pPr>
      <w:pStyle w:val="3"/>
      <w:spacing w:line="211" w:lineRule="auto"/>
      <w:ind w:right="24"/>
      <w:jc w:val="right"/>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E9473">
    <w:pPr>
      <w:pStyle w:val="3"/>
      <w:spacing w:line="211" w:lineRule="auto"/>
      <w:ind w:right="24"/>
      <w:jc w:val="right"/>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B906D">
    <w:pPr>
      <w:pStyle w:val="13"/>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0257802"/>
    </w:sdtPr>
    <w:sdtContent>
      <w:p w14:paraId="796A24AF">
        <w:pPr>
          <w:pStyle w:val="13"/>
          <w:jc w:val="center"/>
        </w:pPr>
        <w:r>
          <w:fldChar w:fldCharType="begin"/>
        </w:r>
        <w:r>
          <w:instrText xml:space="preserve">PAGE   \* MERGEFORMAT</w:instrText>
        </w:r>
        <w:r>
          <w:fldChar w:fldCharType="separate"/>
        </w:r>
        <w:r>
          <w:rPr>
            <w:lang w:val="zh-CN"/>
          </w:rPr>
          <w:t>78</w:t>
        </w:r>
        <w:r>
          <w:fldChar w:fldCharType="end"/>
        </w:r>
      </w:p>
    </w:sdtContent>
  </w:sdt>
  <w:p w14:paraId="1BD9374C">
    <w:pPr>
      <w:pStyle w:val="1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F6E71">
    <w:pPr>
      <w:pStyle w:val="1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18168">
    <w:pPr>
      <w:pStyle w:val="14"/>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647C4F"/>
    <w:multiLevelType w:val="multilevel"/>
    <w:tmpl w:val="A0647C4F"/>
    <w:lvl w:ilvl="0" w:tentative="0">
      <w:start w:val="1"/>
      <w:numFmt w:val="decimal"/>
      <w:suff w:val="space"/>
      <w:lvlText w:val="%1"/>
      <w:lvlJc w:val="left"/>
      <w:rPr>
        <w:rFonts w:hint="default" w:cs="Times New Roman"/>
      </w:rPr>
    </w:lvl>
    <w:lvl w:ilvl="1" w:tentative="0">
      <w:start w:val="1"/>
      <w:numFmt w:val="decimal"/>
      <w:suff w:val="space"/>
      <w:lvlText w:val="%1.%2"/>
      <w:lvlJc w:val="left"/>
      <w:rPr>
        <w:rFonts w:hint="default" w:cs="Times New Roman"/>
      </w:rPr>
    </w:lvl>
    <w:lvl w:ilvl="2" w:tentative="0">
      <w:start w:val="1"/>
      <w:numFmt w:val="decimal"/>
      <w:suff w:val="space"/>
      <w:lvlText w:val="%1.%2.%3"/>
      <w:lvlJc w:val="left"/>
      <w:rPr>
        <w:rFonts w:hint="default" w:cs="Times New Roman"/>
      </w:rPr>
    </w:lvl>
    <w:lvl w:ilvl="3" w:tentative="0">
      <w:start w:val="1"/>
      <w:numFmt w:val="decimal"/>
      <w:suff w:val="space"/>
      <w:lvlText w:val="%1.%2.%3.%4"/>
      <w:lvlJc w:val="left"/>
      <w:rPr>
        <w:rFonts w:hint="default" w:cs="Times New Roman"/>
      </w:rPr>
    </w:lvl>
    <w:lvl w:ilvl="4" w:tentative="0">
      <w:start w:val="1"/>
      <w:numFmt w:val="decimal"/>
      <w:suff w:val="space"/>
      <w:lvlText w:val="%1.%2.%3.%4.%5"/>
      <w:lvlJc w:val="left"/>
      <w:rPr>
        <w:rFonts w:hint="default" w:cs="Times New Roman"/>
      </w:rPr>
    </w:lvl>
    <w:lvl w:ilvl="5" w:tentative="0">
      <w:start w:val="1"/>
      <w:numFmt w:val="decimal"/>
      <w:suff w:val="space"/>
      <w:lvlText w:val="%1.%2.%3.%4.%5.%6"/>
      <w:lvlJc w:val="left"/>
      <w:rPr>
        <w:rFonts w:hint="default" w:cs="Times New Roman"/>
      </w:rPr>
    </w:lvl>
    <w:lvl w:ilvl="6" w:tentative="0">
      <w:start w:val="1"/>
      <w:numFmt w:val="decimal"/>
      <w:suff w:val="space"/>
      <w:lvlText w:val="%1.%2.%3.%4.%5.%6.%7"/>
      <w:lvlJc w:val="left"/>
      <w:rPr>
        <w:rFonts w:hint="default" w:cs="Times New Roman"/>
      </w:rPr>
    </w:lvl>
    <w:lvl w:ilvl="7" w:tentative="0">
      <w:start w:val="1"/>
      <w:numFmt w:val="decimal"/>
      <w:suff w:val="space"/>
      <w:lvlText w:val="%1.%2.%3.%4.%5.%6.%7.%8"/>
      <w:lvlJc w:val="left"/>
      <w:rPr>
        <w:rFonts w:hint="default" w:cs="Times New Roman"/>
      </w:rPr>
    </w:lvl>
    <w:lvl w:ilvl="8" w:tentative="0">
      <w:start w:val="1"/>
      <w:numFmt w:val="decimal"/>
      <w:suff w:val="space"/>
      <w:lvlText w:val="%1.%2.%3.%4.%5.%6.%7.%8.%9"/>
      <w:lvlJc w:val="left"/>
      <w:rPr>
        <w:rFonts w:hint="default" w:cs="Times New Roman"/>
      </w:rPr>
    </w:lvl>
  </w:abstractNum>
  <w:abstractNum w:abstractNumId="1">
    <w:nsid w:val="A2C959E2"/>
    <w:multiLevelType w:val="multilevel"/>
    <w:tmpl w:val="A2C959E2"/>
    <w:lvl w:ilvl="0" w:tentative="0">
      <w:start w:val="1"/>
      <w:numFmt w:val="decimal"/>
      <w:suff w:val="space"/>
      <w:lvlText w:val="%1."/>
      <w:lvlJc w:val="left"/>
      <w:rPr>
        <w:rFonts w:cs="Times New Roman"/>
      </w:rPr>
    </w:lvl>
    <w:lvl w:ilvl="1" w:tentative="0">
      <w:start w:val="1"/>
      <w:numFmt w:val="decimal"/>
      <w:suff w:val="space"/>
      <w:lvlText w:val="%1.%2"/>
      <w:lvlJc w:val="left"/>
      <w:rPr>
        <w:rFonts w:hint="default" w:cs="Times New Roman"/>
      </w:rPr>
    </w:lvl>
    <w:lvl w:ilvl="2" w:tentative="0">
      <w:start w:val="1"/>
      <w:numFmt w:val="decimal"/>
      <w:suff w:val="space"/>
      <w:lvlText w:val="%1.%2.%3"/>
      <w:lvlJc w:val="left"/>
      <w:rPr>
        <w:rFonts w:hint="default" w:cs="Times New Roman"/>
      </w:rPr>
    </w:lvl>
    <w:lvl w:ilvl="3" w:tentative="0">
      <w:start w:val="1"/>
      <w:numFmt w:val="decimal"/>
      <w:suff w:val="space"/>
      <w:lvlText w:val="%1.%2.%3.%4"/>
      <w:lvlJc w:val="left"/>
      <w:rPr>
        <w:rFonts w:hint="default" w:cs="Times New Roman"/>
      </w:rPr>
    </w:lvl>
    <w:lvl w:ilvl="4" w:tentative="0">
      <w:start w:val="1"/>
      <w:numFmt w:val="decimal"/>
      <w:suff w:val="space"/>
      <w:lvlText w:val="%1.%2.%3.%4.%5"/>
      <w:lvlJc w:val="left"/>
      <w:rPr>
        <w:rFonts w:hint="default" w:cs="Times New Roman"/>
      </w:rPr>
    </w:lvl>
    <w:lvl w:ilvl="5" w:tentative="0">
      <w:start w:val="1"/>
      <w:numFmt w:val="decimal"/>
      <w:suff w:val="space"/>
      <w:lvlText w:val="%1.%2.%3.%4.%5.%6"/>
      <w:lvlJc w:val="left"/>
      <w:rPr>
        <w:rFonts w:hint="default" w:cs="Times New Roman"/>
      </w:rPr>
    </w:lvl>
    <w:lvl w:ilvl="6" w:tentative="0">
      <w:start w:val="1"/>
      <w:numFmt w:val="decimal"/>
      <w:suff w:val="space"/>
      <w:lvlText w:val="%1.%2.%3.%4.%5.%6.%7"/>
      <w:lvlJc w:val="left"/>
      <w:rPr>
        <w:rFonts w:hint="default" w:cs="Times New Roman"/>
      </w:rPr>
    </w:lvl>
    <w:lvl w:ilvl="7" w:tentative="0">
      <w:start w:val="1"/>
      <w:numFmt w:val="decimal"/>
      <w:suff w:val="space"/>
      <w:lvlText w:val="%1.%2.%3.%4.%5.%6.%7.%8"/>
      <w:lvlJc w:val="left"/>
      <w:rPr>
        <w:rFonts w:hint="default" w:cs="Times New Roman"/>
      </w:rPr>
    </w:lvl>
    <w:lvl w:ilvl="8" w:tentative="0">
      <w:start w:val="1"/>
      <w:numFmt w:val="decimal"/>
      <w:suff w:val="space"/>
      <w:lvlText w:val="%1.%2.%3.%4.%5.%6.%7.%8.%9"/>
      <w:lvlJc w:val="left"/>
      <w:rPr>
        <w:rFonts w:hint="default" w:cs="Times New Roman"/>
      </w:rPr>
    </w:lvl>
  </w:abstractNum>
  <w:abstractNum w:abstractNumId="2">
    <w:nsid w:val="DCB3CA4F"/>
    <w:multiLevelType w:val="singleLevel"/>
    <w:tmpl w:val="DCB3CA4F"/>
    <w:lvl w:ilvl="0" w:tentative="0">
      <w:start w:val="5"/>
      <w:numFmt w:val="decimal"/>
      <w:lvlText w:val="%1."/>
      <w:lvlJc w:val="left"/>
      <w:pPr>
        <w:tabs>
          <w:tab w:val="left" w:pos="312"/>
        </w:tabs>
      </w:pPr>
    </w:lvl>
  </w:abstractNum>
  <w:abstractNum w:abstractNumId="3">
    <w:nsid w:val="0E88038B"/>
    <w:multiLevelType w:val="singleLevel"/>
    <w:tmpl w:val="0E88038B"/>
    <w:lvl w:ilvl="0" w:tentative="0">
      <w:start w:val="1"/>
      <w:numFmt w:val="decimal"/>
      <w:lvlText w:val="%1)"/>
      <w:lvlJc w:val="left"/>
      <w:pPr>
        <w:tabs>
          <w:tab w:val="left" w:pos="312"/>
        </w:tabs>
      </w:pPr>
    </w:lvl>
  </w:abstractNum>
  <w:abstractNum w:abstractNumId="4">
    <w:nsid w:val="1068C811"/>
    <w:multiLevelType w:val="singleLevel"/>
    <w:tmpl w:val="1068C811"/>
    <w:lvl w:ilvl="0" w:tentative="0">
      <w:start w:val="1"/>
      <w:numFmt w:val="decimal"/>
      <w:suff w:val="space"/>
      <w:lvlText w:val="%1."/>
      <w:lvlJc w:val="left"/>
      <w:rPr>
        <w:rFonts w:cs="Times New Roman"/>
      </w:rPr>
    </w:lvl>
  </w:abstractNum>
  <w:abstractNum w:abstractNumId="5">
    <w:nsid w:val="166F8D74"/>
    <w:multiLevelType w:val="singleLevel"/>
    <w:tmpl w:val="166F8D74"/>
    <w:lvl w:ilvl="0" w:tentative="0">
      <w:start w:val="1"/>
      <w:numFmt w:val="decimal"/>
      <w:suff w:val="nothing"/>
      <w:lvlText w:val="%1、"/>
      <w:lvlJc w:val="left"/>
    </w:lvl>
  </w:abstractNum>
  <w:abstractNum w:abstractNumId="6">
    <w:nsid w:val="3486C138"/>
    <w:multiLevelType w:val="singleLevel"/>
    <w:tmpl w:val="3486C138"/>
    <w:lvl w:ilvl="0" w:tentative="0">
      <w:start w:val="1"/>
      <w:numFmt w:val="decimal"/>
      <w:suff w:val="nothing"/>
      <w:lvlText w:val="（%1）"/>
      <w:lvlJc w:val="left"/>
      <w:rPr>
        <w:rFonts w:cs="Times New Roman"/>
      </w:rPr>
    </w:lvl>
  </w:abstractNum>
  <w:abstractNum w:abstractNumId="7">
    <w:nsid w:val="37A42729"/>
    <w:multiLevelType w:val="singleLevel"/>
    <w:tmpl w:val="37A42729"/>
    <w:lvl w:ilvl="0" w:tentative="0">
      <w:start w:val="1"/>
      <w:numFmt w:val="decimal"/>
      <w:suff w:val="nothing"/>
      <w:lvlText w:val="%1、"/>
      <w:lvlJc w:val="left"/>
    </w:lvl>
  </w:abstractNum>
  <w:abstractNum w:abstractNumId="8">
    <w:nsid w:val="3E66616A"/>
    <w:multiLevelType w:val="singleLevel"/>
    <w:tmpl w:val="3E66616A"/>
    <w:lvl w:ilvl="0" w:tentative="0">
      <w:start w:val="1"/>
      <w:numFmt w:val="decimal"/>
      <w:suff w:val="nothing"/>
      <w:lvlText w:val="%1、"/>
      <w:lvlJc w:val="left"/>
    </w:lvl>
  </w:abstractNum>
  <w:abstractNum w:abstractNumId="9">
    <w:nsid w:val="3F29F217"/>
    <w:multiLevelType w:val="singleLevel"/>
    <w:tmpl w:val="3F29F217"/>
    <w:lvl w:ilvl="0" w:tentative="0">
      <w:start w:val="5"/>
      <w:numFmt w:val="chineseCounting"/>
      <w:suff w:val="nothing"/>
      <w:lvlText w:val="%1、"/>
      <w:lvlJc w:val="left"/>
      <w:rPr>
        <w:rFonts w:hint="eastAsia"/>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7"/>
  </w:num>
  <w:num w:numId="9">
    <w:abstractNumId w:val="3"/>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RmY2ZhMzY4N2JkNjEyM2MzNjI3YTBmMzY5NzkwZjAifQ=="/>
  </w:docVars>
  <w:rsids>
    <w:rsidRoot w:val="00000000"/>
    <w:rsid w:val="018821DF"/>
    <w:rsid w:val="04F11D7F"/>
    <w:rsid w:val="0F246F52"/>
    <w:rsid w:val="1B7232FF"/>
    <w:rsid w:val="1CCD3429"/>
    <w:rsid w:val="1FC47902"/>
    <w:rsid w:val="21386C61"/>
    <w:rsid w:val="21C8311C"/>
    <w:rsid w:val="228F1E03"/>
    <w:rsid w:val="23A70433"/>
    <w:rsid w:val="26EB3B6A"/>
    <w:rsid w:val="2AAC7C57"/>
    <w:rsid w:val="2C5C48BD"/>
    <w:rsid w:val="31396B6B"/>
    <w:rsid w:val="33CC75C3"/>
    <w:rsid w:val="35AA0518"/>
    <w:rsid w:val="36112753"/>
    <w:rsid w:val="36AE199E"/>
    <w:rsid w:val="38021601"/>
    <w:rsid w:val="388B1391"/>
    <w:rsid w:val="398E0500"/>
    <w:rsid w:val="3AF0085C"/>
    <w:rsid w:val="3C03026C"/>
    <w:rsid w:val="3DA33767"/>
    <w:rsid w:val="439F5B10"/>
    <w:rsid w:val="47BD549B"/>
    <w:rsid w:val="492E58BA"/>
    <w:rsid w:val="4E8D5984"/>
    <w:rsid w:val="59B07580"/>
    <w:rsid w:val="5C717813"/>
    <w:rsid w:val="5C791C51"/>
    <w:rsid w:val="5F107184"/>
    <w:rsid w:val="68AA7102"/>
    <w:rsid w:val="6CE41E43"/>
    <w:rsid w:val="6D3751D5"/>
    <w:rsid w:val="6E277B0F"/>
    <w:rsid w:val="6F1C6D97"/>
    <w:rsid w:val="6FCB6AF9"/>
    <w:rsid w:val="70507B2B"/>
    <w:rsid w:val="7245422D"/>
    <w:rsid w:val="72956BE1"/>
    <w:rsid w:val="785633CB"/>
    <w:rsid w:val="7B754A9B"/>
    <w:rsid w:val="7C1547FF"/>
    <w:rsid w:val="7C382C55"/>
    <w:rsid w:val="7CC21EC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99"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5">
    <w:name w:val="heading 1"/>
    <w:basedOn w:val="1"/>
    <w:next w:val="1"/>
    <w:qFormat/>
    <w:uiPriority w:val="99"/>
    <w:pPr>
      <w:keepNext/>
      <w:keepLines/>
      <w:spacing w:line="360" w:lineRule="auto"/>
      <w:jc w:val="center"/>
      <w:outlineLvl w:val="0"/>
    </w:pPr>
    <w:rPr>
      <w:b/>
      <w:kern w:val="44"/>
      <w:sz w:val="32"/>
      <w:szCs w:val="20"/>
    </w:rPr>
  </w:style>
  <w:style w:type="paragraph" w:styleId="6">
    <w:name w:val="heading 2"/>
    <w:basedOn w:val="1"/>
    <w:next w:val="1"/>
    <w:link w:val="33"/>
    <w:qFormat/>
    <w:uiPriority w:val="0"/>
    <w:pPr>
      <w:keepNext/>
      <w:keepLines/>
      <w:spacing w:before="260" w:after="260" w:line="412" w:lineRule="auto"/>
      <w:outlineLvl w:val="1"/>
    </w:pPr>
    <w:rPr>
      <w:rFonts w:ascii="Arial" w:hAnsi="Arial" w:eastAsia="??" w:cs="Arial"/>
      <w:b/>
      <w:sz w:val="32"/>
      <w:szCs w:val="20"/>
    </w:rPr>
  </w:style>
  <w:style w:type="paragraph" w:styleId="7">
    <w:name w:val="heading 3"/>
    <w:basedOn w:val="1"/>
    <w:next w:val="1"/>
    <w:qFormat/>
    <w:uiPriority w:val="0"/>
    <w:pPr>
      <w:keepNext/>
      <w:keepLines/>
      <w:spacing w:before="260" w:after="260" w:line="416" w:lineRule="auto"/>
      <w:outlineLvl w:val="2"/>
    </w:pPr>
    <w:rPr>
      <w:b/>
      <w:bCs/>
      <w:sz w:val="32"/>
      <w:szCs w:val="32"/>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unhideWhenUsed/>
    <w:qFormat/>
    <w:uiPriority w:val="0"/>
    <w:pPr>
      <w:ind w:firstLine="420" w:firstLineChars="100"/>
    </w:pPr>
  </w:style>
  <w:style w:type="paragraph" w:styleId="3">
    <w:name w:val="Body Text"/>
    <w:basedOn w:val="1"/>
    <w:next w:val="4"/>
    <w:semiHidden/>
    <w:qFormat/>
    <w:uiPriority w:val="0"/>
    <w:rPr>
      <w:rFonts w:ascii="宋体" w:hAnsi="宋体" w:eastAsia="宋体" w:cs="宋体"/>
      <w:sz w:val="44"/>
      <w:szCs w:val="44"/>
      <w:lang w:val="en-US" w:eastAsia="en-US" w:bidi="ar-SA"/>
    </w:rPr>
  </w:style>
  <w:style w:type="paragraph" w:customStyle="1" w:styleId="4">
    <w:name w:val="Default"/>
    <w:next w:val="1"/>
    <w:qFormat/>
    <w:uiPriority w:val="0"/>
    <w:pPr>
      <w:widowControl w:val="0"/>
      <w:autoSpaceDE w:val="0"/>
      <w:autoSpaceDN w:val="0"/>
      <w:adjustRightInd w:val="0"/>
      <w:spacing w:after="200" w:line="276" w:lineRule="auto"/>
    </w:pPr>
    <w:rPr>
      <w:rFonts w:ascii="宋体" w:hAnsi="Times New Roman" w:eastAsia="宋体" w:cs="宋体"/>
      <w:color w:val="000000"/>
      <w:sz w:val="24"/>
      <w:szCs w:val="24"/>
      <w:lang w:val="en-US" w:eastAsia="zh-CN" w:bidi="ar-SA"/>
    </w:rPr>
  </w:style>
  <w:style w:type="paragraph" w:styleId="8">
    <w:name w:val="Normal Indent"/>
    <w:basedOn w:val="1"/>
    <w:qFormat/>
    <w:uiPriority w:val="0"/>
    <w:pPr>
      <w:ind w:firstLine="420" w:firstLineChars="200"/>
    </w:pPr>
    <w:rPr>
      <w:szCs w:val="20"/>
    </w:rPr>
  </w:style>
  <w:style w:type="paragraph" w:styleId="9">
    <w:name w:val="Body Text Indent"/>
    <w:basedOn w:val="1"/>
    <w:next w:val="10"/>
    <w:qFormat/>
    <w:uiPriority w:val="0"/>
    <w:pPr>
      <w:spacing w:after="120"/>
      <w:ind w:left="200" w:leftChars="200"/>
    </w:pPr>
  </w:style>
  <w:style w:type="paragraph" w:styleId="10">
    <w:name w:val="envelope return"/>
    <w:basedOn w:val="1"/>
    <w:qFormat/>
    <w:uiPriority w:val="99"/>
    <w:pPr>
      <w:snapToGrid w:val="0"/>
      <w:jc w:val="left"/>
    </w:pPr>
    <w:rPr>
      <w:rFonts w:ascii="Arial" w:hAnsi="Arial" w:cs="黑体"/>
      <w:kern w:val="0"/>
      <w:sz w:val="22"/>
      <w:szCs w:val="22"/>
      <w:lang w:eastAsia="en-US"/>
    </w:rPr>
  </w:style>
  <w:style w:type="paragraph" w:styleId="11">
    <w:name w:val="Plain Text"/>
    <w:basedOn w:val="1"/>
    <w:qFormat/>
    <w:uiPriority w:val="0"/>
    <w:rPr>
      <w:rFonts w:ascii="宋体" w:hAnsi="Courier New"/>
      <w:szCs w:val="20"/>
    </w:rPr>
  </w:style>
  <w:style w:type="paragraph" w:styleId="12">
    <w:name w:val="Body Text Indent 2"/>
    <w:basedOn w:val="1"/>
    <w:qFormat/>
    <w:uiPriority w:val="0"/>
    <w:pPr>
      <w:spacing w:after="120" w:line="480" w:lineRule="auto"/>
      <w:ind w:left="420" w:leftChars="2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List 5"/>
    <w:basedOn w:val="1"/>
    <w:qFormat/>
    <w:uiPriority w:val="99"/>
    <w:pPr>
      <w:ind w:left="2100" w:hanging="420"/>
    </w:pPr>
    <w:rPr>
      <w:rFonts w:eastAsia="楷体_GB2312"/>
      <w:sz w:val="32"/>
      <w:szCs w:val="20"/>
    </w:rPr>
  </w:style>
  <w:style w:type="paragraph" w:styleId="16">
    <w:name w:val="Body Text First Indent 2"/>
    <w:basedOn w:val="9"/>
    <w:next w:val="8"/>
    <w:qFormat/>
    <w:uiPriority w:val="0"/>
    <w:pPr>
      <w:ind w:firstLine="420" w:firstLine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
    <w:name w:val="BodyText1I"/>
    <w:basedOn w:val="21"/>
    <w:qFormat/>
    <w:uiPriority w:val="99"/>
    <w:pPr>
      <w:ind w:firstLine="420" w:firstLineChars="100"/>
    </w:pPr>
  </w:style>
  <w:style w:type="paragraph" w:customStyle="1" w:styleId="21">
    <w:name w:val="BodyText"/>
    <w:basedOn w:val="1"/>
    <w:qFormat/>
    <w:uiPriority w:val="99"/>
    <w:pPr>
      <w:spacing w:after="120"/>
    </w:pPr>
  </w:style>
  <w:style w:type="paragraph" w:customStyle="1" w:styleId="22">
    <w:name w:val="style4"/>
    <w:basedOn w:val="1"/>
    <w:next w:val="23"/>
    <w:qFormat/>
    <w:uiPriority w:val="0"/>
    <w:pPr>
      <w:spacing w:before="280" w:after="280"/>
    </w:pPr>
    <w:rPr>
      <w:rFonts w:ascii="宋体"/>
      <w:sz w:val="18"/>
    </w:rPr>
  </w:style>
  <w:style w:type="paragraph" w:customStyle="1" w:styleId="23">
    <w:name w:val="2"/>
    <w:next w:val="1"/>
    <w:qFormat/>
    <w:uiPriority w:val="0"/>
    <w:pPr>
      <w:widowControl w:val="0"/>
      <w:spacing w:after="200" w:line="276" w:lineRule="auto"/>
      <w:jc w:val="both"/>
    </w:pPr>
    <w:rPr>
      <w:rFonts w:ascii="Times New Roman" w:hAnsi="Times New Roman" w:eastAsia="宋体" w:cs="Times New Roman"/>
      <w:sz w:val="21"/>
      <w:szCs w:val="22"/>
      <w:lang w:val="en-US" w:eastAsia="zh-CN" w:bidi="ar-SA"/>
    </w:rPr>
  </w:style>
  <w:style w:type="table" w:customStyle="1" w:styleId="24">
    <w:name w:val="Table Normal_0"/>
    <w:semiHidden/>
    <w:unhideWhenUsed/>
    <w:qFormat/>
    <w:uiPriority w:val="0"/>
    <w:tblPr>
      <w:tblCellMar>
        <w:top w:w="0" w:type="dxa"/>
        <w:left w:w="0" w:type="dxa"/>
        <w:bottom w:w="0" w:type="dxa"/>
        <w:right w:w="0" w:type="dxa"/>
      </w:tblCellMar>
    </w:tblPr>
  </w:style>
  <w:style w:type="paragraph" w:customStyle="1" w:styleId="25">
    <w:name w:val="Table Text"/>
    <w:basedOn w:val="1"/>
    <w:semiHidden/>
    <w:qFormat/>
    <w:uiPriority w:val="0"/>
    <w:rPr>
      <w:rFonts w:ascii="宋体" w:hAnsi="宋体" w:eastAsia="宋体" w:cs="宋体"/>
      <w:sz w:val="21"/>
      <w:szCs w:val="21"/>
      <w:lang w:val="en-US" w:eastAsia="en-US" w:bidi="ar-SA"/>
    </w:rPr>
  </w:style>
  <w:style w:type="paragraph" w:customStyle="1" w:styleId="26">
    <w:name w:val="样式 标题 2 + Times New Roman 四号 非加粗 段前: 5 磅 段后: 0 磅 行距: 固定值 20..."/>
    <w:basedOn w:val="6"/>
    <w:qFormat/>
    <w:uiPriority w:val="0"/>
    <w:pPr>
      <w:spacing w:before="100" w:after="0" w:line="400" w:lineRule="exact"/>
    </w:pPr>
    <w:rPr>
      <w:rFonts w:ascii="Times New Roman" w:hAnsi="Times New Roman" w:eastAsia="黑体" w:cs="宋体"/>
      <w:b w:val="0"/>
      <w:sz w:val="28"/>
    </w:rPr>
  </w:style>
  <w:style w:type="paragraph" w:customStyle="1" w:styleId="27">
    <w:name w:val="样式 标题 3 + (中文) 黑体 小四 非加粗 段前: 7.8 磅 段后: 0 磅 行距: 固定值 20 磅"/>
    <w:basedOn w:val="7"/>
    <w:qFormat/>
    <w:uiPriority w:val="0"/>
    <w:pPr>
      <w:spacing w:before="0" w:after="0" w:line="400" w:lineRule="exact"/>
      <w:jc w:val="left"/>
    </w:pPr>
    <w:rPr>
      <w:rFonts w:ascii="宋体" w:eastAsia="黑体" w:cs="宋体"/>
      <w:b w:val="0"/>
      <w:bCs w:val="0"/>
      <w:sz w:val="24"/>
      <w:szCs w:val="20"/>
    </w:rPr>
  </w:style>
  <w:style w:type="paragraph" w:customStyle="1" w:styleId="28">
    <w:name w:val="正文缩进1"/>
    <w:basedOn w:val="1"/>
    <w:qFormat/>
    <w:uiPriority w:val="0"/>
    <w:pPr>
      <w:adjustRightInd w:val="0"/>
      <w:ind w:firstLine="420"/>
      <w:jc w:val="left"/>
    </w:pPr>
    <w:rPr>
      <w:rFonts w:hint="eastAsia" w:asciiTheme="minorHAnsi" w:hAnsiTheme="minorHAnsi" w:eastAsiaTheme="minorEastAsia" w:cstheme="minorBidi"/>
      <w:szCs w:val="22"/>
    </w:rPr>
  </w:style>
  <w:style w:type="character" w:customStyle="1" w:styleId="29">
    <w:name w:val="font51"/>
    <w:basedOn w:val="19"/>
    <w:qFormat/>
    <w:uiPriority w:val="0"/>
    <w:rPr>
      <w:rFonts w:ascii="Calibri" w:hAnsi="Calibri" w:cs="Calibri"/>
      <w:color w:val="000000"/>
      <w:sz w:val="18"/>
      <w:szCs w:val="18"/>
      <w:u w:val="none"/>
    </w:rPr>
  </w:style>
  <w:style w:type="character" w:customStyle="1" w:styleId="30">
    <w:name w:val="font41"/>
    <w:basedOn w:val="19"/>
    <w:qFormat/>
    <w:uiPriority w:val="0"/>
    <w:rPr>
      <w:rFonts w:hint="eastAsia" w:ascii="宋体" w:hAnsi="宋体" w:eastAsia="宋体" w:cs="宋体"/>
      <w:color w:val="000000"/>
      <w:sz w:val="18"/>
      <w:szCs w:val="18"/>
      <w:u w:val="none"/>
    </w:rPr>
  </w:style>
  <w:style w:type="character" w:customStyle="1" w:styleId="31">
    <w:name w:val="font61"/>
    <w:basedOn w:val="19"/>
    <w:qFormat/>
    <w:uiPriority w:val="0"/>
    <w:rPr>
      <w:rFonts w:hint="default" w:ascii="Calibri" w:hAnsi="Calibri" w:cs="Calibri"/>
      <w:color w:val="000000"/>
      <w:sz w:val="18"/>
      <w:szCs w:val="18"/>
      <w:u w:val="none"/>
    </w:rPr>
  </w:style>
  <w:style w:type="paragraph" w:customStyle="1" w:styleId="32">
    <w:name w:val="Table Paragraph"/>
    <w:basedOn w:val="1"/>
    <w:autoRedefine/>
    <w:qFormat/>
    <w:uiPriority w:val="99"/>
    <w:rPr>
      <w:sz w:val="24"/>
    </w:rPr>
  </w:style>
  <w:style w:type="character" w:customStyle="1" w:styleId="33">
    <w:name w:val="标题 2 Char"/>
    <w:basedOn w:val="19"/>
    <w:link w:val="6"/>
    <w:autoRedefine/>
    <w:qFormat/>
    <w:locked/>
    <w:uiPriority w:val="99"/>
    <w:rPr>
      <w:rFonts w:ascii="Arial" w:hAnsi="Arial" w:eastAsia="??" w:cs="Arial"/>
      <w:b/>
      <w:sz w:val="32"/>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png"/><Relationship Id="rId4" Type="http://schemas.openxmlformats.org/officeDocument/2006/relationships/endnotes" Target="endnotes.xml"/><Relationship Id="rId39" Type="http://schemas.openxmlformats.org/officeDocument/2006/relationships/image" Target="media/image2.png"/><Relationship Id="rId38" Type="http://schemas.openxmlformats.org/officeDocument/2006/relationships/image" Target="media/image1.png"/><Relationship Id="rId37" Type="http://schemas.openxmlformats.org/officeDocument/2006/relationships/theme" Target="theme/theme1.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header" Target="header1.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5"/>
    <customShpInfo spid="_x0000_s1027"/>
    <customShpInfo spid="_x0000_s1031"/>
    <customShpInfo spid="_x0000_s1032"/>
    <customShpInfo spid="_x0000_s1040"/>
    <customShpInfo spid="_x0000_s1041"/>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93</Pages>
  <Words>7823</Words>
  <Characters>8876</Characters>
  <Lines>0</Lines>
  <Paragraphs>0</Paragraphs>
  <TotalTime>2</TotalTime>
  <ScaleCrop>false</ScaleCrop>
  <LinksUpToDate>false</LinksUpToDate>
  <CharactersWithSpaces>9279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2023-09-19T16:01:00Z</dcterms:created>
  <dc:creator>hk</dc:creator>
  <cp:lastModifiedBy>往事如烟.</cp:lastModifiedBy>
  <cp:lastPrinted>2025-01-17T00:25:00Z</cp:lastPrinted>
  <dcterms:modified xsi:type="dcterms:W3CDTF">2025-02-06T02:32:07Z</dcterms:modified>
  <dc:title>林州市横水等三乡镇土地（高标准粮田）整治项目工程物资</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2023-09-26T18:01:46Z</vt:filetime>
  </property>
  <property fmtid="{D5CDD505-2E9C-101B-9397-08002B2CF9AE}" pid="3" name="CRO">
    <vt:lpwstr>wqlLaW5nc29mdCBQREYgdG8gV1BTIDkw</vt:lpwstr>
  </property>
  <property fmtid="{D5CDD505-2E9C-101B-9397-08002B2CF9AE}" pid="4" name="ICV">
    <vt:lpwstr>69B5A186BF684E1D8FBACA5CF0CFE683_13</vt:lpwstr>
  </property>
  <property fmtid="{D5CDD505-2E9C-101B-9397-08002B2CF9AE}" pid="5" name="KSOProductBuildVer">
    <vt:lpwstr>2052-12.1.0.19770</vt:lpwstr>
  </property>
  <property fmtid="{D5CDD505-2E9C-101B-9397-08002B2CF9AE}" pid="6" name="KSOTemplateDocerSaveRecord">
    <vt:lpwstr>eyJoZGlkIjoiOGE0ZTZhMTg4Y2FmMzMzOWExYjIzZmJlODlkYzcwMWUiLCJ1c2VySWQiOiI0NTA1MDEyNzUifQ==</vt:lpwstr>
  </property>
</Properties>
</file>